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Sitini na Saba</w:t>
      </w:r>
    </w:p>
    <w:p>
      <w:pPr>
        <w:pStyle w:val="ArticleSubtitle"/>
        <w:jc w:val="left"/>
      </w:pPr>
      <w:r>
        <w:rPr>
          <w:rFonts w:ascii="Arial" w:hAnsi="Arial" w:eastAsia="Arial" w:cs="Arial"/>
        </w:rPr>
        <w:t>Aucune langue cible n’a été précisée pour « ff ».</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সর্বনাশ</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সঙ্গেই</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সংযত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পরবর্ষা</w:t>
      </w:r>
      <w:r>
        <w:rPr>
          <w:rFonts w:ascii="Times New Roman" w:hAnsi="Times New Roman" w:eastAsia="Times New Roman" w:cs="Times New Roman"/>
        </w:rPr>
        <w:t xml:space="preserve"> </w:t>
      </w:r>
      <w:r>
        <w:rPr>
          <w:rFonts w:ascii="Nirmala UI" w:hAnsi="Nirmala UI" w:eastAsia="Nirmala UI" w:cs="Nirmala UI"/>
        </w:rPr>
        <w:t>বর্ষিত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পরিমিত</w:t>
      </w:r>
      <w:r>
        <w:rPr>
          <w:rFonts w:ascii="Times New Roman" w:hAnsi="Times New Roman" w:eastAsia="Times New Roman" w:cs="Times New Roman"/>
        </w:rPr>
        <w:t xml:space="preserve">” </w:t>
      </w:r>
      <w:r>
        <w:rPr>
          <w:rFonts w:ascii="Nirmala UI" w:hAnsi="Nirmala UI" w:eastAsia="Nirmala UI" w:cs="Nirmala UI"/>
        </w:rPr>
        <w:t>ছিল।</w:t>
      </w:r>
    </w:p>
    <w:p>
      <w:pPr>
        <w:pStyle w:val="ArticleScripture"/>
        <w:jc w:val="left"/>
      </w:pPr>
      <w:r>
        <w:rPr>
          <w:rFonts w:ascii="Times New Roman" w:hAnsi="Times New Roman" w:eastAsia="Times New Roman" w:cs="Times New Roman"/>
        </w:rPr>
        <w:t>ئۇ چىقىپ ئۆسۈپ بارغاندا، ئۆلچەم بىلەن ئۇنىڭ بىلەن مۇنازىرە قىلىسەن؛ شەرق شامىلى چىققان كۈنى ئۇ ئۆزىنىڭ قاتتىق شامىلىنى توختىتىدۇ. شۇنىڭ ئۈچۈن، ياقۇپنىڭ گۇناھى مۇشۇ ئارقىلىق پاكلىنىدۇ؛ ئۇنىڭ گۇناھىنى يوقىتىشنىڭ بارلىق مېۋىسى مۇشۇدۇر: ئۇ قۇربانلىق سۇپىسىنىڭ بارلىق تاشلىرىنى پارچىلانغان ئاھاك تاشلىرىدەك قىلىپ قويغاندا، ئاشېرە تۈۋرۈكلىرى ۋە سۈرەتلەر قايتا تۇرمايدۇ. لېكىن مۇستەھكەم شەھەر ۋەيران بولىدۇ، ماكان تاشلىنىدۇ، چۆللۈككە ئوخشاش قالدۇرۇلىدۇ؛ ئۇ يەردە بوزاق ئوتلايدۇ، ئۇ يەردە يېتىپ، ئۇنىڭ شاخلىرىنى يەپ تۈگىتىدۇ. ئۇنىڭ شاخ-شاخلارى قۇرۇپ كەتكەندە، ئۇلار ئۈزۈپ تاشلىنىدۇ؛ ئاياللار كېلىپ، ئۇلارنى ئوتقا يېقىدۇ؛ چۈنكى بۇ چۈشەنچىسى يوق بىر خەلق؛ شۇنىڭ ئۈچۈن، ئۇلارنى ياراتقان زات ئۇلارغا رەھىم قىلمايدۇ، ئۇلارنى شەكىللەندۈرگەن زات ئۇلارغا مېھىر-شەپقەت كۆرسەتمەيدۇ. ۋە شۇ كۈندە شۇنداق بولىدۇكى، پەرۋەردىگار دەريانىڭ ئۆزەڭىدىن مىسىرنىڭ ئېقىنىغىچە ئۇرۇپ يىغىدۇ، ۋە سىلەر، ئى ئىسرائىل بالىلىرى، بىر-بىرلەپ يىغىلىسىلەر. ۋە شۇ كۈندە شۇنداق بولىدۇكى، چوڭ كاناي چېلىنىدۇ، ۋە ئاششۇر زېمىنىدا ھالاك بولۇشقا يېقىن قالغانلار، مىسىر زېمىنىدىكى سۈرگۈنلەر كېلىدۇ، ۋە يېرۇسالېمدىكى مۇقەددەس تاغدا پەرۋەردىگارغا سەجدە قىلىدۇ. ئىسايا 27:6–13.</w:t>
      </w:r>
    </w:p>
    <w:p>
      <w:pPr>
        <w:pStyle w:val="ArticleBody"/>
        <w:jc w:val="left"/>
      </w:pPr>
      <w:r>
        <w:rPr>
          <w:rFonts w:ascii="Times New Roman" w:hAnsi="Times New Roman" w:eastAsia="Times New Roman" w:cs="Times New Roman"/>
        </w:rPr>
        <w:t>«Ә sharqıy jel künı» sońǵı jańbyrdıń kelýin, sonday-aq úshinshi qasirettiń Islámın ańǵartadı. Ol sonday-aq «Yaquptıń kúnási tazartıladı» degen tarihtıń bastalıwın belgileydi. Sharqıy jel kúnı 2001 jylǵı 11 qyrkúyekte keldi, sol sätte tirilerdiń sotı bastaldı. Tirilerdiń sotı — úshinshi perishteniń jabıwşı qızmetı, däl sonda júz qırıq tört mıńnıń kúnáların alıp tastaw bastaldı. Isaiah «Osı arqyly» dep jazǵanda, osını aıtqan edi.</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借此</w:t>
      </w:r>
      <w:r>
        <w:rPr>
          <w:rFonts w:ascii="Times New Roman" w:hAnsi="Times New Roman" w:eastAsia="Times New Roman" w:cs="Times New Roman"/>
        </w:rPr>
        <w:t>”</w:t>
      </w:r>
      <w:r>
        <w:rPr>
          <w:rFonts w:ascii="Microsoft YaHei" w:hAnsi="Microsoft YaHei" w:eastAsia="Microsoft YaHei" w:cs="Microsoft YaHei"/>
        </w:rPr>
        <w:t>之前的话是：</w:t>
      </w:r>
      <w:r>
        <w:rPr>
          <w:rFonts w:ascii="Times New Roman" w:hAnsi="Times New Roman" w:eastAsia="Times New Roman" w:cs="Times New Roman"/>
        </w:rPr>
        <w:t>“</w:t>
      </w:r>
      <w:r>
        <w:rPr>
          <w:rFonts w:ascii="Microsoft YaHei" w:hAnsi="Microsoft YaHei" w:eastAsia="Microsoft YaHei" w:cs="Microsoft YaHei"/>
        </w:rPr>
        <w:t>你发芽滋长的时候</w:t>
      </w:r>
      <w:r>
        <w:rPr>
          <w:rFonts w:ascii="Times New Roman" w:hAnsi="Times New Roman" w:eastAsia="Times New Roman" w:cs="Times New Roman"/>
        </w:rPr>
        <w:t>,</w:t>
      </w:r>
      <w:r>
        <w:rPr>
          <w:rFonts w:ascii="Microsoft YaHei" w:hAnsi="Microsoft YaHei" w:eastAsia="Microsoft YaHei" w:cs="Microsoft YaHei"/>
        </w:rPr>
        <w:t>主必与它辩论</w:t>
      </w:r>
      <w:r>
        <w:rPr>
          <w:rFonts w:ascii="Times New Roman" w:hAnsi="Times New Roman" w:eastAsia="Times New Roman" w:cs="Times New Roman"/>
        </w:rPr>
        <w:t>;</w:t>
      </w:r>
      <w:r>
        <w:rPr>
          <w:rFonts w:ascii="Microsoft YaHei" w:hAnsi="Microsoft YaHei" w:eastAsia="Microsoft YaHei" w:cs="Microsoft YaHei"/>
        </w:rPr>
        <w:t>在东风的日子</w:t>
      </w:r>
      <w:r>
        <w:rPr>
          <w:rFonts w:ascii="Times New Roman" w:hAnsi="Times New Roman" w:eastAsia="Times New Roman" w:cs="Times New Roman"/>
        </w:rPr>
        <w:t>,</w:t>
      </w:r>
      <w:r>
        <w:rPr>
          <w:rFonts w:ascii="Microsoft YaHei" w:hAnsi="Microsoft YaHei" w:eastAsia="Microsoft YaHei" w:cs="Microsoft YaHei"/>
        </w:rPr>
        <w:t>祂止住了猛烈的风</w:t>
      </w:r>
      <w:r>
        <w:rPr>
          <w:rFonts w:ascii="Times New Roman" w:hAnsi="Times New Roman" w:eastAsia="Times New Roman" w:cs="Times New Roman"/>
        </w:rPr>
        <w:t>.” “</w:t>
      </w:r>
      <w:r>
        <w:rPr>
          <w:rFonts w:ascii="Microsoft YaHei" w:hAnsi="Microsoft YaHei" w:eastAsia="Microsoft YaHei" w:cs="Microsoft YaHei"/>
        </w:rPr>
        <w:t>借此</w:t>
      </w:r>
      <w:r>
        <w:rPr>
          <w:rFonts w:ascii="Times New Roman" w:hAnsi="Times New Roman" w:eastAsia="Times New Roman" w:cs="Times New Roman"/>
        </w:rPr>
        <w:t>”</w:t>
      </w:r>
      <w:r>
        <w:rPr>
          <w:rFonts w:ascii="Microsoft YaHei" w:hAnsi="Microsoft YaHei" w:eastAsia="Microsoft YaHei" w:cs="Microsoft YaHei"/>
        </w:rPr>
        <w:t>所指明的</w:t>
      </w:r>
      <w:r>
        <w:rPr>
          <w:rFonts w:ascii="Times New Roman" w:hAnsi="Times New Roman" w:eastAsia="Times New Roman" w:cs="Times New Roman"/>
        </w:rPr>
        <w:t>,</w:t>
      </w:r>
      <w:r>
        <w:rPr>
          <w:rFonts w:ascii="Microsoft YaHei" w:hAnsi="Microsoft YaHei" w:eastAsia="Microsoft YaHei" w:cs="Microsoft YaHei"/>
        </w:rPr>
        <w:t>乃是那些特定的试验性真理</w:t>
      </w:r>
      <w:r>
        <w:rPr>
          <w:rFonts w:ascii="Times New Roman" w:hAnsi="Times New Roman" w:eastAsia="Times New Roman" w:cs="Times New Roman"/>
        </w:rPr>
        <w:t>;</w:t>
      </w:r>
      <w:r>
        <w:rPr>
          <w:rFonts w:ascii="Microsoft YaHei" w:hAnsi="Microsoft YaHei" w:eastAsia="Microsoft YaHei" w:cs="Microsoft YaHei"/>
        </w:rPr>
        <w:t>这些真理从那些被表征为雅各的人身上除净罪孽</w:t>
      </w:r>
      <w:r>
        <w:rPr>
          <w:rFonts w:ascii="Times New Roman" w:hAnsi="Times New Roman" w:eastAsia="Times New Roman" w:cs="Times New Roman"/>
        </w:rPr>
        <w:t>.</w:t>
      </w:r>
      <w:r>
        <w:rPr>
          <w:rFonts w:ascii="Microsoft YaHei" w:hAnsi="Microsoft YaHei" w:eastAsia="Microsoft YaHei" w:cs="Microsoft YaHei"/>
        </w:rPr>
        <w:t>那些真理包括那一事件（</w:t>
      </w:r>
      <w:r>
        <w:rPr>
          <w:rFonts w:ascii="Times New Roman" w:hAnsi="Times New Roman" w:eastAsia="Times New Roman" w:cs="Times New Roman"/>
        </w:rPr>
        <w:t>9/11</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它标志着晚雨的来到</w:t>
      </w:r>
      <w:r>
        <w:rPr>
          <w:rFonts w:ascii="Times New Roman" w:hAnsi="Times New Roman" w:eastAsia="Times New Roman" w:cs="Times New Roman"/>
        </w:rPr>
        <w:t>.</w:t>
      </w:r>
      <w:r>
        <w:rPr>
          <w:rFonts w:ascii="Microsoft YaHei" w:hAnsi="Microsoft YaHei" w:eastAsia="Microsoft YaHei" w:cs="Microsoft YaHei"/>
        </w:rPr>
        <w:t>那些真理包括将晚雨界定为</w:t>
      </w:r>
      <w:r>
        <w:rPr>
          <w:rFonts w:ascii="Times New Roman" w:hAnsi="Times New Roman" w:eastAsia="Times New Roman" w:cs="Times New Roman"/>
        </w:rPr>
        <w:t>“</w:t>
      </w:r>
      <w:r>
        <w:rPr>
          <w:rFonts w:ascii="Microsoft YaHei" w:hAnsi="Microsoft YaHei" w:eastAsia="Microsoft YaHei" w:cs="Microsoft YaHei"/>
        </w:rPr>
        <w:t>一道信息</w:t>
      </w:r>
      <w:r>
        <w:rPr>
          <w:rFonts w:ascii="Times New Roman" w:hAnsi="Times New Roman" w:eastAsia="Times New Roman" w:cs="Times New Roman"/>
        </w:rPr>
        <w:t>”,</w:t>
      </w:r>
      <w:r>
        <w:rPr>
          <w:rFonts w:ascii="Microsoft YaHei" w:hAnsi="Microsoft YaHei" w:eastAsia="Microsoft YaHei" w:cs="Microsoft YaHei"/>
        </w:rPr>
        <w:t>而这</w:t>
      </w:r>
      <w:r>
        <w:rPr>
          <w:rFonts w:ascii="Times New Roman" w:hAnsi="Times New Roman" w:eastAsia="Times New Roman" w:cs="Times New Roman"/>
        </w:rPr>
        <w:t>“</w:t>
      </w:r>
      <w:r>
        <w:rPr>
          <w:rFonts w:ascii="Microsoft YaHei" w:hAnsi="Microsoft YaHei" w:eastAsia="Microsoft YaHei" w:cs="Microsoft YaHei"/>
        </w:rPr>
        <w:t>信息</w:t>
      </w:r>
      <w:r>
        <w:rPr>
          <w:rFonts w:ascii="Times New Roman" w:hAnsi="Times New Roman" w:eastAsia="Times New Roman" w:cs="Times New Roman"/>
        </w:rPr>
        <w:t>”</w:t>
      </w:r>
      <w:r>
        <w:rPr>
          <w:rFonts w:ascii="Microsoft YaHei" w:hAnsi="Microsoft YaHei" w:eastAsia="Microsoft YaHei" w:cs="Microsoft YaHei"/>
        </w:rPr>
        <w:t>就是伊斯兰教</w:t>
      </w:r>
      <w:r>
        <w:rPr>
          <w:rFonts w:ascii="Times New Roman" w:hAnsi="Times New Roman" w:eastAsia="Times New Roman" w:cs="Times New Roman"/>
        </w:rPr>
        <w:t>.</w:t>
      </w:r>
      <w:r>
        <w:rPr>
          <w:rFonts w:ascii="Microsoft YaHei" w:hAnsi="Microsoft YaHei" w:eastAsia="Microsoft YaHei" w:cs="Microsoft YaHei"/>
        </w:rPr>
        <w:t>它也包括这样的真理：</w:t>
      </w:r>
      <w:r>
        <w:rPr>
          <w:rFonts w:ascii="Times New Roman" w:hAnsi="Times New Roman" w:eastAsia="Times New Roman" w:cs="Times New Roman"/>
        </w:rPr>
        <w:t xml:space="preserve"> “</w:t>
      </w:r>
      <w:r>
        <w:rPr>
          <w:rFonts w:ascii="Microsoft YaHei" w:hAnsi="Microsoft YaHei" w:eastAsia="Microsoft YaHei" w:cs="Microsoft YaHei"/>
        </w:rPr>
        <w:t>东风</w:t>
      </w:r>
      <w:r>
        <w:rPr>
          <w:rFonts w:ascii="Times New Roman" w:hAnsi="Times New Roman" w:eastAsia="Times New Roman" w:cs="Times New Roman"/>
        </w:rPr>
        <w:t>”</w:t>
      </w:r>
      <w:r>
        <w:rPr>
          <w:rFonts w:ascii="Microsoft YaHei" w:hAnsi="Microsoft YaHei" w:eastAsia="Microsoft YaHei" w:cs="Microsoft YaHei"/>
        </w:rPr>
        <w:t>乃是第三样灾祸中的伊斯兰教</w:t>
      </w:r>
      <w:r>
        <w:rPr>
          <w:rFonts w:ascii="Times New Roman" w:hAnsi="Times New Roman" w:eastAsia="Times New Roman" w:cs="Times New Roman"/>
        </w:rPr>
        <w:t>,</w:t>
      </w:r>
      <w:r>
        <w:rPr>
          <w:rFonts w:ascii="Microsoft YaHei" w:hAnsi="Microsoft YaHei" w:eastAsia="Microsoft YaHei" w:cs="Microsoft YaHei"/>
        </w:rPr>
        <w:t>并且也包括伊斯兰教随后受遏制（止住）这一预言特征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Tha deuchainn fhèin air a riochdachadh leis an “deasbad,” a thòisich air 11 an t-Sultain, 2001. Fhuair Ieremiah, nuair a bha e a’ riochdachadh a’ chiad bhriseadh-dùil, comhairle “tilleadh” a dh’ionnsaigh Dhè agus an nì luachmhor a sgaradh on nì truaillidh. Tha “toradh” teachdaireachd na deuchainn a’ toirt gu buil dà sheòrsa luchd-adhraidh.</w:t>
      </w:r>
    </w:p>
    <w:p>
      <w:pPr>
        <w:pStyle w:val="ArticleBody"/>
        <w:jc w:val="left"/>
      </w:pPr>
      <w:r>
        <w:rPr>
          <w:rFonts w:ascii="Times New Roman" w:hAnsi="Times New Roman" w:eastAsia="Times New Roman" w:cs="Times New Roman"/>
        </w:rPr>
        <w:t>Le jugement des insensés est représenté ainsi: « lorsqu’il réduira toutes les pierres de l’autel en pierres de chaux mises en pièces, les bosquets sacrés et les images ne subsisteront pas. » Ésaïe fait ici référence à la sentence prononcée contre ceux qui renversent l’ordre des choses aux chapitres vingt-huit et vingt-neuf. Ce sont ceux qui ne peuvent comprendre le livre scellé. L’œuvre (le fruit) des méchants doit être tenue pour de l’argile de potier.</w:t>
      </w:r>
    </w:p>
    <w:p>
      <w:pPr>
        <w:pStyle w:val="ArticleScripture"/>
        <w:jc w:val="left"/>
      </w:pPr>
      <w:r>
        <w:rPr>
          <w:rFonts w:ascii="Times New Roman" w:hAnsi="Times New Roman" w:eastAsia="Times New Roman" w:cs="Times New Roman"/>
        </w:rPr>
        <w:t>Nítorí náà, kíyèsí i, èmi yóò tún ṣe iṣẹ́ àgbàyanu kan láàrín àwọn ènìyàn yìí, àní iṣẹ́ àgbàyanu àti ohun ìyanu kan: nítorí ọgbọ́n àwọn ọlọ́gbọ́n wọn yóò ṣègbé, ìmòye àwọn ọlọ́gbọ́n-ínú wọn yóò sì farasin. Ègbé ni fún àwọn tí ń walẹ̀ jìn láti fi ìmọ̀ràn wọn pamọ́ kúrò lọ́dọ̀ Olúwa, tí iṣẹ́ wọn sì wà nínú òkùnkùn, tí wọ́n sì ń wí pé, Ta ni ó rí wa? ta ni ó sì mọ̀ wá? Lóòótọ́, yíyí tí ẹ̀yin ń yi ohun padà sí ìsàlẹ̀ lókè ni a ó kà sí bí amọ̀ onísá: nítorí iṣẹ́ ọwọ́ ha lè sọ nípa ẹni tí ó ṣe é pé, Òun kò ṣe mí? tàbí ohun tí a mọ̀ ha lè sọ nípa ẹni tí ó mọ̀ ọ́ pé, Òun kò ní ìmòye? Isaiah 29:14–16.</w:t>
      </w:r>
    </w:p>
    <w:p>
      <w:pPr>
        <w:pStyle w:val="ArticleBody"/>
        <w:jc w:val="left"/>
      </w:pPr>
      <w:r>
        <w:rPr>
          <w:rFonts w:ascii="Nirmala UI" w:hAnsi="Nirmala UI" w:eastAsia="Nirmala UI" w:cs="Nirmala UI"/>
        </w:rPr>
        <w:t>গলতের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কুম্ভকারের</w:t>
      </w:r>
      <w:r>
        <w:rPr>
          <w:rFonts w:ascii="Times New Roman" w:hAnsi="Times New Roman" w:eastAsia="Times New Roman" w:cs="Times New Roman"/>
        </w:rPr>
        <w:t xml:space="preserve"> </w:t>
      </w:r>
      <w:r>
        <w:rPr>
          <w:rFonts w:ascii="Nirmala UI" w:hAnsi="Nirmala UI" w:eastAsia="Nirmala UI" w:cs="Nirmala UI"/>
        </w:rPr>
        <w:t>মাটির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সাতাশতম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একইরূপে</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w:t>
      </w:r>
      <w:r>
        <w:rPr>
          <w:rFonts w:ascii="Nirmala UI" w:hAnsi="Nirmala UI" w:eastAsia="Nirmala UI" w:cs="Nirmala UI"/>
        </w:rPr>
        <w:t>চুনাপাথরের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খণ্ডখণ্ড</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চুনাপাথর</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কুম্ভকারের</w:t>
      </w:r>
      <w:r>
        <w:rPr>
          <w:rFonts w:ascii="Times New Roman" w:hAnsi="Times New Roman" w:eastAsia="Times New Roman" w:cs="Times New Roman"/>
        </w:rPr>
        <w:t xml:space="preserve"> </w:t>
      </w:r>
      <w:r>
        <w:rPr>
          <w:rFonts w:ascii="Nirmala UI" w:hAnsi="Nirmala UI" w:eastAsia="Nirmala UI" w:cs="Nirmala UI"/>
        </w:rPr>
        <w:t>মাটি</w:t>
      </w:r>
      <w:r>
        <w:rPr>
          <w:rFonts w:ascii="Times New Roman" w:hAnsi="Times New Roman" w:eastAsia="Times New Roman" w:cs="Times New Roman"/>
        </w:rPr>
        <w:t xml:space="preserve"> </w:t>
      </w:r>
      <w:r>
        <w:rPr>
          <w:rFonts w:ascii="Nirmala UI" w:hAnsi="Nirmala UI" w:eastAsia="Nirmala UI" w:cs="Nirmala UI"/>
        </w:rPr>
        <w:t>সহজেই</w:t>
      </w:r>
      <w:r>
        <w:rPr>
          <w:rFonts w:ascii="Times New Roman" w:hAnsi="Times New Roman" w:eastAsia="Times New Roman" w:cs="Times New Roman"/>
        </w:rPr>
        <w:t xml:space="preserve"> </w:t>
      </w:r>
      <w:r>
        <w:rPr>
          <w:rFonts w:ascii="Nirmala UI" w:hAnsi="Nirmala UI" w:eastAsia="Nirmala UI" w:cs="Nirmala UI"/>
        </w:rPr>
        <w:t>গুঁড়ো</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বেদীর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পাথরকে</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চুনাপাথরের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উপবন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মূর্তিগুলি</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ফেলার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এমনভাবে</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দাঁড়াবে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কাজকেই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যোশিয়ের</w:t>
      </w:r>
      <w:r>
        <w:rPr>
          <w:rFonts w:ascii="Times New Roman" w:hAnsi="Times New Roman" w:eastAsia="Times New Roman" w:cs="Times New Roman"/>
        </w:rPr>
        <w:t xml:space="preserve"> </w:t>
      </w:r>
      <w:r>
        <w:rPr>
          <w:rFonts w:ascii="Nirmala UI" w:hAnsi="Nirmala UI" w:eastAsia="Nirmala UI" w:cs="Nirmala UI"/>
        </w:rPr>
        <w:t>সংস্কারের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পুনর্জাগরণ</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সংস্কারে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যোশিয়ের</w:t>
      </w:r>
      <w:r>
        <w:rPr>
          <w:rFonts w:ascii="Times New Roman" w:hAnsi="Times New Roman" w:eastAsia="Times New Roman" w:cs="Times New Roman"/>
        </w:rPr>
        <w:t xml:space="preserve"> </w:t>
      </w:r>
      <w:r>
        <w:rPr>
          <w:rFonts w:ascii="Nirmala UI" w:hAnsi="Nirmala UI" w:eastAsia="Nirmala UI" w:cs="Nirmala UI"/>
        </w:rPr>
        <w:t>সংস্কারের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অ্যাডভেন্টিস্ট</w:t>
      </w:r>
      <w:r>
        <w:rPr>
          <w:rFonts w:ascii="Times New Roman" w:hAnsi="Times New Roman" w:eastAsia="Times New Roman" w:cs="Times New Roman"/>
        </w:rPr>
        <w:t xml:space="preserve"> </w:t>
      </w:r>
      <w:r>
        <w:rPr>
          <w:rFonts w:ascii="Nirmala UI" w:hAnsi="Nirmala UI" w:eastAsia="Nirmala UI" w:cs="Nirmala UI"/>
        </w:rPr>
        <w:t>সাংগঠনিক</w:t>
      </w:r>
      <w:r>
        <w:rPr>
          <w:rFonts w:ascii="Times New Roman" w:hAnsi="Times New Roman" w:eastAsia="Times New Roman" w:cs="Times New Roman"/>
        </w:rPr>
        <w:t xml:space="preserve"> </w:t>
      </w:r>
      <w:r>
        <w:rPr>
          <w:rFonts w:ascii="Nirmala UI" w:hAnsi="Nirmala UI" w:eastAsia="Nirmala UI" w:cs="Nirmala UI"/>
        </w:rPr>
        <w:t>কাঠামো</w:t>
      </w:r>
      <w:r>
        <w:rPr>
          <w:rFonts w:ascii="Times New Roman" w:hAnsi="Times New Roman" w:eastAsia="Times New Roman" w:cs="Times New Roman"/>
        </w:rPr>
        <w:t xml:space="preserve"> </w:t>
      </w:r>
      <w:r>
        <w:rPr>
          <w:rFonts w:ascii="Nirmala UI" w:hAnsi="Nirmala UI" w:eastAsia="Nirmala UI" w:cs="Nirmala UI"/>
        </w:rPr>
        <w:t>জনশূন্য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পড়বে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সুরক্ষিত</w:t>
      </w:r>
      <w:r>
        <w:rPr>
          <w:rFonts w:ascii="Times New Roman" w:hAnsi="Times New Roman" w:eastAsia="Times New Roman" w:cs="Times New Roman"/>
        </w:rPr>
        <w:t xml:space="preserve"> </w:t>
      </w:r>
      <w:r>
        <w:rPr>
          <w:rFonts w:ascii="Nirmala UI" w:hAnsi="Nirmala UI" w:eastAsia="Nirmala UI" w:cs="Nirmala UI"/>
        </w:rPr>
        <w:t>নগরী</w:t>
      </w:r>
      <w:r>
        <w:rPr>
          <w:rFonts w:ascii="Times New Roman" w:hAnsi="Times New Roman" w:eastAsia="Times New Roman" w:cs="Times New Roman"/>
        </w:rPr>
        <w:t xml:space="preserve"> </w:t>
      </w:r>
      <w:r>
        <w:rPr>
          <w:rFonts w:ascii="Nirmala UI" w:hAnsi="Nirmala UI" w:eastAsia="Nirmala UI" w:cs="Nirmala UI"/>
        </w:rPr>
        <w:t>জনশূন্য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বাসস্থান</w:t>
      </w:r>
      <w:r>
        <w:rPr>
          <w:rFonts w:ascii="Times New Roman" w:hAnsi="Times New Roman" w:eastAsia="Times New Roman" w:cs="Times New Roman"/>
        </w:rPr>
        <w:t xml:space="preserve"> </w:t>
      </w:r>
      <w:r>
        <w:rPr>
          <w:rFonts w:ascii="Nirmala UI" w:hAnsi="Nirmala UI" w:eastAsia="Nirmala UI" w:cs="Nirmala UI"/>
        </w:rPr>
        <w:t>পরিত্যক্ত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প্রান্তরের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সারা</w:t>
      </w:r>
      <w:r>
        <w:rPr>
          <w:rFonts w:ascii="Times New Roman" w:hAnsi="Times New Roman" w:eastAsia="Times New Roman" w:cs="Times New Roman"/>
        </w:rPr>
        <w:t xml:space="preserve"> </w:t>
      </w:r>
      <w:r>
        <w:rPr>
          <w:rFonts w:ascii="Nirmala UI" w:hAnsi="Nirmala UI" w:eastAsia="Nirmala UI" w:cs="Nirmala UI"/>
        </w:rPr>
        <w:t>বিশ্বের</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গির্জা</w:t>
      </w:r>
      <w:r>
        <w:rPr>
          <w:rFonts w:ascii="Times New Roman" w:hAnsi="Times New Roman" w:eastAsia="Times New Roman" w:cs="Times New Roman"/>
        </w:rPr>
        <w:t xml:space="preserve">, </w:t>
      </w:r>
      <w:r>
        <w:rPr>
          <w:rFonts w:ascii="Nirmala UI" w:hAnsi="Nirmala UI" w:eastAsia="Nirmala UI" w:cs="Nirmala UI"/>
        </w:rPr>
        <w:t>বিদ্যালয়</w:t>
      </w:r>
      <w:r>
        <w:rPr>
          <w:rFonts w:ascii="Times New Roman" w:hAnsi="Times New Roman" w:eastAsia="Times New Roman" w:cs="Times New Roman"/>
        </w:rPr>
        <w:t xml:space="preserve">, </w:t>
      </w:r>
      <w:r>
        <w:rPr>
          <w:rFonts w:ascii="Nirmala UI" w:hAnsi="Nirmala UI" w:eastAsia="Nirmala UI" w:cs="Nirmala UI"/>
        </w:rPr>
        <w:t>কলেজ</w:t>
      </w:r>
      <w:r>
        <w:rPr>
          <w:rFonts w:ascii="Times New Roman" w:hAnsi="Times New Roman" w:eastAsia="Times New Roman" w:cs="Times New Roman"/>
        </w:rPr>
        <w:t xml:space="preserve">, </w:t>
      </w:r>
      <w:r>
        <w:rPr>
          <w:rFonts w:ascii="Nirmala UI" w:hAnsi="Nirmala UI" w:eastAsia="Nirmala UI" w:cs="Nirmala UI"/>
        </w:rPr>
        <w:t>বিশ্ববিদ্যালয়</w:t>
      </w:r>
      <w:r>
        <w:rPr>
          <w:rFonts w:ascii="Times New Roman" w:hAnsi="Times New Roman" w:eastAsia="Times New Roman" w:cs="Times New Roman"/>
        </w:rPr>
        <w:t xml:space="preserve">, </w:t>
      </w:r>
      <w:r>
        <w:rPr>
          <w:rFonts w:ascii="Nirmala UI" w:hAnsi="Nirmala UI" w:eastAsia="Nirmala UI" w:cs="Nirmala UI"/>
        </w:rPr>
        <w:t>হাসপাতাল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দপ্তরভবন</w:t>
      </w:r>
      <w:r>
        <w:rPr>
          <w:rFonts w:ascii="Times New Roman" w:hAnsi="Times New Roman" w:eastAsia="Times New Roman" w:cs="Times New Roman"/>
        </w:rPr>
        <w:t>—</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পিটিয়ে</w:t>
      </w:r>
      <w:r>
        <w:rPr>
          <w:rFonts w:ascii="Times New Roman" w:hAnsi="Times New Roman" w:eastAsia="Times New Roman" w:cs="Times New Roman"/>
        </w:rPr>
        <w:t xml:space="preserve"> </w:t>
      </w:r>
      <w:r>
        <w:rPr>
          <w:rFonts w:ascii="Nirmala UI" w:hAnsi="Nirmala UI" w:eastAsia="Nirmala UI" w:cs="Nirmala UI"/>
        </w:rPr>
        <w:t>মূল্যহীন</w:t>
      </w:r>
      <w:r>
        <w:rPr>
          <w:rFonts w:ascii="Times New Roman" w:hAnsi="Times New Roman" w:eastAsia="Times New Roman" w:cs="Times New Roman"/>
        </w:rPr>
        <w:t xml:space="preserve"> </w:t>
      </w:r>
      <w:r>
        <w:rPr>
          <w:rFonts w:ascii="Nirmala UI" w:hAnsi="Nirmala UI" w:eastAsia="Nirmala UI" w:cs="Nirmala UI"/>
        </w:rPr>
        <w:t>গুঁড়োয়</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হবে।</w:t>
      </w:r>
    </w:p>
    <w:p>
      <w:pPr>
        <w:pStyle w:val="ArticleBody"/>
        <w:jc w:val="left"/>
      </w:pPr>
      <w:r>
        <w:rPr>
          <w:rFonts w:ascii="Times New Roman" w:hAnsi="Times New Roman" w:eastAsia="Times New Roman" w:cs="Times New Roman"/>
        </w:rPr>
        <w:t>Les membres aussi seront dans la désolation, car ce « peuple dépourvu d’intelligence » sera comme des « rameaux » « flétris » qui « seront brisés » « et mis au feu »; car « celui qui les a faits n’aura point de compassion pour eux, et celui qui les a formés ne leur fera point grâce ».</w:t>
      </w:r>
    </w:p>
    <w:p>
      <w:pPr>
        <w:pStyle w:val="ArticleBody"/>
        <w:jc w:val="left"/>
      </w:pPr>
      <w:r>
        <w:rPr>
          <w:rFonts w:ascii="Leelawadee UI" w:hAnsi="Leelawadee UI" w:eastAsia="Leelawadee UI" w:cs="Leelawadee UI"/>
        </w:rPr>
        <w:t>ມື່ອການແຍກອອກທີ່ຖືກສຳເລັດໂດຍຂ່າວສານແຫ່ງການທົດສອບໄດ້ຄົບຖ້ວນແລ້ວ</w:t>
      </w:r>
      <w:r>
        <w:rPr>
          <w:rFonts w:ascii="Times New Roman" w:hAnsi="Times New Roman" w:eastAsia="Times New Roman" w:cs="Times New Roman"/>
        </w:rPr>
        <w:t xml:space="preserve">, </w:t>
      </w:r>
      <w:r>
        <w:rPr>
          <w:rFonts w:ascii="Leelawadee UI" w:hAnsi="Leelawadee UI" w:eastAsia="Leelawadee UI" w:cs="Leelawadee UI"/>
        </w:rPr>
        <w:t>ສຽງທີສອງໃນພຣະນິມິດບົດທີສິບແປດ</w:t>
      </w:r>
      <w:r>
        <w:rPr>
          <w:rFonts w:ascii="Times New Roman" w:hAnsi="Times New Roman" w:eastAsia="Times New Roman" w:cs="Times New Roman"/>
        </w:rPr>
        <w:t xml:space="preserve"> </w:t>
      </w:r>
      <w:r>
        <w:rPr>
          <w:rFonts w:ascii="Leelawadee UI" w:hAnsi="Leelawadee UI" w:eastAsia="Leelawadee UI" w:cs="Leelawadee UI"/>
        </w:rPr>
        <w:t>ຈຶ່ງເອີ້ນຝູງແກະອື່ນຂອງພຣະເຈົ້າອອກຈາກບາບີໂລນ</w:t>
      </w:r>
      <w:r>
        <w:rPr>
          <w:rFonts w:ascii="Times New Roman" w:hAnsi="Times New Roman" w:eastAsia="Times New Roman" w:cs="Times New Roman"/>
        </w:rPr>
        <w:t xml:space="preserve">, </w:t>
      </w:r>
      <w:r>
        <w:rPr>
          <w:rFonts w:ascii="Leelawadee UI" w:hAnsi="Leelawadee UI" w:eastAsia="Leelawadee UI" w:cs="Leelawadee UI"/>
        </w:rPr>
        <w:t>ເພາະໃນວັນນັ້ນ</w:t>
      </w:r>
      <w:r>
        <w:rPr>
          <w:rFonts w:ascii="Times New Roman" w:hAnsi="Times New Roman" w:eastAsia="Times New Roman" w:cs="Times New Roman"/>
        </w:rPr>
        <w:t xml:space="preserve"> “</w:t>
      </w:r>
      <w:r>
        <w:rPr>
          <w:rFonts w:ascii="Leelawadee UI" w:hAnsi="Leelawadee UI" w:eastAsia="Leelawadee UI" w:cs="Leelawadee UI"/>
        </w:rPr>
        <w:t>ມັນຈະເກີດຂຶ້ນ</w:t>
      </w:r>
      <w:r>
        <w:rPr>
          <w:rFonts w:ascii="Times New Roman" w:hAnsi="Times New Roman" w:eastAsia="Times New Roman" w:cs="Times New Roman"/>
        </w:rPr>
        <w:t xml:space="preserve">” </w:t>
      </w:r>
      <w:r>
        <w:rPr>
          <w:rFonts w:ascii="Leelawadee UI" w:hAnsi="Leelawadee UI" w:eastAsia="Leelawadee UI" w:cs="Leelawadee UI"/>
        </w:rPr>
        <w:t>ວ່າ</w:t>
      </w:r>
      <w:r>
        <w:rPr>
          <w:rFonts w:ascii="Times New Roman" w:hAnsi="Times New Roman" w:eastAsia="Times New Roman" w:cs="Times New Roman"/>
        </w:rPr>
        <w:t xml:space="preserve"> “</w:t>
      </w:r>
      <w:r>
        <w:rPr>
          <w:rFonts w:ascii="Leelawadee UI" w:hAnsi="Leelawadee UI" w:eastAsia="Leelawadee UI" w:cs="Leelawadee UI"/>
        </w:rPr>
        <w:t>ແກອັນໃຫຍ່ຈະຖືກເປົ່າຂຶ້ນ</w:t>
      </w:r>
      <w:r>
        <w:rPr>
          <w:rFonts w:ascii="Times New Roman" w:hAnsi="Times New Roman" w:eastAsia="Times New Roman" w:cs="Times New Roman"/>
        </w:rPr>
        <w:t xml:space="preserve">, </w:t>
      </w:r>
      <w:r>
        <w:rPr>
          <w:rFonts w:ascii="Leelawadee UI" w:hAnsi="Leelawadee UI" w:eastAsia="Leelawadee UI" w:cs="Leelawadee UI"/>
        </w:rPr>
        <w:t>ແລະບັນດາຜູ້ທີ່ເກືອບຈະພິນາດໃນແຜ່ນດິນອັດຊີເຣຍ</w:t>
      </w:r>
      <w:r>
        <w:rPr>
          <w:rFonts w:ascii="Times New Roman" w:hAnsi="Times New Roman" w:eastAsia="Times New Roman" w:cs="Times New Roman"/>
        </w:rPr>
        <w:t xml:space="preserve">, </w:t>
      </w:r>
      <w:r>
        <w:rPr>
          <w:rFonts w:ascii="Leelawadee UI" w:hAnsi="Leelawadee UI" w:eastAsia="Leelawadee UI" w:cs="Leelawadee UI"/>
        </w:rPr>
        <w:t>ແລະພວກທີ່ຖືກຂັບໄລ່ໃນແຜ່ນດິນອີຢິບ</w:t>
      </w:r>
      <w:r>
        <w:rPr>
          <w:rFonts w:ascii="Times New Roman" w:hAnsi="Times New Roman" w:eastAsia="Times New Roman" w:cs="Times New Roman"/>
        </w:rPr>
        <w:t xml:space="preserve">, </w:t>
      </w:r>
      <w:r>
        <w:rPr>
          <w:rFonts w:ascii="Leelawadee UI" w:hAnsi="Leelawadee UI" w:eastAsia="Leelawadee UI" w:cs="Leelawadee UI"/>
        </w:rPr>
        <w:t>ຈະມາ</w:t>
      </w:r>
      <w:r>
        <w:rPr>
          <w:rFonts w:ascii="Times New Roman" w:hAnsi="Times New Roman" w:eastAsia="Times New Roman" w:cs="Times New Roman"/>
        </w:rPr>
        <w:t xml:space="preserve"> </w:t>
      </w:r>
      <w:r>
        <w:rPr>
          <w:rFonts w:ascii="Leelawadee UI" w:hAnsi="Leelawadee UI" w:eastAsia="Leelawadee UI" w:cs="Leelawadee UI"/>
        </w:rPr>
        <w:t>ແລະຈະນະມັດສະການພຣະຢາເວໃນພູເຂົາບໍລິສຸດທີ່ເຢຣູຊາເລັມ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passage (Ésaïe vingt-sept, versets huit à treize) que nous examinons expose l’histoire prophétique qui a commencé le 11 septembre 2001 et illustre l’épreuve et la purification de ceux qui, en définitive, appelleront hors de Babylone les autres brebis de Dieu. Les versets d’ouverture du même chapitre désignent un cantique qui doit être chanté durant cette histoire même.</w:t>
      </w:r>
    </w:p>
    <w:p>
      <w:pPr>
        <w:pStyle w:val="ArticleScripture"/>
        <w:jc w:val="left"/>
      </w:pP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दिवशी</w:t>
      </w:r>
      <w:r>
        <w:rPr>
          <w:rFonts w:ascii="Times New Roman" w:hAnsi="Times New Roman" w:eastAsia="Times New Roman" w:cs="Times New Roman"/>
        </w:rPr>
        <w:t xml:space="preserve"> </w:t>
      </w:r>
      <w:r>
        <w:rPr>
          <w:rFonts w:ascii="Nirmala UI" w:hAnsi="Nirmala UI" w:eastAsia="Nirmala UI" w:cs="Nirmala UI"/>
        </w:rPr>
        <w:t>तिच्याविषयी</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द्राक्षारसाची</w:t>
      </w:r>
      <w:r>
        <w:rPr>
          <w:rFonts w:ascii="Times New Roman" w:hAnsi="Times New Roman" w:eastAsia="Times New Roman" w:cs="Times New Roman"/>
        </w:rPr>
        <w:t xml:space="preserve"> </w:t>
      </w:r>
      <w:r>
        <w:rPr>
          <w:rFonts w:ascii="Nirmala UI" w:hAnsi="Nirmala UI" w:eastAsia="Nirmala UI" w:cs="Nirmala UI"/>
        </w:rPr>
        <w:t>द्राक्षवेल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रक्षण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पाणी</w:t>
      </w:r>
      <w:r>
        <w:rPr>
          <w:rFonts w:ascii="Times New Roman" w:hAnsi="Times New Roman" w:eastAsia="Times New Roman" w:cs="Times New Roman"/>
        </w:rPr>
        <w:t xml:space="preserve"> </w:t>
      </w:r>
      <w:r>
        <w:rPr>
          <w:rFonts w:ascii="Nirmala UI" w:hAnsi="Nirmala UI" w:eastAsia="Nirmala UI" w:cs="Nirmala UI"/>
        </w:rPr>
        <w:t>घालीन</w:t>
      </w:r>
      <w:r>
        <w:rPr>
          <w:rFonts w:ascii="Times New Roman" w:hAnsi="Times New Roman" w:eastAsia="Times New Roman" w:cs="Times New Roman"/>
        </w:rPr>
        <w:t xml:space="preserve">; </w:t>
      </w:r>
      <w:r>
        <w:rPr>
          <w:rFonts w:ascii="Nirmala UI" w:hAnsi="Nirmala UI" w:eastAsia="Nirmala UI" w:cs="Nirmala UI"/>
        </w:rPr>
        <w:t>कोणी</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रात्रंदिवस</w:t>
      </w:r>
      <w:r>
        <w:rPr>
          <w:rFonts w:ascii="Times New Roman" w:hAnsi="Times New Roman" w:eastAsia="Times New Roman" w:cs="Times New Roman"/>
        </w:rPr>
        <w:t xml:space="preserve"> </w:t>
      </w:r>
      <w:r>
        <w:rPr>
          <w:rFonts w:ascii="Nirmala UI" w:hAnsi="Nirmala UI" w:eastAsia="Nirmala UI" w:cs="Nirmala UI"/>
        </w:rPr>
        <w:t>रक्षण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माझ्यामध्ये</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युद्धात</w:t>
      </w:r>
      <w:r>
        <w:rPr>
          <w:rFonts w:ascii="Times New Roman" w:hAnsi="Times New Roman" w:eastAsia="Times New Roman" w:cs="Times New Roman"/>
        </w:rPr>
        <w:t xml:space="preserve"> </w:t>
      </w:r>
      <w:r>
        <w:rPr>
          <w:rFonts w:ascii="Nirmala UI" w:hAnsi="Nirmala UI" w:eastAsia="Nirmala UI" w:cs="Nirmala UI"/>
        </w:rPr>
        <w:t>काटेरी</w:t>
      </w:r>
      <w:r>
        <w:rPr>
          <w:rFonts w:ascii="Times New Roman" w:hAnsi="Times New Roman" w:eastAsia="Times New Roman" w:cs="Times New Roman"/>
        </w:rPr>
        <w:t xml:space="preserve"> </w:t>
      </w:r>
      <w:r>
        <w:rPr>
          <w:rFonts w:ascii="Nirmala UI" w:hAnsi="Nirmala UI" w:eastAsia="Nirmala UI" w:cs="Nirmala UI"/>
        </w:rPr>
        <w:t>झुडपे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माझ्याविरुद्ध</w:t>
      </w:r>
      <w:r>
        <w:rPr>
          <w:rFonts w:ascii="Times New Roman" w:hAnsi="Times New Roman" w:eastAsia="Times New Roman" w:cs="Times New Roman"/>
        </w:rPr>
        <w:t xml:space="preserve"> </w:t>
      </w:r>
      <w:r>
        <w:rPr>
          <w:rFonts w:ascii="Nirmala UI" w:hAnsi="Nirmala UI" w:eastAsia="Nirmala UI" w:cs="Nirmala UI"/>
        </w:rPr>
        <w:t>कोण</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त्यांच्यामधून</w:t>
      </w:r>
      <w:r>
        <w:rPr>
          <w:rFonts w:ascii="Times New Roman" w:hAnsi="Times New Roman" w:eastAsia="Times New Roman" w:cs="Times New Roman"/>
        </w:rPr>
        <w:t xml:space="preserve"> </w:t>
      </w:r>
      <w:r>
        <w:rPr>
          <w:rFonts w:ascii="Nirmala UI" w:hAnsi="Nirmala UI" w:eastAsia="Nirmala UI" w:cs="Nirmala UI"/>
        </w:rPr>
        <w:t>जाईन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जाळून</w:t>
      </w:r>
      <w:r>
        <w:rPr>
          <w:rFonts w:ascii="Times New Roman" w:hAnsi="Times New Roman" w:eastAsia="Times New Roman" w:cs="Times New Roman"/>
        </w:rPr>
        <w:t xml:space="preserve"> </w:t>
      </w:r>
      <w:r>
        <w:rPr>
          <w:rFonts w:ascii="Nirmala UI" w:hAnsi="Nirmala UI" w:eastAsia="Nirmala UI" w:cs="Nirmala UI"/>
        </w:rPr>
        <w:t>टाकीन</w:t>
      </w:r>
      <w:r>
        <w:rPr>
          <w:rFonts w:ascii="Times New Roman" w:hAnsi="Times New Roman" w:eastAsia="Times New Roman" w:cs="Times New Roman"/>
        </w:rPr>
        <w:t xml:space="preserve">. </w:t>
      </w:r>
      <w:r>
        <w:rPr>
          <w:rFonts w:ascii="Nirmala UI" w:hAnsi="Nirmala UI" w:eastAsia="Nirmala UI" w:cs="Nirmala UI"/>
        </w:rPr>
        <w:t>नाहीतर</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माझ्या</w:t>
      </w:r>
      <w:r>
        <w:rPr>
          <w:rFonts w:ascii="Times New Roman" w:hAnsi="Times New Roman" w:eastAsia="Times New Roman" w:cs="Times New Roman"/>
        </w:rPr>
        <w:t xml:space="preserve"> </w:t>
      </w:r>
      <w:r>
        <w:rPr>
          <w:rFonts w:ascii="Nirmala UI" w:hAnsi="Nirmala UI" w:eastAsia="Nirmala UI" w:cs="Nirmala UI"/>
        </w:rPr>
        <w:t>सामर्थ्याचा</w:t>
      </w:r>
      <w:r>
        <w:rPr>
          <w:rFonts w:ascii="Times New Roman" w:hAnsi="Times New Roman" w:eastAsia="Times New Roman" w:cs="Times New Roman"/>
        </w:rPr>
        <w:t xml:space="preserve"> </w:t>
      </w:r>
      <w:r>
        <w:rPr>
          <w:rFonts w:ascii="Nirmala UI" w:hAnsi="Nirmala UI" w:eastAsia="Nirmala UI" w:cs="Nirmala UI"/>
        </w:rPr>
        <w:t>आश्रय</w:t>
      </w:r>
      <w:r>
        <w:rPr>
          <w:rFonts w:ascii="Times New Roman" w:hAnsi="Times New Roman" w:eastAsia="Times New Roman" w:cs="Times New Roman"/>
        </w:rPr>
        <w:t xml:space="preserve"> </w:t>
      </w:r>
      <w:r>
        <w:rPr>
          <w:rFonts w:ascii="Nirmala UI" w:hAnsi="Nirmala UI" w:eastAsia="Nirmala UI" w:cs="Nirmala UI"/>
        </w:rPr>
        <w:t>घ्यावा</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माझ्याबरोबर</w:t>
      </w:r>
      <w:r>
        <w:rPr>
          <w:rFonts w:ascii="Times New Roman" w:hAnsi="Times New Roman" w:eastAsia="Times New Roman" w:cs="Times New Roman"/>
        </w:rPr>
        <w:t xml:space="preserve"> </w:t>
      </w:r>
      <w:r>
        <w:rPr>
          <w:rFonts w:ascii="Nirmala UI" w:hAnsi="Nirmala UI" w:eastAsia="Nirmala UI" w:cs="Nirmala UI"/>
        </w:rPr>
        <w:t>शांती</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माझ्याबरोबर</w:t>
      </w:r>
      <w:r>
        <w:rPr>
          <w:rFonts w:ascii="Times New Roman" w:hAnsi="Times New Roman" w:eastAsia="Times New Roman" w:cs="Times New Roman"/>
        </w:rPr>
        <w:t xml:space="preserve"> </w:t>
      </w:r>
      <w:r>
        <w:rPr>
          <w:rFonts w:ascii="Nirmala UI" w:hAnsi="Nirmala UI" w:eastAsia="Nirmala UI" w:cs="Nirmala UI"/>
        </w:rPr>
        <w:t>शांती</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याकोबापासून</w:t>
      </w:r>
      <w:r>
        <w:rPr>
          <w:rFonts w:ascii="Times New Roman" w:hAnsi="Times New Roman" w:eastAsia="Times New Roman" w:cs="Times New Roman"/>
        </w:rPr>
        <w:t xml:space="preserve"> </w:t>
      </w:r>
      <w:r>
        <w:rPr>
          <w:rFonts w:ascii="Nirmala UI" w:hAnsi="Nirmala UI" w:eastAsia="Nirmala UI" w:cs="Nirmala UI"/>
        </w:rPr>
        <w:t>येणाऱ्यांना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मुळे</w:t>
      </w:r>
      <w:r>
        <w:rPr>
          <w:rFonts w:ascii="Times New Roman" w:hAnsi="Times New Roman" w:eastAsia="Times New Roman" w:cs="Times New Roman"/>
        </w:rPr>
        <w:t xml:space="preserve"> </w:t>
      </w:r>
      <w:r>
        <w:rPr>
          <w:rFonts w:ascii="Nirmala UI" w:hAnsi="Nirmala UI" w:eastAsia="Nirmala UI" w:cs="Nirmala UI"/>
        </w:rPr>
        <w:t>धरावयास</w:t>
      </w:r>
      <w:r>
        <w:rPr>
          <w:rFonts w:ascii="Times New Roman" w:hAnsi="Times New Roman" w:eastAsia="Times New Roman" w:cs="Times New Roman"/>
        </w:rPr>
        <w:t xml:space="preserve"> </w:t>
      </w:r>
      <w:r>
        <w:rPr>
          <w:rFonts w:ascii="Nirmala UI" w:hAnsi="Nirmala UI" w:eastAsia="Nirmala UI" w:cs="Nirmala UI"/>
        </w:rPr>
        <w:t>लावील</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फुलेल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कळी</w:t>
      </w:r>
      <w:r>
        <w:rPr>
          <w:rFonts w:ascii="Times New Roman" w:hAnsi="Times New Roman" w:eastAsia="Times New Roman" w:cs="Times New Roman"/>
        </w:rPr>
        <w:t xml:space="preserve"> </w:t>
      </w:r>
      <w:r>
        <w:rPr>
          <w:rFonts w:ascii="Nirmala UI" w:hAnsi="Nirmala UI" w:eastAsia="Nirmala UI" w:cs="Nirmala UI"/>
        </w:rPr>
        <w:t>धरेल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जगाचा</w:t>
      </w:r>
      <w:r>
        <w:rPr>
          <w:rFonts w:ascii="Times New Roman" w:hAnsi="Times New Roman" w:eastAsia="Times New Roman" w:cs="Times New Roman"/>
        </w:rPr>
        <w:t xml:space="preserve"> </w:t>
      </w:r>
      <w:r>
        <w:rPr>
          <w:rFonts w:ascii="Nirmala UI" w:hAnsi="Nirmala UI" w:eastAsia="Nirmala UI" w:cs="Nirmala UI"/>
        </w:rPr>
        <w:t>चेहरा</w:t>
      </w:r>
      <w:r>
        <w:rPr>
          <w:rFonts w:ascii="Times New Roman" w:hAnsi="Times New Roman" w:eastAsia="Times New Roman" w:cs="Times New Roman"/>
        </w:rPr>
        <w:t xml:space="preserve"> </w:t>
      </w:r>
      <w:r>
        <w:rPr>
          <w:rFonts w:ascii="Nirmala UI" w:hAnsi="Nirmala UI" w:eastAsia="Nirmala UI" w:cs="Nirmala UI"/>
        </w:rPr>
        <w:t>फळांनी</w:t>
      </w:r>
      <w:r>
        <w:rPr>
          <w:rFonts w:ascii="Times New Roman" w:hAnsi="Times New Roman" w:eastAsia="Times New Roman" w:cs="Times New Roman"/>
        </w:rPr>
        <w:t xml:space="preserve"> </w:t>
      </w:r>
      <w:r>
        <w:rPr>
          <w:rFonts w:ascii="Nirmala UI" w:hAnsi="Nirmala UI" w:eastAsia="Nirmala UI" w:cs="Nirmala UI"/>
        </w:rPr>
        <w:t>भरून</w:t>
      </w:r>
      <w:r>
        <w:rPr>
          <w:rFonts w:ascii="Times New Roman" w:hAnsi="Times New Roman" w:eastAsia="Times New Roman" w:cs="Times New Roman"/>
        </w:rPr>
        <w:t xml:space="preserve"> </w:t>
      </w:r>
      <w:r>
        <w:rPr>
          <w:rFonts w:ascii="Nirmala UI" w:hAnsi="Nirmala UI" w:eastAsia="Nirmala UI" w:cs="Nirmala UI"/>
        </w:rPr>
        <w:t>टाकील</w:t>
      </w:r>
      <w:r>
        <w:rPr>
          <w:rFonts w:ascii="Times New Roman" w:hAnsi="Times New Roman" w:eastAsia="Times New Roman" w:cs="Times New Roman"/>
        </w:rPr>
        <w:t xml:space="preserve">. </w:t>
      </w:r>
      <w:r>
        <w:rPr>
          <w:rFonts w:ascii="Nirmala UI" w:hAnsi="Nirmala UI" w:eastAsia="Nirmala UI" w:cs="Nirmala UI"/>
        </w:rPr>
        <w:t>ज्यांनी</w:t>
      </w:r>
      <w:r>
        <w:rPr>
          <w:rFonts w:ascii="Times New Roman" w:hAnsi="Times New Roman" w:eastAsia="Times New Roman" w:cs="Times New Roman"/>
        </w:rPr>
        <w:t xml:space="preserve"> </w:t>
      </w:r>
      <w:r>
        <w:rPr>
          <w:rFonts w:ascii="Nirmala UI" w:hAnsi="Nirmala UI" w:eastAsia="Nirmala UI" w:cs="Nirmala UI"/>
        </w:rPr>
        <w:t>त्याला</w:t>
      </w:r>
      <w:r>
        <w:rPr>
          <w:rFonts w:ascii="Times New Roman" w:hAnsi="Times New Roman" w:eastAsia="Times New Roman" w:cs="Times New Roman"/>
        </w:rPr>
        <w:t xml:space="preserve"> </w:t>
      </w:r>
      <w:r>
        <w:rPr>
          <w:rFonts w:ascii="Nirmala UI" w:hAnsi="Nirmala UI" w:eastAsia="Nirmala UI" w:cs="Nirmala UI"/>
        </w:rPr>
        <w:t>मारले</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मारले</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यालाही</w:t>
      </w:r>
      <w:r>
        <w:rPr>
          <w:rFonts w:ascii="Times New Roman" w:hAnsi="Times New Roman" w:eastAsia="Times New Roman" w:cs="Times New Roman"/>
        </w:rPr>
        <w:t xml:space="preserve"> </w:t>
      </w:r>
      <w:r>
        <w:rPr>
          <w:rFonts w:ascii="Nirmala UI" w:hAnsi="Nirmala UI" w:eastAsia="Nirmala UI" w:cs="Nirmala UI"/>
        </w:rPr>
        <w:t>मारले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ज्यांचा</w:t>
      </w:r>
      <w:r>
        <w:rPr>
          <w:rFonts w:ascii="Times New Roman" w:hAnsi="Times New Roman" w:eastAsia="Times New Roman" w:cs="Times New Roman"/>
        </w:rPr>
        <w:t xml:space="preserve"> </w:t>
      </w:r>
      <w:r>
        <w:rPr>
          <w:rFonts w:ascii="Nirmala UI" w:hAnsi="Nirmala UI" w:eastAsia="Nirmala UI" w:cs="Nirmala UI"/>
        </w:rPr>
        <w:t>त्याच्याद्वारे</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संहाराप्रमाणेच</w:t>
      </w:r>
      <w:r>
        <w:rPr>
          <w:rFonts w:ascii="Times New Roman" w:hAnsi="Times New Roman" w:eastAsia="Times New Roman" w:cs="Times New Roman"/>
        </w:rPr>
        <w:t xml:space="preserve"> </w:t>
      </w:r>
      <w:r>
        <w:rPr>
          <w:rFonts w:ascii="Nirmala UI" w:hAnsi="Nirmala UI" w:eastAsia="Nirmala UI" w:cs="Nirmala UI"/>
        </w:rPr>
        <w:t>याचाही</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27:2–7.</w:t>
      </w:r>
    </w:p>
    <w:p>
      <w:pPr>
        <w:pStyle w:val="ArticleBody"/>
        <w:jc w:val="left"/>
      </w:pPr>
      <w:r>
        <w:rPr>
          <w:rFonts w:ascii="Times New Roman" w:hAnsi="Times New Roman" w:eastAsia="Times New Roman" w:cs="Times New Roman"/>
        </w:rPr>
        <w:t>Chant du vignoble ezali chant oyo liboso emonisi bato ya Nzambe lokola elanga ya vino oyo Ye alingaki mpe abatelaki. Na sima epesi elaka ya koyambama mpo na moto nyonso oyo akolinga kosimba boyengebene ya Klisto. Na sima emonisi elaka ya kosopama ya Molimo Mosantu, oyo emonisami na biteni mibale ya mbula. Eteni ya liboso ya mbula epesaka bomoi na bafololo mpe na mabebu, mpe eteni ya mibale etondisaka mabele na mbuma.</w:t>
      </w:r>
    </w:p>
    <w:p>
      <w:pPr>
        <w:pStyle w:val="ArticleBody"/>
        <w:jc w:val="left"/>
      </w:pPr>
      <w:r>
        <w:rPr>
          <w:rFonts w:ascii="Times New Roman" w:hAnsi="Times New Roman" w:eastAsia="Times New Roman" w:cs="Times New Roman"/>
        </w:rPr>
        <w:t>Le chant de la vigne est le chant qui désigne la période où Dieu passe à côté d’un ancien peuple élu, tandis qu’il entre en alliance avec un nouveau peuple élu. Les versets huit et suivants ne font que reprendre et développer les versets d’ouverture du chapitre. Le premier verset du chapitre désigne le même événement que celui qui est désigné comme le « jour du vent d’orient » au verset huit.</w:t>
      </w:r>
    </w:p>
    <w:p>
      <w:pPr>
        <w:pStyle w:val="ArticleScripture"/>
        <w:jc w:val="left"/>
      </w:pPr>
      <w:r>
        <w:rPr>
          <w:rFonts w:ascii="Times New Roman" w:hAnsi="Times New Roman" w:eastAsia="Times New Roman" w:cs="Times New Roman"/>
        </w:rPr>
        <w:t>Atë ditë Zoti, me shpatën e tij të ashpër, të madhe dhe të fuqishme, do ta ndëshkojë Leviathanin, gjarprin depërtues, po, Leviathanin, atë gjarpër të shtrembër; dhe ai do ta vrasë dragoin që është në det. Isaia 27:1.</w:t>
      </w:r>
    </w:p>
    <w:p>
      <w:pPr>
        <w:pStyle w:val="ArticleBody"/>
        <w:jc w:val="left"/>
      </w:pPr>
      <w:r>
        <w:rPr>
          <w:rFonts w:ascii="Times New Roman" w:hAnsi="Times New Roman" w:eastAsia="Times New Roman" w:cs="Times New Roman"/>
        </w:rPr>
        <w:t>Dragoni është Satani, por në një kuptim dytësor ishte Roma pagane.</w:t>
      </w:r>
    </w:p>
    <w:p>
      <w:pPr>
        <w:pStyle w:val="ArticleScripture"/>
        <w:jc w:val="left"/>
      </w:pPr>
      <w:r>
        <w:rPr>
          <w:rFonts w:ascii="Times New Roman" w:hAnsi="Times New Roman" w:eastAsia="Times New Roman" w:cs="Times New Roman"/>
        </w:rPr>
        <w:t>«Вследствие этого, хотя дракон в первую очередь представляет сатану, во вторичном смысле он является символом языческого Рима». The Great Controversy, 439.</w:t>
      </w:r>
    </w:p>
    <w:p>
      <w:pPr>
        <w:pStyle w:val="ArticleBody"/>
        <w:jc w:val="left"/>
      </w:pPr>
      <w:r>
        <w:rPr>
          <w:rFonts w:ascii="Times New Roman" w:hAnsi="Times New Roman" w:eastAsia="Times New Roman" w:cs="Times New Roman"/>
        </w:rPr>
        <w:t>Les dix rois de la Rome païenne, au chapitre sept de Daniel, et au chapitre douze de l’Apocalypse, représentent les dix rois d’Apocalypse dix-sept — dans les derniers jours.</w:t>
      </w:r>
    </w:p>
    <w:p>
      <w:pPr>
        <w:pStyle w:val="ArticleScripture"/>
        <w:jc w:val="left"/>
      </w:pPr>
      <w:r>
        <w:rPr>
          <w:rFonts w:ascii="Times New Roman" w:hAnsi="Times New Roman" w:eastAsia="Times New Roman" w:cs="Times New Roman"/>
        </w:rPr>
        <w:t>« Les rois, les princes et les gouverneurs se sont eux-mêmes marqués de l’empreinte de l’antichrist, et sont représentés par le dragon qui s’en va faire la guerre aux saints, à ceux qui gardent les commandements de Dieu et qui ont la foi de Jésus. » Testimonies to Ministers, 38.</w:t>
      </w:r>
    </w:p>
    <w:p>
      <w:pPr>
        <w:pStyle w:val="ArticleBody"/>
        <w:jc w:val="left"/>
      </w:pPr>
      <w:r>
        <w:rPr>
          <w:rFonts w:ascii="Times New Roman" w:hAnsi="Times New Roman" w:eastAsia="Times New Roman" w:cs="Times New Roman"/>
        </w:rPr>
        <w:t>Yesaya 27 ayat 1 sedang menunjukkan permulaan penghakiman atas naga itu, yang bermula pada hari angin timur, pada 11 September 2001. Penghakiman atas raja-raja di bumi, dan para mitra saudagar globalis mereka, terlaksana ketika struktur kewangan bumi dihancurkan oleh suatu “angin timur”, di tengah-tengah “lautan-lautan”.</w:t>
      </w:r>
    </w:p>
    <w:p>
      <w:pPr>
        <w:pStyle w:val="ArticleScripture"/>
        <w:jc w:val="left"/>
      </w:pPr>
      <w:r>
        <w:rPr>
          <w:rFonts w:ascii="Times New Roman" w:hAnsi="Times New Roman" w:eastAsia="Times New Roman" w:cs="Times New Roman"/>
        </w:rPr>
        <w:t>Car voici, les rois s’étaient assemblés, ils passaient ensemble. Ils ont vu, et alors ils ont été dans l’étonnement; ils ont été troublés, et se sont hâtés de s’enfuir. La frayeur les a saisis là, et la douleur, comme celle d’une femme en travail. Tu brises les navires de Tarsis par un vent d’orient. Psaumes 48:4–7.</w:t>
      </w:r>
    </w:p>
    <w:p>
      <w:pPr>
        <w:pStyle w:val="ArticleBody"/>
        <w:jc w:val="left"/>
      </w:pPr>
      <w:r>
        <w:rPr>
          <w:rFonts w:ascii="Times New Roman" w:hAnsi="Times New Roman" w:eastAsia="Times New Roman" w:cs="Times New Roman"/>
        </w:rPr>
        <w:t>یسعیاہ کے باب ستائیس کی آیات ایک سے سات تک، آیات آٹھ سے تیرہ میں دہرائی گئی ہیں اور اُن کی مزید توضیح کی گئی ہے۔ یہ واضح کرتا ہے کہ “مشرقی ہوا کے دن” زمین کے بادشاہوں اور سوداگروں کو خوف کا سامنا ہوگا، اور اُس مقام کے بعد سے تاریخ کے دوران اُن کا خوف بڑھتا چلا جاتا ہے۔ یہی خوف کرۂ ارض کے ترقی پسند عالمگیرت پسندوں کی غیر منطقی اور عجلت آمیز حرکات کی نشان دہی کرتا ہے، جو 11 ستمبر 2001 کے بعد سے اپنی مہم کو اُس حد سے زیادہ اور زیادہ جارحانہ انداز میں آگے بڑھا رہے ہیں، جتنا منطقی طور پر متوقع ہوتا۔ شیطان، اور اُس کے نمائندے، یعنی زمین کے سوداگروں اور بادشاہوں (عالمگیرت پسندوں) کے لیے، جو اژدہا کی علامتیں ہیں، جانتے ہیں کہ اُن کا وقت مختصر ہے۔</w:t>
      </w:r>
    </w:p>
    <w:p>
      <w:pPr>
        <w:pStyle w:val="ArticleScripture"/>
        <w:jc w:val="left"/>
      </w:pPr>
      <w:r>
        <w:rPr>
          <w:rFonts w:ascii="Times New Roman" w:hAnsi="Times New Roman" w:eastAsia="Times New Roman" w:cs="Times New Roman"/>
        </w:rPr>
        <w:t>Por tanto, alegraos, cielos, y los que moráis en ellos. ¡Ay de los moradores de la tierra y del mar!, porque el diablo ha descendido a vosotros con gran ira, sabiendo que le queda poco tiempo. Apocalipsis 12:12.</w:t>
      </w:r>
    </w:p>
    <w:p>
      <w:pPr>
        <w:pStyle w:val="ArticleBody"/>
        <w:jc w:val="left"/>
      </w:pPr>
      <w:r>
        <w:rPr>
          <w:rFonts w:ascii="Times New Roman" w:hAnsi="Times New Roman" w:eastAsia="Times New Roman" w:cs="Times New Roman"/>
        </w:rPr>
        <w:t>Le jour du vent d’orient, qui a provoqué la crise économique en 2001, laquelle n’a fait qu’empirer, quoi qu’en prétendent les médias mondialistes, est la question qui se présente au monde au moment où le dragon sait que son temps est court. Alors, il intensifie ses mouvements en vue de la domination de toute la terre, et il le fait lorsque le « Malheur » (le troisième Malheur) est attiré sur « les habitants de la terre et de la mer ».</w:t>
      </w:r>
    </w:p>
    <w:p>
      <w:pPr>
        <w:pStyle w:val="ArticleBody"/>
        <w:jc w:val="left"/>
      </w:pPr>
      <w:r>
        <w:rPr>
          <w:rFonts w:ascii="Times New Roman" w:hAnsi="Times New Roman" w:eastAsia="Times New Roman" w:cs="Times New Roman"/>
        </w:rPr>
        <w:t>تصلّب الإسلام، وهو الويل الثالث (ريح الشرق)، في 11 سبتمبر 2001، فأحدث كارثة اقتصادية أرغمت العولميين على تسريع جهودهم لفرض حكومة عالمية واحدة على كوكب الأرض. غير أنّ الإسلام ما زال يواصل أداء دوره. ولعلّ أخطر إعلانٍ عن الإسلام بوصفه رمزًا في نبوة الكتاب المقدس يُوجَد في أول إشارة إلى الإسلام.</w:t>
      </w:r>
    </w:p>
    <w:p>
      <w:pPr>
        <w:pStyle w:val="ArticleScripture"/>
        <w:jc w:val="left"/>
      </w:pPr>
      <w:r>
        <w:rPr>
          <w:rFonts w:ascii="Times New Roman" w:hAnsi="Times New Roman" w:eastAsia="Times New Roman" w:cs="Times New Roman"/>
        </w:rPr>
        <w:t>Lež anděl Hospodinův jí řekl: Hle, jsi těhotná a porodíš syna a dáš mu jméno Izmael, neboť Hospodin slyšel tvé soužení. A on bude jako divoký muž; jeho ruka bude proti každému člověku a ruka každého člověka proti němu; a bude přebývat před tváří všech svých bratří. Genesis 16:11, 12.</w:t>
      </w:r>
    </w:p>
    <w:p>
      <w:pPr>
        <w:pStyle w:val="ArticleBody"/>
        <w:jc w:val="left"/>
      </w:pPr>
      <w:r>
        <w:rPr>
          <w:rFonts w:ascii="Times New Roman" w:hAnsi="Times New Roman" w:eastAsia="Times New Roman" w:cs="Times New Roman"/>
        </w:rPr>
        <w:t>Kalom ni God duadua e sega ni vakacacani rawa. Ni se tomana tiko ga na Isalama me vakavuna na mosi me vaka na yalewa sa taroga, e so era na rawa mada ga ni ciqoma ni sa kilai na Isalama ena parofisai ni iVolatabu, ia era se sega ni rawata vakavinaka na kena matata ni dina e tiko ena rua na tikinivolatabu oqori. E so era na kila ni sa na Isalama ga e kauta vata mai na tamata kecega e vuravura me ra veisaqasaqa kei na dua na meca vata ga, ka dina sara ga oqo. Ia na iotioti ni yatuvosa ena tikina oqori na dina e bibi cake. A yavavala na vuravura ena ika 11 ni Seviteba, 2001, ka sa qai vakayavalati tale ga oqo ena gauna vou qo ena ika 7 ni Okotova ni yabaki oqo ena ravuravu nei Hamas vei Isireli. Ia e sega ni dua e via raica ni yalo ni valu kei na veivakarusai vakasauri sa “ena matadra kece” na wekai Isimeli.</w:t>
      </w:r>
    </w:p>
    <w:p>
      <w:pPr>
        <w:pStyle w:val="ArticleBody"/>
        <w:jc w:val="left"/>
      </w:pPr>
      <w:r>
        <w:rPr>
          <w:rFonts w:ascii="Times New Roman" w:hAnsi="Times New Roman" w:eastAsia="Times New Roman" w:cs="Times New Roman"/>
        </w:rPr>
        <w:t>Ni aina gani ya uharibifu utakaotekelezwa wakati kutakapokuwa na shambulio la kushtukiza litakalofanywa na mataifa ya Kiislamu kama vile Saudi Arabia, Falme za Kiarabu, Qatar, Kuwait, Brunei na Bahrain? Roho ya Ishmaeli imo ndani ya “ndugu zake wote,” na vita ambavyo hadi sasa vimetokezwa na Ole ya tatu kutoka nchi kama Afghanistan au Iraq, vitakuwa tofauti kabisa wakati unabii wa Ishmaeli utakapokuwa umetimizwa kikamilifu. Pakistan ina mabomu mangapi ya nyuklia?</w:t>
      </w:r>
    </w:p>
    <w:p>
      <w:pPr>
        <w:pStyle w:val="ArticleBody"/>
        <w:jc w:val="left"/>
      </w:pPr>
      <w:r>
        <w:rPr>
          <w:rFonts w:ascii="Times New Roman" w:hAnsi="Times New Roman" w:eastAsia="Times New Roman" w:cs="Times New Roman"/>
        </w:rPr>
        <w:t>L’aspecte prophétique de la guerre islamique, tel qu’il se manifeste dans le premier et le second Malheurs islamiques, consiste en des attaques soudaines et par surprise. Les nations islamiques opulentes disposent-elles de ressources financières suffisantes pour se procurer ou produire secrètement des armes plus sophistiquées et plus meurtrières que des avions chargés de carburant, des voitures piégées, des pneus enflammés, le viol et des couteaux ? Faut-il croire la Parole de Dieu ?</w:t>
      </w:r>
    </w:p>
    <w:p>
      <w:pPr>
        <w:pStyle w:val="ArticleBody"/>
        <w:jc w:val="left"/>
      </w:pPr>
      <w:r>
        <w:rPr>
          <w:rFonts w:ascii="Times New Roman" w:hAnsi="Times New Roman" w:eastAsia="Times New Roman" w:cs="Times New Roman"/>
        </w:rPr>
        <w:t>Všechny klenoty z Millerova snu se v posledních dnech stávají zkušebními pravdami, už jen z toho důvodu, že tyto pravdy byly odmítnuty a proroctví ukazuje, že budou obnoveny. Některé z těchto klenotů však, jako dílo Krista v nebeské svatyni a islám třetího běda, označují předpovědi, které se naplňují teprve v samém závěru času. Jedno představuje dílo Krista ve svatyni svatých, nepochybně přítomnou zkušební pravdu, a druhé označuje poselství Půlnočního volání, které je opět přítomnou zkušební pravdou.</w:t>
      </w:r>
    </w:p>
    <w:p>
      <w:pPr>
        <w:pStyle w:val="ArticleBody"/>
        <w:jc w:val="left"/>
      </w:pPr>
      <w:r>
        <w:rPr>
          <w:rFonts w:ascii="Times New Roman" w:hAnsi="Times New Roman" w:eastAsia="Times New Roman" w:cs="Times New Roman"/>
        </w:rPr>
        <w:t>Ipiti ihuza hamwe urugendo rw’Abamillerite n’igihe cy’iherezo mu 1989, ari na cyo cyinjiza urugendo rw’ibihumbi ijana na mirongo ine na bine, ni “ibihe birindwi,” ari byo byari umutako wa mbere wa Miller kandi bikaba ari byo bya mbere byashyizwe ku ruhande ubwo Ubwadivantisiti bwateraga umugongo inzira za kera. Imyaka ijana na makumyabiri n’itandatu, uhereye ku bugome bwo kwigomeka bwo mu 1863 kugeza ku gihe cy’iherezo mu 1989, ihagarariye “ibihe birindwi.” Ibyo bihumbi bibiri na magana atanu na makumyabiri byagabanyijwemo ibihe bibiri by’igihumbi na magana abiri na mirongo itandatu; kandi kimwe cya cumi, cyangwa kimwe cya icumi, cy’igihumbi na magana abiri na mirongo itandatu ni ijana na makumyabiri n’itandatu. Ibuye abubatsi banze ni rirerire cyane ku buryo rihuza urugendo rwa mbere n’urw’iherezo rw’abamarayika batatu. Bityo rikerekana ko ukuri kw’“ibihe birindwi” na ko ari ukuri kwo kugerageza kw’iki gihe, kandi ko ari ukuri kutakiri gusa ibuye ry’ifatizo, ahubwo ko ari ryo mutwe w’imfuruka.</w:t>
      </w:r>
    </w:p>
    <w:p>
      <w:pPr>
        <w:pStyle w:val="ArticleBody"/>
        <w:jc w:val="left"/>
      </w:pPr>
      <w:r>
        <w:rPr>
          <w:rFonts w:ascii="Times New Roman" w:hAnsi="Times New Roman" w:eastAsia="Times New Roman" w:cs="Times New Roman"/>
        </w:rPr>
        <w:t>Lê ni e ma tɔ́ ayɛsɛm nú, ní e yi sukuu mɛninyonɔn si he le Millerite kɔsa mɛ a Ulai Sin tɔtrɔ si lɛ e wɔ Daniel agbale me, eye e trɔ míaŋutɔ dzi ɖe Hiddekel Sin tɔtrɔ ŋu, si lɔlɔm na sukuu mɛninyonɔn si le agbadza me le amemafosrawó enyi kple ene.</w:t>
      </w:r>
    </w:p>
    <w:p>
      <w:pPr>
        <w:pStyle w:val="ArticleBody"/>
        <w:jc w:val="left"/>
      </w:pPr>
      <w:r>
        <w:rPr>
          <w:rFonts w:ascii="Times New Roman" w:hAnsi="Times New Roman" w:eastAsia="Times New Roman" w:cs="Times New Roman"/>
        </w:rPr>
        <w:t>Tianao hath startsika amin’ny fandinihana ireo taranaka efatra ao amin’ny Advantisma izay mandrakotra ny enim-polo amby roapolo sy zato taona, hatramin’ny 1863 ka hatramin’ny 1989.</w:t>
      </w:r>
    </w:p>
    <w:p>
      <w:pPr>
        <w:pStyle w:val="ArticleBody"/>
        <w:jc w:val="left"/>
      </w:pPr>
      <w:r>
        <w:rPr>
          <w:rFonts w:ascii="Ebrima" w:hAnsi="Ebrima" w:eastAsia="Ebrima" w:cs="Ebrima"/>
        </w:rPr>
        <w:t>ማጥናቱን</w:t>
      </w:r>
      <w:r>
        <w:rPr>
          <w:rFonts w:ascii="Times New Roman" w:hAnsi="Times New Roman" w:eastAsia="Times New Roman" w:cs="Times New Roman"/>
        </w:rPr>
        <w:t xml:space="preserve"> </w:t>
      </w:r>
      <w:r>
        <w:rPr>
          <w:rFonts w:ascii="Ebrima" w:hAnsi="Ebrima" w:eastAsia="Ebrima" w:cs="Ebrima"/>
        </w:rPr>
        <w:t>በሚቀጥለው</w:t>
      </w:r>
      <w:r>
        <w:rPr>
          <w:rFonts w:ascii="Times New Roman" w:hAnsi="Times New Roman" w:eastAsia="Times New Roman" w:cs="Times New Roman"/>
        </w:rPr>
        <w:t xml:space="preserve"> </w:t>
      </w:r>
      <w:r>
        <w:rPr>
          <w:rFonts w:ascii="Ebrima" w:hAnsi="Ebrima" w:eastAsia="Ebrima" w:cs="Ebrima"/>
        </w:rPr>
        <w:t>ጽሑፍ</w:t>
      </w:r>
      <w:r>
        <w:rPr>
          <w:rFonts w:ascii="Times New Roman" w:hAnsi="Times New Roman" w:eastAsia="Times New Roman" w:cs="Times New Roman"/>
        </w:rPr>
        <w:t xml:space="preserve"> </w:t>
      </w:r>
      <w:r>
        <w:rPr>
          <w:rFonts w:ascii="Ebrima" w:hAnsi="Ebrima" w:eastAsia="Ebrima" w:cs="Ebrima"/>
        </w:rPr>
        <w:t>እንጀምራለን።</w:t>
      </w:r>
    </w:p>
    <w:p>
      <w:pPr>
        <w:pStyle w:val="ArticleScripture"/>
        <w:jc w:val="left"/>
      </w:pPr>
      <w:r>
        <w:rPr>
          <w:rFonts w:ascii="Times New Roman" w:hAnsi="Times New Roman" w:eastAsia="Times New Roman" w:cs="Times New Roman"/>
        </w:rPr>
        <w:t>Uye kwakuthi ngonyaka wesithupha, ngenyanga yesithupha, ngosuku lwesihlanu lwenyanga, lapho ngihlezi endlini yami, namadoda amadala akwaJuda ehlezi phambi kwami, isandla seNkosi uJehova sehlela phezu kwami lapho. Ngase ngibona; bheka, kwaba khona okufana nesimo somlilo: kusukela ekubonakaleni kwezinqe zakhe kuze kube phansi, umlilo; futhi kusukela ezinqeni zakhe kuze kube phezulu, kwakunjengokubonakala kokukhazimula, njengombala wenhlaka. Wayese welula okufana nesandla, wangibamba ngentambo yezinwele zekhanda lami; umoya wangiphakamisa phakathi komhlaba nezulu, wangiletha ngemibono kaNkulunkulu eJerusalema, emnyango wesango elingaphakathi elibheke ngasenyakatho; lapho kwakukhona isihlalo somfanekiso womhawu, ovusela umhawu. Futhi bheka, inkazimulo kaNkulunkulu ka-Israyeli yayikhona lapho, ngokombono engawubona esigodini. Wayesethi kimi: Ndodana yomuntu, phakamisa amehlo akho manje ubheke ngasenyakatho. Ngakho ngaphakamisa amehlo ami ngabheka ngasenyakatho, bheka, enyakatho ngasesangweni le-altare kwakukhona lo mfanekiso womhawu emnyango. Wabuye wathi kimi: Ndodana yomuntu, uyakubona yini abakwenzayo? yebo, izinengiso ezinkulu indlu ka-Israyeli ezenzayo lapha, ukuze ngibe kude lendlu yami engcwele? kodwa phenduka futhi, uzakubona izinengiso ezinkulu kakhulu. Wayesengiletha emnyango wegceke; kwathi lapho ngibheka, bheka, kwakukhona imbobo odongeni.</w:t>
      </w:r>
    </w:p>
    <w:p>
      <w:pPr>
        <w:pStyle w:val="ArticleScripture"/>
        <w:jc w:val="left"/>
      </w:pPr>
      <w:r>
        <w:rPr>
          <w:rFonts w:ascii="Times New Roman" w:hAnsi="Times New Roman" w:eastAsia="Times New Roman" w:cs="Times New Roman"/>
        </w:rPr>
        <w:t>Apoi mi-a zis: „Fiul omului, sapă acum în zid.” Și, după ce am săpat în zid, iată, era o ușă. Și mi-a zis: „Intră și vezi urâciunile rele pe care le săvârșesc aici.” Am intrat și am văzut; și iată, tot felul de târâtoare și de fiare urâcioase, și toți idolii casei lui Israel, zugrăviți pe zid de jur împrejur. Și stăteau înaintea lor șaptezeci de bărbați dintre bătrânii casei lui Israel, și în mijlocul lor stătea Iaazania, fiul lui Șafan, fiecare om cu cădelnița în mână; și se înălța un nor gros de tămâie. Atunci mi-a zis: „Fiul omului, ai văzut ce fac în întuneric bătrânii casei lui Israel, fiecare în odăile închipuirilor sale? Căci ei zic: «Domnul nu ne vede; Domnul a părăsit pământul.»” Mi-a mai zis: „Întoarce-te iarăși și vei vedea urâciuni și mai mari pe care le săvârșesc.” Apoi m-a adus la ușa porții casei Domnului, care era spre miazănoapte; și iată, acolo ședeau niște femei care plângeau pe Tamuz. Și mi-a zis: „Ai văzut aceasta, fiul omului? Întoarce-te iarăși și vei vedea urâciuni și mai mari decât acestea.” Și m-a adus în curtea dinăuntru a casei Domnului; și iată, la ușa templului Domnului, între pridvor și altar, erau aproape douăzeci și cinci de bărbați, cu spatele întors spre templul Domnului și cu fețele spre răsărit; și se închinau soarelui spre răsărit. Atunci mi-a zis: „Ai văzut aceasta, fiul omului? Este oare puțin lucru pentru casa lui Iuda să săvârșească urâciunile pe care le săvârșesc aici? Căci au umplut țara de silnicie și s-au întors iarăși ca să Mă mânie; și iată, își duc ramura la nas. De aceea și Eu voi lucra cu furie: ochiul Meu nu va cruța și nu voi avea milă; și chiar dacă vor striga în auzul urechilor Mele cu glas tare, tot nu-i voi asculta.” Ezechiel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Sitini na Saba</dc:title>
  <dc:subject>Aucune langue cible n’a été précisée pour « ff ».</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