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soixante-huit</w:t>
      </w:r>
    </w:p>
    <w:p>
      <w:pPr>
        <w:pStyle w:val="ArticleSubtitle"/>
        <w:jc w:val="left"/>
      </w:pPr>
      <w:r>
        <w:rPr>
          <w:rFonts w:ascii="Arial" w:hAnsi="Arial" w:eastAsia="Arial" w:cs="Arial"/>
        </w:rPr>
        <w:t>Dévoiler le message prophétique d’Ézéchiel, chapitre huit : la loi du dimanche et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Ezekieli sura ya nane ni mojawapo ya sura za kinabii zilizo rahisi zaidi katika Maandiko. Sura hiyo ina mwanzo ulio bayana.</w:t>
      </w:r>
    </w:p>
    <w:p>
      <w:pPr>
        <w:pStyle w:val="ArticleScripture"/>
        <w:jc w:val="left"/>
      </w:pPr>
      <w:r>
        <w:rPr>
          <w:rFonts w:ascii="Leelawadee UI" w:hAnsi="Leelawadee UI" w:eastAsia="Leelawadee UI" w:cs="Leelawadee UI"/>
        </w:rPr>
        <w:t>ហើយក៏កើតមានឡើង</w:t>
      </w:r>
      <w:r>
        <w:rPr>
          <w:rFonts w:ascii="Times New Roman" w:hAnsi="Times New Roman" w:eastAsia="Times New Roman" w:cs="Times New Roman"/>
        </w:rPr>
        <w:t xml:space="preserve"> </w:t>
      </w:r>
      <w:r>
        <w:rPr>
          <w:rFonts w:ascii="Leelawadee UI" w:hAnsi="Leelawadee UI" w:eastAsia="Leelawadee UI" w:cs="Leelawadee UI"/>
        </w:rPr>
        <w:t>ក្នុងឆ្នាំទីប្រាំមួយ</w:t>
      </w:r>
      <w:r>
        <w:rPr>
          <w:rFonts w:ascii="Times New Roman" w:hAnsi="Times New Roman" w:eastAsia="Times New Roman" w:cs="Times New Roman"/>
        </w:rPr>
        <w:t xml:space="preserve"> </w:t>
      </w:r>
      <w:r>
        <w:rPr>
          <w:rFonts w:ascii="Leelawadee UI" w:hAnsi="Leelawadee UI" w:eastAsia="Leelawadee UI" w:cs="Leelawadee UI"/>
        </w:rPr>
        <w:t>ក្នុងខែទីប្រាំមួយ</w:t>
      </w:r>
      <w:r>
        <w:rPr>
          <w:rFonts w:ascii="Times New Roman" w:hAnsi="Times New Roman" w:eastAsia="Times New Roman" w:cs="Times New Roman"/>
        </w:rPr>
        <w:t xml:space="preserve"> </w:t>
      </w:r>
      <w:r>
        <w:rPr>
          <w:rFonts w:ascii="Leelawadee UI" w:hAnsi="Leelawadee UI" w:eastAsia="Leelawadee UI" w:cs="Leelawadee UI"/>
        </w:rPr>
        <w:t>នៅថ្ងៃទីប្រាំនៃខែ</w:t>
      </w:r>
      <w:r>
        <w:rPr>
          <w:rFonts w:ascii="Times New Roman" w:hAnsi="Times New Roman" w:eastAsia="Times New Roman" w:cs="Times New Roman"/>
        </w:rPr>
        <w:t xml:space="preserve"> </w:t>
      </w:r>
      <w:r>
        <w:rPr>
          <w:rFonts w:ascii="Leelawadee UI" w:hAnsi="Leelawadee UI" w:eastAsia="Leelawadee UI" w:cs="Leelawadee UI"/>
        </w:rPr>
        <w:t>ខណៈដែលខ្ញុំអង្គុយនៅក្នុងផ្ទះរបស់ខ្ញុំ</w:t>
      </w:r>
      <w:r>
        <w:rPr>
          <w:rFonts w:ascii="Times New Roman" w:hAnsi="Times New Roman" w:eastAsia="Times New Roman" w:cs="Times New Roman"/>
        </w:rPr>
        <w:t xml:space="preserve"> </w:t>
      </w:r>
      <w:r>
        <w:rPr>
          <w:rFonts w:ascii="Leelawadee UI" w:hAnsi="Leelawadee UI" w:eastAsia="Leelawadee UI" w:cs="Leelawadee UI"/>
        </w:rPr>
        <w:t>ហើយពួកចាស់ទុំរបស់យូដាអង្គុយនៅចំពោះមុខខ្ញុំ</w:t>
      </w:r>
      <w:r>
        <w:rPr>
          <w:rFonts w:ascii="Times New Roman" w:hAnsi="Times New Roman" w:eastAsia="Times New Roman" w:cs="Times New Roman"/>
        </w:rPr>
        <w:t xml:space="preserve"> </w:t>
      </w:r>
      <w:r>
        <w:rPr>
          <w:rFonts w:ascii="Leelawadee UI" w:hAnsi="Leelawadee UI" w:eastAsia="Leelawadee UI" w:cs="Leelawadee UI"/>
        </w:rPr>
        <w:t>នោះព្រះហស្តនៃព្រះអម្ចាស់យេហូវ៉ាបានធ្លាក់មកលើខ្ញុំនៅទីនោះ។</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8:1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La vision a une conclusion distincte au chapitre onze.</w:t>
      </w:r>
    </w:p>
    <w:p>
      <w:pPr>
        <w:pStyle w:val="ArticleScripture"/>
        <w:jc w:val="left"/>
      </w:pPr>
      <w:r>
        <w:rPr>
          <w:rFonts w:ascii="Times New Roman" w:hAnsi="Times New Roman" w:eastAsia="Times New Roman" w:cs="Times New Roman"/>
        </w:rPr>
        <w:t>Após isso, o Espírito me levantou e, numa visão pelo Espírito de Deus, me levou para a Caldeia, aos do cativeiro. Assim, a visão que eu tinha visto se apartou de mim. Então falei aos do cativeiro todas as coisas que o Senhor me havia mostrado. Ezequiel 11:24, 25.</w:t>
      </w:r>
    </w:p>
    <w:p>
      <w:pPr>
        <w:pStyle w:val="ArticleBody"/>
        <w:jc w:val="left"/>
      </w:pP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“666”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“666”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من آسمان میں ایک اور نشان دیکھا، بڑا اور عجیب: سات فرشتے، جن کے پاس آخری سات بلائیں تھیں؛ کیونکہ انہی میں خدا کا غضب تکمیل کو پہنچتا ہے۔ اور میں نے گویا شیشے کا ایک سمندر دیکھا جو آگ سے ملا ہوا تھا؛ اور جو لوگ حیوان پر، اور اس کی مورت پر، اور اس کی چھاپ پر، اور اس کے نام کے عدد پر غالب آئے تھے، وہ شیشے کے سمندر پر کھڑے تھے، اور خدا کے بربط اپنے ہاتھوں میں لیے ہوئے تھے۔ اور وہ خدا کے بندہ موسیٰ کا گیت، اور برّہ کا گیت گاتے ہوئے کہتے تھے، اے قادرِ مطلق خداوند خدا، تیرے کام بڑے اور عجیب ہیں؛ اے مقدسوں کے بادشاہ، تیری راہیں راست اور برحق ہیں۔ مکاشفہ 15:1–3۔</w:t>
      </w:r>
    </w:p>
    <w:p>
      <w:pPr>
        <w:pStyle w:val="ArticleBody"/>
        <w:jc w:val="left"/>
      </w:pP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অনুগ্রহকালের</w:t>
      </w:r>
      <w:r>
        <w:rPr>
          <w:rFonts w:ascii="Times New Roman" w:hAnsi="Times New Roman" w:eastAsia="Times New Roman" w:cs="Times New Roman"/>
        </w:rPr>
        <w:t xml:space="preserve"> </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প্রকাশিতবাক্যের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মহামারীসহ</w:t>
      </w:r>
      <w:r>
        <w:rPr>
          <w:rFonts w:ascii="Times New Roman" w:hAnsi="Times New Roman" w:eastAsia="Times New Roman" w:cs="Times New Roman"/>
        </w:rPr>
        <w:t xml:space="preserve"> </w:t>
      </w:r>
      <w:r>
        <w:rPr>
          <w:rFonts w:ascii="Nirmala UI" w:hAnsi="Nirmala UI" w:eastAsia="Nirmala UI" w:cs="Nirmala UI"/>
        </w:rPr>
        <w:t>সাতজন</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ঢেলে</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যাচ্ছেন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অনূদিত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পরাস্ত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বিশ্বস্তেরা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প্রতিমূর্তি</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ছাপ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সংখ্যা</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সবকিছুর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জয়লাভ</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বিজয়ের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খুবই</w:t>
      </w:r>
      <w:r>
        <w:rPr>
          <w:rFonts w:ascii="Times New Roman" w:hAnsi="Times New Roman" w:eastAsia="Times New Roman" w:cs="Times New Roman"/>
        </w:rPr>
        <w:t xml:space="preserve"> </w:t>
      </w:r>
      <w:r>
        <w:rPr>
          <w:rFonts w:ascii="Nirmala UI" w:hAnsi="Nirmala UI" w:eastAsia="Nirmala UI" w:cs="Nirmala UI"/>
        </w:rPr>
        <w:t>অল্পসংখ্যক</w:t>
      </w:r>
      <w:r>
        <w:rPr>
          <w:rFonts w:ascii="Times New Roman" w:hAnsi="Times New Roman" w:eastAsia="Times New Roman" w:cs="Times New Roman"/>
        </w:rPr>
        <w:t xml:space="preserve"> </w:t>
      </w:r>
      <w:r>
        <w:rPr>
          <w:rFonts w:ascii="Nirmala UI" w:hAnsi="Nirmala UI" w:eastAsia="Nirmala UI" w:cs="Nirmala UI"/>
        </w:rPr>
        <w:t>মানুষই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বাস্তবে</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Dunia pernah mengetahui bahwa kepausan adalah pelacur Babilon dalam pasal tujuh belas, tetapi sebagaimana Firman Allah telah mengidentifikasikannya, pengertian tentang pelacur Tirus yang berbuat cabul dengan raja-raja di bumi telah dilupakan selama sejarah Amerika Serikat. Memperoleh kemenangan atas binatang itu berarti membagi firman kebenaran dengan tepat dalam memastikan bahwa binatang dalam nubuatan Alkitab adalah kepausan. Dalam pasal berikutnya, naga, binatang itu, dan nabi palsu menuntun dunia menuju Armagedon, dan umat Allah yang setia pada akhir zaman harus mengetahui siapa ketiga kuasa itu.</w:t>
      </w:r>
    </w:p>
    <w:p>
      <w:pPr>
        <w:pStyle w:val="ArticleScripture"/>
        <w:jc w:val="left"/>
      </w:pPr>
      <w:r>
        <w:rPr>
          <w:rFonts w:ascii="Times New Roman" w:hAnsi="Times New Roman" w:eastAsia="Times New Roman" w:cs="Times New Roman"/>
        </w:rPr>
        <w:t>Ud muri aa malayka mar luwon pa lwak manyen ni i Yufurati ma duong’; pi-ne omuol, mondo yo mar ruodhi ma oa kama chieng’ wuok chieng’ oyikne. Eka aneno chuny adek ma lemo kaka ng’weny wuok e dhok mar nywolo, gi e dhok mar lela, gi e dhok mar janabi ma maho. Nikech gin e chuny mar jochiende, ma timo hono, ma dhi ne ruodhi mag piny gi mag piny duto, mondo ochokgi ne lweny mar odiechieng’ maduong’ mar Nyasaye Maromre Duto. Neuru, abiro kaka jamako. Oguok ng’at ma rito, kendo ma gwoko lawe, mondo kik owuot ka obindo ayanga, mondo kik gineno wichkuotne. Eka nochokogi kar ma iluongo e dho Ibru ni Armagedon. Fweny 16:12–16.</w:t>
      </w:r>
    </w:p>
    <w:p>
      <w:pPr>
        <w:pStyle w:val="ArticleBody"/>
        <w:jc w:val="left"/>
      </w:pPr>
      <w:r>
        <w:rPr>
          <w:rFonts w:ascii="Times New Roman" w:hAnsi="Times New Roman" w:eastAsia="Times New Roman" w:cs="Times New Roman"/>
        </w:rPr>
        <w:t>La victoire sur la bête est la victoire qui consiste à comprendre correctement qui est la bête. Le passage qui vient d’être cité prononce une bénédiction sur ceux qui veillent et gardent leurs vêtements; pourtant, dès la sixième plaie, le temps de grâce est entièrement clos pour tous les hommes. Lorsque Michel se lève, le temps de grâce de l’humanité prend fin, et alors les sept dernières plaies sont déversées. Il n’y a aucun moyen de changer de vêtements après la clôture du temps de grâce; pourtant, un avertissement est associé à la sixième plaie. Cet avertissement concerne la nécessité d’avoir la juste compréhension de la bête avant la clôture du temps de grâce; et si vous n’avez pas cette compréhension, vous perdrez le vêtement de la justice de Christ avant la clôture du temps de grâce.</w:t>
      </w:r>
    </w:p>
    <w:p>
      <w:pPr>
        <w:pStyle w:val="ArticleScripture"/>
        <w:jc w:val="left"/>
      </w:pPr>
      <w:r>
        <w:rPr>
          <w:rFonts w:ascii="Times New Roman" w:hAnsi="Times New Roman" w:eastAsia="Times New Roman" w:cs="Times New Roman"/>
        </w:rPr>
        <w:t>“</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लोगसभ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बुझाइमे</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विरोधीक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देखबामे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निश्चयहि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विरोधीक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देताह।</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आत्मसात</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यूहन्नाक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समझल</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सत्यमात्रा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बुझब</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भविष्यवाणीसभ</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दिनसभमे</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Kress Collection, 105.</w:t>
      </w:r>
    </w:p>
    <w:p>
      <w:pPr>
        <w:pStyle w:val="ArticleBody"/>
        <w:jc w:val="left"/>
      </w:pP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ܐܢܫܐ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ܡܣܬܟܠ</w:t>
      </w:r>
      <w:r>
        <w:rPr>
          <w:rFonts w:ascii="Times New Roman" w:hAnsi="Times New Roman" w:eastAsia="Times New Roman" w:cs="Times New Roman"/>
        </w:rPr>
        <w:t xml:space="preserve"> </w:t>
      </w:r>
      <w:r>
        <w:rPr>
          <w:rFonts w:ascii="Segoe UI Historic" w:hAnsi="Segoe UI Historic" w:eastAsia="Segoe UI Historic" w:cs="Segoe UI Historic"/>
        </w:rPr>
        <w:t>ܕܐܢܛܝܟܪܝܣܛܘܣ</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ܦܐܦܝܘܬܐ</w:t>
      </w:r>
      <w:r>
        <w:rPr>
          <w:rFonts w:ascii="Times New Roman" w:hAnsi="Times New Roman" w:eastAsia="Times New Roman" w:cs="Times New Roman"/>
        </w:rPr>
        <w:t xml:space="preserve">، </w:t>
      </w:r>
      <w:r>
        <w:rPr>
          <w:rFonts w:ascii="Segoe UI Historic" w:hAnsi="Segoe UI Historic" w:eastAsia="Segoe UI Historic" w:cs="Segoe UI Historic"/>
        </w:rPr>
        <w:t>ܒܚܪܬܐ</w:t>
      </w:r>
      <w:r>
        <w:rPr>
          <w:rFonts w:ascii="Times New Roman" w:hAnsi="Times New Roman" w:eastAsia="Times New Roman" w:cs="Times New Roman"/>
        </w:rPr>
        <w:t xml:space="preserve"> </w:t>
      </w:r>
      <w:r>
        <w:rPr>
          <w:rFonts w:ascii="Segoe UI Historic" w:hAnsi="Segoe UI Historic" w:eastAsia="Segoe UI Historic" w:cs="Segoe UI Historic"/>
        </w:rPr>
        <w:t>ܢܗܘܐ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ܓܒܐ</w:t>
      </w:r>
      <w:r>
        <w:rPr>
          <w:rFonts w:ascii="Times New Roman" w:hAnsi="Times New Roman" w:eastAsia="Times New Roman" w:cs="Times New Roman"/>
        </w:rPr>
        <w:t xml:space="preserve"> </w:t>
      </w:r>
      <w:r>
        <w:rPr>
          <w:rFonts w:ascii="Segoe UI Historic" w:hAnsi="Segoe UI Historic" w:eastAsia="Segoe UI Historic" w:cs="Segoe UI Historic"/>
        </w:rPr>
        <w:t>ܕܦܐܦܝܘܬܐ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ܕܝܘܚܢܢ</w:t>
      </w:r>
      <w:r>
        <w:rPr>
          <w:rFonts w:ascii="Times New Roman" w:hAnsi="Times New Roman" w:eastAsia="Times New Roman" w:cs="Times New Roman"/>
        </w:rPr>
        <w:t xml:space="preserve"> </w:t>
      </w:r>
      <w:r>
        <w:rPr>
          <w:rFonts w:ascii="Segoe UI Historic" w:hAnsi="Segoe UI Historic" w:eastAsia="Segoe UI Historic" w:cs="Segoe UI Historic"/>
        </w:rPr>
        <w:t>ܟܬܒ</w:t>
      </w:r>
      <w:r>
        <w:rPr>
          <w:rFonts w:ascii="Times New Roman" w:hAnsi="Times New Roman" w:eastAsia="Times New Roman" w:cs="Times New Roman"/>
        </w:rPr>
        <w:t xml:space="preserve">، </w:t>
      </w:r>
      <w:r>
        <w:rPr>
          <w:rFonts w:ascii="Segoe UI Historic" w:hAnsi="Segoe UI Historic" w:eastAsia="Segoe UI Historic" w:cs="Segoe UI Historic"/>
        </w:rPr>
        <w:t>ܢܗܠܟܘܢ</w:t>
      </w:r>
      <w:r>
        <w:rPr>
          <w:rFonts w:ascii="Times New Roman" w:hAnsi="Times New Roman" w:eastAsia="Times New Roman" w:cs="Times New Roman"/>
        </w:rPr>
        <w:t xml:space="preserve"> </w:t>
      </w:r>
      <w:r>
        <w:rPr>
          <w:rFonts w:ascii="Segoe UI Historic" w:hAnsi="Segoe UI Historic" w:eastAsia="Segoe UI Historic" w:cs="Segoe UI Historic"/>
        </w:rPr>
        <w:t>ܥܪܛܠܝܐܝܬ</w:t>
      </w:r>
      <w:r>
        <w:rPr>
          <w:rFonts w:ascii="Times New Roman" w:hAnsi="Times New Roman" w:eastAsia="Times New Roman" w:cs="Times New Roman"/>
        </w:rPr>
        <w:t xml:space="preserve"> </w:t>
      </w:r>
      <w:r>
        <w:rPr>
          <w:rFonts w:ascii="Segoe UI Historic" w:hAnsi="Segoe UI Historic" w:eastAsia="Segoe UI Historic" w:cs="Segoe UI Historic"/>
        </w:rPr>
        <w:t>ܘܢܚܘܘܢ</w:t>
      </w:r>
      <w:r>
        <w:rPr>
          <w:rFonts w:ascii="Times New Roman" w:hAnsi="Times New Roman" w:eastAsia="Times New Roman" w:cs="Times New Roman"/>
        </w:rPr>
        <w:t xml:space="preserve"> </w:t>
      </w:r>
      <w:r>
        <w:rPr>
          <w:rFonts w:ascii="Segoe UI Historic" w:hAnsi="Segoe UI Historic" w:eastAsia="Segoe UI Historic" w:cs="Segoe UI Historic"/>
        </w:rPr>
        <w:t>ܒܗܬܬܗܘܢ</w:t>
      </w:r>
      <w:r>
        <w:rPr>
          <w:rFonts w:ascii="Times New Roman" w:hAnsi="Times New Roman" w:eastAsia="Times New Roman" w:cs="Times New Roman"/>
        </w:rPr>
        <w:t xml:space="preserve">. </w:t>
      </w:r>
      <w:r>
        <w:rPr>
          <w:rFonts w:ascii="Segoe UI Historic" w:hAnsi="Segoe UI Historic" w:eastAsia="Segoe UI Historic" w:cs="Segoe UI Historic"/>
        </w:rPr>
        <w:t>ܠܡܩܒܠܘ</w:t>
      </w:r>
      <w:r>
        <w:rPr>
          <w:rFonts w:ascii="Times New Roman" w:hAnsi="Times New Roman" w:eastAsia="Times New Roman" w:cs="Times New Roman"/>
        </w:rPr>
        <w:t xml:space="preserve"> </w:t>
      </w:r>
      <w:r>
        <w:rPr>
          <w:rFonts w:ascii="Segoe UI Historic" w:hAnsi="Segoe UI Historic" w:eastAsia="Segoe UI Historic" w:cs="Segoe UI Historic"/>
        </w:rPr>
        <w:t>ܙܟܘܬܐ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ܠܡܣܬܟܠ</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ܦܐܦܝܐ</w:t>
      </w:r>
      <w:r>
        <w:rPr>
          <w:rFonts w:ascii="Times New Roman" w:hAnsi="Times New Roman" w:eastAsia="Times New Roman" w:cs="Times New Roman"/>
        </w:rPr>
        <w:t xml:space="preserve">، </w:t>
      </w:r>
      <w:r>
        <w:rPr>
          <w:rFonts w:ascii="Segoe UI Historic" w:hAnsi="Segoe UI Historic" w:eastAsia="Segoe UI Historic" w:cs="Segoe UI Historic"/>
        </w:rPr>
        <w:t>ܘܟܠ</w:t>
      </w:r>
      <w:r>
        <w:rPr>
          <w:rFonts w:ascii="Times New Roman" w:hAnsi="Times New Roman" w:eastAsia="Times New Roman" w:cs="Times New Roman"/>
        </w:rPr>
        <w:t xml:space="preserve"> </w:t>
      </w:r>
      <w:r>
        <w:rPr>
          <w:rFonts w:ascii="Segoe UI Historic" w:hAnsi="Segoe UI Historic" w:eastAsia="Segoe UI Historic" w:cs="Segoe UI Historic"/>
        </w:rPr>
        <w:t>ܡܕܡ</w:t>
      </w:r>
      <w:r>
        <w:rPr>
          <w:rFonts w:ascii="Times New Roman" w:hAnsi="Times New Roman" w:eastAsia="Times New Roman" w:cs="Times New Roman"/>
        </w:rPr>
        <w:t xml:space="preserve"> </w:t>
      </w:r>
      <w:r>
        <w:rPr>
          <w:rFonts w:ascii="Segoe UI Historic" w:hAnsi="Segoe UI Historic" w:eastAsia="Segoe UI Historic" w:cs="Segoe UI Historic"/>
        </w:rPr>
        <w:t>ܕܐܬܓܠܝ</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ܦܐܦܝܐ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ܕܡܩܒܠܝܢ</w:t>
      </w:r>
      <w:r>
        <w:rPr>
          <w:rFonts w:ascii="Times New Roman" w:hAnsi="Times New Roman" w:eastAsia="Times New Roman" w:cs="Times New Roman"/>
        </w:rPr>
        <w:t xml:space="preserve"> </w:t>
      </w:r>
      <w:r>
        <w:rPr>
          <w:rFonts w:ascii="Segoe UI Historic" w:hAnsi="Segoe UI Historic" w:eastAsia="Segoe UI Historic" w:cs="Segoe UI Historic"/>
        </w:rPr>
        <w:t>ܙܟܘܬܐ</w:t>
      </w:r>
      <w:r>
        <w:rPr>
          <w:rFonts w:ascii="Times New Roman" w:hAnsi="Times New Roman" w:eastAsia="Times New Roman" w:cs="Times New Roman"/>
        </w:rPr>
        <w:t xml:space="preserve"> </w:t>
      </w:r>
      <w:r>
        <w:rPr>
          <w:rFonts w:ascii="Segoe UI Historic" w:hAnsi="Segoe UI Historic" w:eastAsia="Segoe UI Historic" w:cs="Segoe UI Historic"/>
        </w:rPr>
        <w:t>ܘܡܣܬܟܠܝܢ</w:t>
      </w:r>
      <w:r>
        <w:rPr>
          <w:rFonts w:ascii="Times New Roman" w:hAnsi="Times New Roman" w:eastAsia="Times New Roman" w:cs="Times New Roman"/>
        </w:rPr>
        <w:t xml:space="preserve"> </w:t>
      </w:r>
      <w:r>
        <w:rPr>
          <w:rFonts w:ascii="Segoe UI Historic" w:hAnsi="Segoe UI Historic" w:eastAsia="Segoe UI Historic" w:cs="Segoe UI Historic"/>
        </w:rPr>
        <w:t>ܕܦܐܦܝܘܬܐ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ܕܚܛܝܬܐ</w:t>
      </w:r>
      <w:r>
        <w:rPr>
          <w:rFonts w:ascii="Times New Roman" w:hAnsi="Times New Roman" w:eastAsia="Times New Roman" w:cs="Times New Roman"/>
        </w:rPr>
        <w:t xml:space="preserve">، </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ܕܢܣܬܟܠܘܢ</w:t>
      </w:r>
      <w:r>
        <w:rPr>
          <w:rFonts w:ascii="Times New Roman" w:hAnsi="Times New Roman" w:eastAsia="Times New Roman" w:cs="Times New Roman"/>
        </w:rPr>
        <w:t xml:space="preserve"> </w:t>
      </w:r>
      <w:r>
        <w:rPr>
          <w:rFonts w:ascii="Segoe UI Historic" w:hAnsi="Segoe UI Historic" w:eastAsia="Segoe UI Historic" w:cs="Segoe UI Historic"/>
        </w:rPr>
        <w:t>ܕܨܠܡܐ</w:t>
      </w:r>
      <w:r>
        <w:rPr>
          <w:rFonts w:ascii="Times New Roman" w:hAnsi="Times New Roman" w:eastAsia="Times New Roman" w:cs="Times New Roman"/>
        </w:rPr>
        <w:t xml:space="preserve"> </w:t>
      </w:r>
      <w:r>
        <w:rPr>
          <w:rFonts w:ascii="Segoe UI Historic" w:hAnsi="Segoe UI Historic" w:eastAsia="Segoe UI Historic" w:cs="Segoe UI Historic"/>
        </w:rPr>
        <w:t>ܕܦܐܦܝܘܬܐ</w:t>
      </w:r>
      <w:r>
        <w:rPr>
          <w:rFonts w:ascii="Times New Roman" w:hAnsi="Times New Roman" w:eastAsia="Times New Roman" w:cs="Times New Roman"/>
        </w:rPr>
        <w:t xml:space="preserve"> </w:t>
      </w:r>
      <w:r>
        <w:rPr>
          <w:rFonts w:ascii="Segoe UI Historic" w:hAnsi="Segoe UI Historic" w:eastAsia="Segoe UI Historic" w:cs="Segoe UI Historic"/>
        </w:rPr>
        <w:t>ܡܝܬܪ</w:t>
      </w:r>
      <w:r>
        <w:rPr>
          <w:rFonts w:ascii="Times New Roman" w:hAnsi="Times New Roman" w:eastAsia="Times New Roman" w:cs="Times New Roman"/>
        </w:rPr>
        <w:t xml:space="preserve"> </w:t>
      </w:r>
      <w:r>
        <w:rPr>
          <w:rFonts w:ascii="Segoe UI Historic" w:hAnsi="Segoe UI Historic" w:eastAsia="Segoe UI Historic" w:cs="Segoe UI Historic"/>
        </w:rPr>
        <w:t>ܠܥܩܪܐ</w:t>
      </w:r>
      <w:r>
        <w:rPr>
          <w:rFonts w:ascii="Times New Roman" w:hAnsi="Times New Roman" w:eastAsia="Times New Roman" w:cs="Times New Roman"/>
        </w:rPr>
        <w:t xml:space="preserve"> </w:t>
      </w:r>
      <w:r>
        <w:rPr>
          <w:rFonts w:ascii="Segoe UI Historic" w:hAnsi="Segoe UI Historic" w:eastAsia="Segoe UI Historic" w:cs="Segoe UI Historic"/>
        </w:rPr>
        <w:t>ܕܚܘܠܛܢܐ</w:t>
      </w:r>
      <w:r>
        <w:rPr>
          <w:rFonts w:ascii="Times New Roman" w:hAnsi="Times New Roman" w:eastAsia="Times New Roman" w:cs="Times New Roman"/>
        </w:rPr>
        <w:t xml:space="preserve"> </w:t>
      </w:r>
      <w:r>
        <w:rPr>
          <w:rFonts w:ascii="Segoe UI Historic" w:hAnsi="Segoe UI Historic" w:eastAsia="Segoe UI Historic" w:cs="Segoe UI Historic"/>
        </w:rPr>
        <w:t>ܕܥܕܬܐ</w:t>
      </w:r>
      <w:r>
        <w:rPr>
          <w:rFonts w:ascii="Times New Roman" w:hAnsi="Times New Roman" w:eastAsia="Times New Roman" w:cs="Times New Roman"/>
        </w:rPr>
        <w:t xml:space="preserve"> </w:t>
      </w:r>
      <w:r>
        <w:rPr>
          <w:rFonts w:ascii="Segoe UI Historic" w:hAnsi="Segoe UI Historic" w:eastAsia="Segoe UI Historic" w:cs="Segoe UI Historic"/>
        </w:rPr>
        <w:t>ܘܕܡܕܝܢܬܐ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ܫܠܝܛܐ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ܙܘܘܓܐ</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ในพระธรรมดาเนียล</w:t>
      </w:r>
      <w:r>
        <w:rPr>
          <w:rFonts w:ascii="Times New Roman" w:hAnsi="Times New Roman" w:eastAsia="Times New Roman" w:cs="Times New Roman"/>
        </w:rPr>
        <w:t xml:space="preserve"> </w:t>
      </w:r>
      <w:r>
        <w:rPr>
          <w:rFonts w:ascii="Leelawadee UI" w:hAnsi="Leelawadee UI" w:eastAsia="Leelawadee UI" w:cs="Leelawadee UI"/>
        </w:rPr>
        <w:t>โครงสร้างของสัตว์ร้ายนั้น</w:t>
      </w:r>
      <w:r>
        <w:rPr>
          <w:rFonts w:ascii="Times New Roman" w:hAnsi="Times New Roman" w:eastAsia="Times New Roman" w:cs="Times New Roman"/>
        </w:rPr>
        <w:t xml:space="preserve"> </w:t>
      </w:r>
      <w:r>
        <w:rPr>
          <w:rFonts w:ascii="Leelawadee UI" w:hAnsi="Leelawadee UI" w:eastAsia="Leelawadee UI" w:cs="Leelawadee UI"/>
        </w:rPr>
        <w:t>ซึ่งเป็นการผสมผสานระหว่างคริสตจักรกับรัฐ</w:t>
      </w:r>
      <w:r>
        <w:rPr>
          <w:rFonts w:ascii="Times New Roman" w:hAnsi="Times New Roman" w:eastAsia="Times New Roman" w:cs="Times New Roman"/>
        </w:rPr>
        <w:t xml:space="preserve"> </w:t>
      </w:r>
      <w:r>
        <w:rPr>
          <w:rFonts w:ascii="Leelawadee UI" w:hAnsi="Leelawadee UI" w:eastAsia="Leelawadee UI" w:cs="Leelawadee UI"/>
        </w:rPr>
        <w:t>ได้รับการพรรณนาไว้ว่าเป็นการละเมิดที่นำมาซึ่งความรกร้างว่างเปล่า</w:t>
      </w:r>
      <w:r>
        <w:rPr>
          <w:rFonts w:ascii="Times New Roman" w:hAnsi="Times New Roman" w:eastAsia="Times New Roman" w:cs="Times New Roman"/>
        </w:rPr>
        <w:t xml:space="preserve"> </w:t>
      </w:r>
      <w:r>
        <w:rPr>
          <w:rFonts w:ascii="Leelawadee UI" w:hAnsi="Leelawadee UI" w:eastAsia="Leelawadee UI" w:cs="Leelawadee UI"/>
        </w:rPr>
        <w:t>การละเมิดคือบาป</w:t>
      </w:r>
      <w:r>
        <w:rPr>
          <w:rFonts w:ascii="Times New Roman" w:hAnsi="Times New Roman" w:eastAsia="Times New Roman" w:cs="Times New Roman"/>
        </w:rPr>
        <w:t xml:space="preserve"> </w:t>
      </w:r>
      <w:r>
        <w:rPr>
          <w:rFonts w:ascii="Leelawadee UI" w:hAnsi="Leelawadee UI" w:eastAsia="Leelawadee UI" w:cs="Leelawadee UI"/>
        </w:rPr>
        <w:t>และบาปที่ก่อรูปขึ้นเป็นสัตว์ร้ายของสันตะปาปาก็คือเมื่อกษัตริย์ทั้งหลายยอมมอบอำนาจของตนแก่สิทธิอำนาจของสันตะปาปา</w:t>
      </w:r>
      <w:r>
        <w:rPr>
          <w:rFonts w:ascii="Times New Roman" w:hAnsi="Times New Roman" w:eastAsia="Times New Roman" w:cs="Times New Roman"/>
        </w:rPr>
        <w:t xml:space="preserve"> </w:t>
      </w:r>
      <w:r>
        <w:rPr>
          <w:rFonts w:ascii="Leelawadee UI" w:hAnsi="Leelawadee UI" w:eastAsia="Leelawadee UI" w:cs="Leelawadee UI"/>
        </w:rPr>
        <w:t>ในการกระทำเช่นนี้</w:t>
      </w:r>
      <w:r>
        <w:rPr>
          <w:rFonts w:ascii="Times New Roman" w:hAnsi="Times New Roman" w:eastAsia="Times New Roman" w:cs="Times New Roman"/>
        </w:rPr>
        <w:t xml:space="preserve"> </w:t>
      </w:r>
      <w:r>
        <w:rPr>
          <w:rFonts w:ascii="Leelawadee UI" w:hAnsi="Leelawadee UI" w:eastAsia="Leelawadee UI" w:cs="Leelawadee UI"/>
        </w:rPr>
        <w:t>พวกเขาได้ล่วงประเวณีฝ่ายวิญญาณ</w:t>
      </w:r>
      <w:r>
        <w:rPr>
          <w:rFonts w:ascii="Times New Roman" w:hAnsi="Times New Roman" w:eastAsia="Times New Roman" w:cs="Times New Roman"/>
        </w:rPr>
        <w:t xml:space="preserve"> </w:t>
      </w:r>
      <w:r>
        <w:rPr>
          <w:rFonts w:ascii="Leelawadee UI" w:hAnsi="Leelawadee UI" w:eastAsia="Leelawadee UI" w:cs="Leelawadee UI"/>
        </w:rPr>
        <w:t>ซึ่งก็คือการละเมิดที่นำมาซึ่งความรกร้างว่างเปล่าของดาเนียล</w:t>
      </w:r>
      <w:r>
        <w:rPr>
          <w:rFonts w:ascii="Times New Roman" w:hAnsi="Times New Roman" w:eastAsia="Times New Roman" w:cs="Times New Roman"/>
        </w:rPr>
        <w:t xml:space="preserve"> </w:t>
      </w:r>
      <w:r>
        <w:rPr>
          <w:rFonts w:ascii="Leelawadee UI" w:hAnsi="Leelawadee UI" w:eastAsia="Leelawadee UI" w:cs="Leelawadee UI"/>
        </w:rPr>
        <w:t>และรูปจำลองของสัตว์ร้ายของยอห์น</w:t>
      </w:r>
    </w:p>
    <w:p>
      <w:pPr>
        <w:pStyle w:val="ArticleBody"/>
        <w:jc w:val="left"/>
      </w:pPr>
      <w:r>
        <w:rPr>
          <w:rFonts w:ascii="Times New Roman" w:hAnsi="Times New Roman" w:eastAsia="Times New Roman" w:cs="Times New Roman"/>
        </w:rPr>
        <w:t>Ukuthola ukunqoba phezu kwesithombe sobupapa kungukuba kuqondwe ngeZwi likaNkulunkulu ukuthi i-United States kuqala iyakha lobu budlelwano, bese ibuqinisa emthethweni weSonto oluzayo maduze, futhi emva kwalokho iphoqelela umhlaba wonke ukuba wamukele lobu budlelwano obufanayo.</w:t>
      </w:r>
    </w:p>
    <w:p>
      <w:pPr>
        <w:pStyle w:val="ArticleBody"/>
        <w:jc w:val="left"/>
      </w:pPr>
      <w:r>
        <w:rPr>
          <w:rFonts w:ascii="Times New Roman" w:hAnsi="Times New Roman" w:eastAsia="Times New Roman" w:cs="Times New Roman"/>
        </w:rPr>
        <w:t>Ang ugnayan ng iglesya at estado na ipipilit sa buong lupa ng Estados Unidos ay binubuo ng isang-pandaigdigang pamahalaan (ang United Nations), na papasok sa pakikipag-alyansa sa kapapahan bilang kapangyarihang kumokontrol sa mga kaayusang ito. Ang pagtatagumpay laban sa larawan ng hayop ay ang maunawaan, sa pamamagitan ng makahulang Salita ng Diyos, na ang larawan ng hayop ay kumakatawan mismo sa mga bagay na ito.</w:t>
      </w:r>
    </w:p>
    <w:p>
      <w:pPr>
        <w:pStyle w:val="ArticleBody"/>
        <w:jc w:val="left"/>
      </w:pPr>
      <w:r>
        <w:rPr>
          <w:rFonts w:ascii="Times New Roman" w:hAnsi="Times New Roman" w:eastAsia="Times New Roman" w:cs="Times New Roman"/>
        </w:rPr>
        <w:t>La victoire remportée sur la bête et sur son image implique l’intelligence de la marque d’autorité de la bête (la papauté).</w:t>
      </w:r>
    </w:p>
    <w:p>
      <w:pPr>
        <w:pStyle w:val="ArticleBody"/>
        <w:jc w:val="left"/>
      </w:pPr>
      <w:r>
        <w:rPr>
          <w:rFonts w:ascii="Times New Roman" w:hAnsi="Times New Roman" w:eastAsia="Times New Roman" w:cs="Times New Roman"/>
        </w:rPr>
        <w:t>La marque de la bête est l’observance imposée du dimanche comme sabbat de Dieu. Obtenir la victoire sur la marque exige de comprendre que le culte du dimanche est le culte du soleil, et qu’il n’est rien de moins qu’un culte païen rendu à Baal. Cette victoire comprend la vérité selon laquelle nul ne reçoit la marque de la bête tant qu’elle n’est pas imposée aux hommes.</w:t>
      </w:r>
    </w:p>
    <w:p>
      <w:pPr>
        <w:pStyle w:val="ArticleScripture"/>
        <w:jc w:val="left"/>
      </w:pPr>
      <w:r>
        <w:rPr>
          <w:rFonts w:ascii="Times New Roman" w:hAnsi="Times New Roman" w:eastAsia="Times New Roman" w:cs="Times New Roman"/>
        </w:rPr>
        <w:t>“Amma Masiixiyiintii qarniyadii hore waxay dhawri jireen Axadda, iyagoo u haysta in sidaas ay ku ilaalinayaan Sabtidii Kitaabka Quduuska ah; welibana hadda waxaa kaniisad kasta ku jira Masiixiyiin run ah, xataa aan laga reebin wadaagga Kaatooligga Roomaanka, kuwaas oo si daacad ah u rumaysan in Axaddu tahay Sabtida Ilaah magacaabay. Ilaahna wuu aqbalaa daacadnimada ujeeddadooda iyo toosnaantooda hortiisa. Laakiin marka dhawridda Axadda sharci lagu khasbo, oo dunidana la iftiimiyo waajibaadka Sabtida runta ah, markaas kii ku xadgudba amarka Ilaah si uu u adeeco amar aan lahayn awood ka sarraysa tan Rooma, wuxuu sidaas ku maamuusayaa baabtiisnimada Roomaanka Ilaah ka sarraysa. Wuxuu xurmayn siinayaa Rooma iyo awoodda dhaqan-gelisa hay’adda ay Rooma dejisay. Wuxuu caabudayaa bahalka iyo sanamkiisa. Sidaas daraaddeed, markii dadku diidaan hay’adda uu Ilaah ku dhawaaqay inay tahay calaamadda amar-kiisa, oo halkii ay ka maamuusaan tan ay Rooma u dooratay inay noqoto astaan xukunkeeda sarreeya, waxay sidaas ku aqbalayaan calaamadda daacad-u-ahaanshaha Rooma—‘sumadda bahalka.’ Oo arrintu ma aha ilaa qodobkani si cad loogu hor dhigo dadka, oo loo keeno inay kala doortaan amarrada Ilaah iyo amarrada dadka, markaas kuwa ku sii socda xadgudubka ayaa heli doona ‘sumadda bahalka.’” The Great Controversy, 449.</w:t>
      </w:r>
    </w:p>
    <w:p>
      <w:pPr>
        <w:pStyle w:val="ArticleBody"/>
        <w:jc w:val="left"/>
      </w:pPr>
      <w:r>
        <w:rPr>
          <w:rFonts w:ascii="Times New Roman" w:hAnsi="Times New Roman" w:eastAsia="Times New Roman" w:cs="Times New Roman"/>
        </w:rPr>
        <w:t>Ci che ottengono la vittoria sulla bestia, sull’immagine della bestia e sul marchio della bestia devono altresì ottenere la vittoria sul numero del suo nome. Nel periodo della storia in cui la prostituta di Tiro non era stata dimenticata, il mondo protestante sapeva che il papato era l’anticristo. Sapevano che Paolo aveva identificato il papato come “quel malvagio”, “l’uomo del peccato”, “il mistero dell’iniquità” e “il figlio della perdizione; Colui che si oppone e s’innalza sopra tutto ciò che è chiamato Dio, o che è oggetto di culto; così che egli, come Dio, siede nel tempio di Dio, mostrando se stesso come se fosse Dio”. Ma ora la grande prostituta di Tiro è stata dimenticata.</w:t>
      </w:r>
    </w:p>
    <w:p>
      <w:pPr>
        <w:pStyle w:val="ArticleBody"/>
        <w:jc w:val="left"/>
      </w:pP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आयसोप्सेफी</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जेमाट्रिया</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ज्यांद्वारे</w:t>
      </w:r>
      <w:r>
        <w:rPr>
          <w:rFonts w:ascii="Times New Roman" w:hAnsi="Times New Roman" w:eastAsia="Times New Roman" w:cs="Times New Roman"/>
        </w:rPr>
        <w:t xml:space="preserve"> “666”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अंक</w:t>
      </w:r>
      <w:r>
        <w:rPr>
          <w:rFonts w:ascii="Times New Roman" w:hAnsi="Times New Roman" w:eastAsia="Times New Roman" w:cs="Times New Roman"/>
        </w:rPr>
        <w:t xml:space="preserve"> </w:t>
      </w:r>
      <w:r>
        <w:rPr>
          <w:rFonts w:ascii="Nirmala UI" w:hAnsi="Nirmala UI" w:eastAsia="Nirmala UI" w:cs="Nirmala UI"/>
        </w:rPr>
        <w:t>प्रतीकात्मकरीत्या</w:t>
      </w:r>
      <w:r>
        <w:rPr>
          <w:rFonts w:ascii="Times New Roman" w:hAnsi="Times New Roman" w:eastAsia="Times New Roman" w:cs="Times New Roman"/>
        </w:rPr>
        <w:t xml:space="preserve"> </w:t>
      </w:r>
      <w:r>
        <w:rPr>
          <w:rFonts w:ascii="Nirmala UI" w:hAnsi="Nirmala UI" w:eastAsia="Nirmala UI" w:cs="Nirmala UI"/>
        </w:rPr>
        <w:t>पोपशाहीचे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पारंपरिक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पोपच्या</w:t>
      </w:r>
      <w:r>
        <w:rPr>
          <w:rFonts w:ascii="Times New Roman" w:hAnsi="Times New Roman" w:eastAsia="Times New Roman" w:cs="Times New Roman"/>
        </w:rPr>
        <w:t xml:space="preserve"> </w:t>
      </w:r>
      <w:r>
        <w:rPr>
          <w:rFonts w:ascii="Nirmala UI" w:hAnsi="Nirmala UI" w:eastAsia="Nirmala UI" w:cs="Nirmala UI"/>
        </w:rPr>
        <w:t>मिटरवर</w:t>
      </w:r>
      <w:r>
        <w:rPr>
          <w:rFonts w:ascii="Times New Roman" w:hAnsi="Times New Roman" w:eastAsia="Times New Roman" w:cs="Times New Roman"/>
        </w:rPr>
        <w:t xml:space="preserve"> Vicarius Filii Dei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लिहिलेले</w:t>
      </w:r>
      <w:r>
        <w:rPr>
          <w:rFonts w:ascii="Times New Roman" w:hAnsi="Times New Roman" w:eastAsia="Times New Roman" w:cs="Times New Roman"/>
        </w:rPr>
        <w:t xml:space="preserve"> </w:t>
      </w:r>
      <w:r>
        <w:rPr>
          <w:rFonts w:ascii="Nirmala UI" w:hAnsi="Nirmala UI" w:eastAsia="Nirmala UI" w:cs="Nirmala UI"/>
        </w:rPr>
        <w:t>असतात</w:t>
      </w:r>
      <w:r>
        <w:rPr>
          <w:rFonts w:ascii="Times New Roman" w:hAnsi="Times New Roman" w:eastAsia="Times New Roman" w:cs="Times New Roman"/>
        </w:rPr>
        <w:t xml:space="preserve">. Vicarius Filii Dei,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पुत्राचा</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म्हणूनच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बसलेला</w:t>
      </w:r>
      <w:r>
        <w:rPr>
          <w:rFonts w:ascii="Times New Roman" w:hAnsi="Times New Roman" w:eastAsia="Times New Roman" w:cs="Times New Roman"/>
        </w:rPr>
        <w:t xml:space="preserve"> </w:t>
      </w:r>
      <w:r>
        <w:rPr>
          <w:rFonts w:ascii="Nirmala UI" w:hAnsi="Nirmala UI" w:eastAsia="Nirmala UI" w:cs="Nirmala UI"/>
        </w:rPr>
        <w:t>असून</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असल्याचा</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दाव्याशी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Vicarius Filii Dei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अक्षरांची</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मिळून</w:t>
      </w:r>
      <w:r>
        <w:rPr>
          <w:rFonts w:ascii="Times New Roman" w:hAnsi="Times New Roman" w:eastAsia="Times New Roman" w:cs="Times New Roman"/>
        </w:rPr>
        <w:t xml:space="preserve"> </w:t>
      </w:r>
      <w:r>
        <w:rPr>
          <w:rFonts w:ascii="Nirmala UI" w:hAnsi="Nirmala UI" w:eastAsia="Nirmala UI" w:cs="Nirmala UI"/>
        </w:rPr>
        <w:t>सहाशे</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ff text missing. Please provide the target language for “ff,” and I will translate the passage accordingly.</w:t>
      </w:r>
    </w:p>
    <w:p>
      <w:pPr>
        <w:pStyle w:val="ArticleBody"/>
        <w:jc w:val="left"/>
      </w:pPr>
      <w:r>
        <w:rPr>
          <w:rFonts w:ascii="Times New Roman" w:hAnsi="Times New Roman" w:eastAsia="Times New Roman" w:cs="Times New Roman"/>
        </w:rPr>
        <w:t>La imagen mundial de la bestia es tanto doble como triple. Proféticamente es doble, pues está compuesta por una combinación de iglesia y Estado; pero es triple en que está constituida por el dragón, la bestia y el falso profeta. Cuando se establezca la unión triple de los mismos poderes que llevarán al mundo al Armagedón, ellos serán la bestia que es el octavo reino, procedente de los siete, y será también la unión triple del sexto reino. El número del nombre de la bestia en los últimos días es nuevamente “666”, pues representa tres reinos que son cada uno parte del sexto reino.</w:t>
      </w:r>
    </w:p>
    <w:p>
      <w:pPr>
        <w:pStyle w:val="ArticleBody"/>
        <w:jc w:val="left"/>
      </w:pPr>
      <w:r>
        <w:rPr>
          <w:rFonts w:ascii="Times New Roman" w:hAnsi="Times New Roman" w:eastAsia="Times New Roman" w:cs="Times New Roman"/>
        </w:rPr>
        <w:t>Para obtener la victoria sobre la bestia, su imagen, su marca y el número de su nombre, es necesario comprender el enigma de que «el octavo es de entre los siete», que es el secreto de Daniel dos, el cual Daniel oró por entender. Es un elemento de la Revelación de Jesucristo que es desellado poco antes de que se cierre el tiempo de gracia, pues, como dijo Juan, «el tiempo está cerca». Por esta razón, los que obtienen esa victoria son representados como estando con los ángeles que derraman las plagas, porque obtienen la victoria, o la necesaria comprensión profética, poco antes de que se cierre el tiempo de gracia.</w:t>
      </w:r>
    </w:p>
    <w:p>
      <w:pPr>
        <w:pStyle w:val="ArticleBody"/>
        <w:jc w:val="left"/>
      </w:pPr>
      <w:r>
        <w:rPr>
          <w:rFonts w:ascii="Times New Roman" w:hAnsi="Times New Roman" w:eastAsia="Times New Roman" w:cs="Times New Roman"/>
        </w:rPr>
        <w:t>Wɔn a wɔte ase sɛ Yesu Kristo Adiyisɛm no wɔbue ano kakra ansa na adom bere no ato mu, na nɔma “666” no yɛ saa anisoadehu no fã no, wɔn ani rempa so sɛ Hesekiel ti awotwe mu anisoadehu no fi ase da a ɛto so anum no so (a ɛyɛ da a edi da a ɛto so asia anim), ɔsram a ɛto so asia mu wɔ afe a ɛto so asia mu. Ti awotwe no awiei no, mmarima aduonu anum resom owia no, na ti akron kyerɛ wɔn a wogye Onyankopɔn sɔano no.</w:t>
      </w:r>
    </w:p>
    <w:p>
      <w:pPr>
        <w:pStyle w:val="ArticleBody"/>
        <w:jc w:val="left"/>
      </w:pPr>
      <w:r>
        <w:rPr>
          <w:rFonts w:ascii="Nirmala UI" w:hAnsi="Nirmala UI" w:eastAsia="Nirmala UI" w:cs="Nirmala UI"/>
        </w:rPr>
        <w:t>भिजनको</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जनावरको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“666” </w:t>
      </w:r>
      <w:r>
        <w:rPr>
          <w:rFonts w:ascii="Nirmala UI" w:hAnsi="Nirmala UI" w:eastAsia="Nirmala UI" w:cs="Nirmala UI"/>
        </w:rPr>
        <w:t>सङ्ख्याद्वारा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देखाइएझैँ</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मानवजातिको</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La vision est représentée comme se déroulant au sein de Jérusalem, laquelle est un symbole de l’Église adventiste du septième jour. Au moment de la loi dominicale aux États-Unis, les adventistes du septième jour sont la seule catégorie de personnes qui soit, là et alors, tenue responsable de la lumière relative au sabbat.</w:t>
      </w:r>
    </w:p>
    <w:p>
      <w:pPr>
        <w:pStyle w:val="ArticleScripture"/>
        <w:jc w:val="left"/>
      </w:pPr>
      <w:r>
        <w:rPr>
          <w:rFonts w:ascii="Times New Roman" w:hAnsi="Times New Roman" w:eastAsia="Times New Roman" w:cs="Times New Roman"/>
        </w:rPr>
        <w:t>«</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ለአንተ</w:t>
      </w:r>
      <w:r>
        <w:rPr>
          <w:rFonts w:ascii="Times New Roman" w:hAnsi="Times New Roman" w:eastAsia="Times New Roman" w:cs="Times New Roman"/>
        </w:rPr>
        <w:t xml:space="preserve"> </w:t>
      </w:r>
      <w:r>
        <w:rPr>
          <w:rFonts w:ascii="Ebrima" w:hAnsi="Ebrima" w:eastAsia="Ebrima" w:cs="Ebrima"/>
        </w:rPr>
        <w:t>ከተገለጠ፥</w:t>
      </w:r>
      <w:r>
        <w:rPr>
          <w:rFonts w:ascii="Times New Roman" w:hAnsi="Times New Roman" w:eastAsia="Times New Roman" w:cs="Times New Roman"/>
        </w:rPr>
        <w:t xml:space="preserve"> </w:t>
      </w:r>
      <w:r>
        <w:rPr>
          <w:rFonts w:ascii="Ebrima" w:hAnsi="Ebrima" w:eastAsia="Ebrima" w:cs="Ebrima"/>
        </w:rPr>
        <w:t>የአራተኛውንም</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እያሳየ፥</w:t>
      </w:r>
      <w:r>
        <w:rPr>
          <w:rFonts w:ascii="Times New Roman" w:hAnsi="Times New Roman" w:eastAsia="Times New Roman" w:cs="Times New Roman"/>
        </w:rPr>
        <w:t xml:space="preserve"> </w:t>
      </w:r>
      <w:r>
        <w:rPr>
          <w:rFonts w:ascii="Ebrima" w:hAnsi="Ebrima" w:eastAsia="Ebrima" w:cs="Ebrima"/>
        </w:rPr>
        <w:t>ለእሑድ</w:t>
      </w:r>
      <w:r>
        <w:rPr>
          <w:rFonts w:ascii="Times New Roman" w:hAnsi="Times New Roman" w:eastAsia="Times New Roman" w:cs="Times New Roman"/>
        </w:rPr>
        <w:t xml:space="preserve"> </w:t>
      </w:r>
      <w:r>
        <w:rPr>
          <w:rFonts w:ascii="Ebrima" w:hAnsi="Ebrima" w:eastAsia="Ebrima" w:cs="Ebrima"/>
        </w:rPr>
        <w:t>አከባበርም</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እንደሌለ</w:t>
      </w:r>
      <w:r>
        <w:rPr>
          <w:rFonts w:ascii="Times New Roman" w:hAnsi="Times New Roman" w:eastAsia="Times New Roman" w:cs="Times New Roman"/>
        </w:rPr>
        <w:t xml:space="preserve"> </w:t>
      </w:r>
      <w:r>
        <w:rPr>
          <w:rFonts w:ascii="Ebrima" w:hAnsi="Ebrima" w:eastAsia="Ebrima" w:cs="Ebrima"/>
        </w:rPr>
        <w:t>እየገለጠ፥</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ከሐሰተኛው</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ከተጣበቅህ፥</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ቀኔ</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ለመቀደስ</w:t>
      </w:r>
      <w:r>
        <w:rPr>
          <w:rFonts w:ascii="Times New Roman" w:hAnsi="Times New Roman" w:eastAsia="Times New Roman" w:cs="Times New Roman"/>
        </w:rPr>
        <w:t xml:space="preserve"> </w:t>
      </w:r>
      <w:r>
        <w:rPr>
          <w:rFonts w:ascii="Ebrima" w:hAnsi="Ebrima" w:eastAsia="Ebrima" w:cs="Ebrima"/>
        </w:rPr>
        <w:t>ፈቃደኛ</w:t>
      </w:r>
      <w:r>
        <w:rPr>
          <w:rFonts w:ascii="Times New Roman" w:hAnsi="Times New Roman" w:eastAsia="Times New Roman" w:cs="Times New Roman"/>
        </w:rPr>
        <w:t xml:space="preserve"> </w:t>
      </w:r>
      <w:r>
        <w:rPr>
          <w:rFonts w:ascii="Ebrima" w:hAnsi="Ebrima" w:eastAsia="Ebrima" w:cs="Ebrima"/>
        </w:rPr>
        <w:t>ሳትሆን፥</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ትቀበላለህ።</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ከሥራ</w:t>
      </w:r>
      <w:r>
        <w:rPr>
          <w:rFonts w:ascii="Times New Roman" w:hAnsi="Times New Roman" w:eastAsia="Times New Roman" w:cs="Times New Roman"/>
        </w:rPr>
        <w:t xml:space="preserve"> </w:t>
      </w:r>
      <w:r>
        <w:rPr>
          <w:rFonts w:ascii="Ebrima" w:hAnsi="Ebrima" w:eastAsia="Ebrima" w:cs="Ebrima"/>
        </w:rPr>
        <w:t>እንድትቆምና</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እንድታመልክ</w:t>
      </w:r>
      <w:r>
        <w:rPr>
          <w:rFonts w:ascii="Times New Roman" w:hAnsi="Times New Roman" w:eastAsia="Times New Roman" w:cs="Times New Roman"/>
        </w:rPr>
        <w:t xml:space="preserve"> </w:t>
      </w:r>
      <w:r>
        <w:rPr>
          <w:rFonts w:ascii="Ebrima" w:hAnsi="Ebrima" w:eastAsia="Ebrima" w:cs="Ebrima"/>
        </w:rPr>
        <w:t>የሚያዝህን</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በምትታዘዝበት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ከተለመደ</w:t>
      </w:r>
      <w:r>
        <w:rPr>
          <w:rFonts w:ascii="Times New Roman" w:hAnsi="Times New Roman" w:eastAsia="Times New Roman" w:cs="Times New Roman"/>
        </w:rPr>
        <w:t xml:space="preserve"> </w:t>
      </w:r>
      <w:r>
        <w:rPr>
          <w:rFonts w:ascii="Ebrima" w:hAnsi="Ebrima" w:eastAsia="Ebrima" w:cs="Ebrima"/>
        </w:rPr>
        <w:t>የሥራ</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አንዲት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እንደሌለ</w:t>
      </w:r>
      <w:r>
        <w:rPr>
          <w:rFonts w:ascii="Times New Roman" w:hAnsi="Times New Roman" w:eastAsia="Times New Roman" w:cs="Times New Roman"/>
        </w:rPr>
        <w:t xml:space="preserve"> </w:t>
      </w:r>
      <w:r>
        <w:rPr>
          <w:rFonts w:ascii="Ebrima" w:hAnsi="Ebrima" w:eastAsia="Ebrima" w:cs="Ebrima"/>
        </w:rPr>
        <w:t>ስታውቅ፥</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ትስማማለህ፥</w:t>
      </w:r>
      <w:r>
        <w:rPr>
          <w:rFonts w:ascii="Times New Roman" w:hAnsi="Times New Roman" w:eastAsia="Times New Roman" w:cs="Times New Roman"/>
        </w:rPr>
        <w:t xml:space="preserve"> </w:t>
      </w:r>
      <w:r>
        <w:rPr>
          <w:rFonts w:ascii="Ebrima" w:hAnsi="Ebrima" w:eastAsia="Ebrima" w:cs="Ebrima"/>
        </w:rPr>
        <w:t>የእግዚአብሔርንም</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ትክዳለህ።</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በግንባራችን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በእጃችን</w:t>
      </w:r>
      <w:r>
        <w:rPr>
          <w:rFonts w:ascii="Times New Roman" w:hAnsi="Times New Roman" w:eastAsia="Times New Roman" w:cs="Times New Roman"/>
        </w:rPr>
        <w:t xml:space="preserve"> </w:t>
      </w:r>
      <w:r>
        <w:rPr>
          <w:rFonts w:ascii="Ebrima" w:hAnsi="Ebrima" w:eastAsia="Ebrima" w:cs="Ebrima"/>
        </w:rPr>
        <w:t>ብንቀበል፥</w:t>
      </w:r>
      <w:r>
        <w:rPr>
          <w:rFonts w:ascii="Times New Roman" w:hAnsi="Times New Roman" w:eastAsia="Times New Roman" w:cs="Times New Roman"/>
        </w:rPr>
        <w:t xml:space="preserve"> </w:t>
      </w:r>
      <w:r>
        <w:rPr>
          <w:rFonts w:ascii="Ebrima" w:hAnsi="Ebrima" w:eastAsia="Ebrima" w:cs="Ebrima"/>
        </w:rPr>
        <w:t>በማይታዘዙት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የተነገሩት</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በእኛ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ሊወድቁ</w:t>
      </w:r>
      <w:r>
        <w:rPr>
          <w:rFonts w:ascii="Times New Roman" w:hAnsi="Times New Roman" w:eastAsia="Times New Roman" w:cs="Times New Roman"/>
        </w:rPr>
        <w:t xml:space="preserve"> </w:t>
      </w:r>
      <w:r>
        <w:rPr>
          <w:rFonts w:ascii="Ebrima" w:hAnsi="Ebrima" w:eastAsia="Ebrima" w:cs="Ebrima"/>
        </w:rPr>
        <w:t>ይገባቸዋል።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የሕያው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የጌታን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በሕሊና</w:t>
      </w:r>
      <w:r>
        <w:rPr>
          <w:rFonts w:ascii="Times New Roman" w:hAnsi="Times New Roman" w:eastAsia="Times New Roman" w:cs="Times New Roman"/>
        </w:rPr>
        <w:t xml:space="preserve"> </w:t>
      </w:r>
      <w:r>
        <w:rPr>
          <w:rFonts w:ascii="Ebrima" w:hAnsi="Ebrima" w:eastAsia="Ebrima" w:cs="Ebrima"/>
        </w:rPr>
        <w:t>ታማኝነት</w:t>
      </w:r>
      <w:r>
        <w:rPr>
          <w:rFonts w:ascii="Times New Roman" w:hAnsi="Times New Roman" w:eastAsia="Times New Roman" w:cs="Times New Roman"/>
        </w:rPr>
        <w:t xml:space="preserve"> </w:t>
      </w:r>
      <w:r>
        <w:rPr>
          <w:rFonts w:ascii="Ebrima" w:hAnsi="Ebrima" w:eastAsia="Ebrima" w:cs="Ebrima"/>
        </w:rPr>
        <w:t>በሚጠብቁ</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ይቀመጣል።</w:t>
      </w:r>
      <w:r>
        <w:rPr>
          <w:rFonts w:ascii="Times New Roman" w:hAnsi="Times New Roman" w:eastAsia="Times New Roman" w:cs="Times New Roman"/>
        </w:rPr>
        <w:t>» Review and Herald, April 27, 1911.</w:t>
      </w:r>
    </w:p>
    <w:p>
      <w:pPr>
        <w:pStyle w:val="ArticleBody"/>
        <w:jc w:val="left"/>
      </w:pPr>
      <w:r>
        <w:rPr>
          <w:rFonts w:ascii="Times New Roman" w:hAnsi="Times New Roman" w:eastAsia="Times New Roman" w:cs="Times New Roman"/>
        </w:rPr>
        <w:t>La vision d’Ézéchiel, des chapitres huit à onze, retrace l’histoire qui mène jusqu’à la fin du temps de grâce pour Jérusalem. Elle est présentée comme se déroulant juste un jour avant l’arrivée du nombre « 666 », et le chapitre huit met en évidence une rébellion croissante au sein de Jérusalem, qui atteint son point culminant lorsque les principaux hommes se prosternent devant le soleil, recevant ainsi la marque de la bête.</w:t>
      </w:r>
    </w:p>
    <w:p>
      <w:pPr>
        <w:pStyle w:val="ArticleBody"/>
        <w:jc w:val="left"/>
      </w:pPr>
      <w:r>
        <w:rPr>
          <w:rFonts w:ascii="Times New Roman" w:hAnsi="Times New Roman" w:eastAsia="Times New Roman" w:cs="Times New Roman"/>
        </w:rPr>
        <w:t>Capítulo nueve representa a un ángel que pasa por Jerusalén (identificando así una progresión) y pone un sello sobre una clase antes de los ángeles destructores, quienes después matan a todos los que no tienen el sello. Ambos capítulos representan una historia progresiva que conduce a la ley dominical, donde una clase se inclina ante el sol y la otra recibe el sello de Dios. Entonces los impíos son quitados de Jerusalén, pues la ley dominical separa a los impíos y a los sabios.</w:t>
      </w:r>
    </w:p>
    <w:p>
      <w:pPr>
        <w:pStyle w:val="ArticleBody"/>
        <w:jc w:val="left"/>
      </w:pPr>
      <w:r>
        <w:rPr>
          <w:rFonts w:ascii="Times New Roman" w:hAnsi="Times New Roman" w:eastAsia="Times New Roman" w:cs="Times New Roman"/>
        </w:rPr>
        <w:t>Ukutiwa muhuri kunakowakilishwa katika Ezekieli sura ya tisa ndiko kutiwa muhuri kulekule kunakowakilishwa katika Ufunuo sura ya saba.</w:t>
      </w:r>
    </w:p>
    <w:p>
      <w:pPr>
        <w:pStyle w:val="ArticleScripture"/>
        <w:jc w:val="left"/>
      </w:pPr>
      <w:r>
        <w:rPr>
          <w:rFonts w:ascii="Times New Roman" w:hAnsi="Times New Roman" w:eastAsia="Times New Roman" w:cs="Times New Roman"/>
        </w:rPr>
        <w:t>«Եթե այսպիսի տեսարաններ են գալու, այսչափ ահեղ դատաստաններ մի մեղավոր աշխարհի վրա, ապա ո՞ւր պիտի լինի ապաստանը Աստծու ժողովրդի համար։ Ինչպե՞ս պիտի նրանք պատսպարվեն, մինչև բարկությունը անցնի։ Հովհաննեսը տեսնում է բնության տարրերը՝ երկրաշարժը, փոթորիկը և քաղաքական կռիվը, ներկայացված՝ իբրև չորս հրեշտակների կողմից զսպված։ Այս հողմերը վերահսկողության տակ են, մինչև Աստված խոսք տա՝ դրանք արձակելու։ Ահա Աստծու եկեղեցու ապահովությունը։ Աստծու հրեշտակները կատարում են Նրա հրամանները՝ պահելով երկրի հողմերը, որպեսզի հողմերը չփչեն երկրի վրա, ոչ ծովի վրա, ոչ էլ որևէ ծառի վրա, մինչև Աստծու ծառաները կնքվեն իրենց ճակատների վրա։ Հզոր հրեշտակը երևում է՝ բարձրանալիս արևելքից (կամ արևածագից)։ Այս՝ հրեշտակներից առավելագույնս հզորը, իր ձեռքում ունի կենդանի Աստծու կնիքը, կամ Նրա, Ով միայն կարող է կյանք տալ, Ով կարող է ճակատների վրա գրել այն նշանը կամ գրությունը, որոնց պիտի շնորհվի անմահություն, հավիտենական կյանք։ Այս գերագույն հրեշտակի ձայնն է, որ իշխանություն ուներ հրամայելու չորս հրեշտակներին՝ զսպված պահելու չորս հողմերը, մինչև այս գործը կատարվեր, և մինչև ինքը հրաման տար՝ դրանք արձակելու համար»։</w:t>
      </w:r>
    </w:p>
    <w:p>
      <w:pPr>
        <w:pStyle w:val="ArticleScripture"/>
        <w:jc w:val="left"/>
      </w:pPr>
      <w:r>
        <w:rPr>
          <w:rFonts w:ascii="Times New Roman" w:hAnsi="Times New Roman" w:eastAsia="Times New Roman" w:cs="Times New Roman"/>
        </w:rPr>
        <w:t>«Те, кто побеждают мир, плоть и дьявола, будут теми благословенными, которые получат печать Бога живого. Те, чьи руки нечисты и чьи сердца не чисты, не будут иметь печати Бога живого. Те, кто замышляют грех и совершают его, будут обойдены. Только те, кто по своему состоянию пред Богом занимают положение кающихся и исповедующих свои грехи в великий прообразно-исполнительный День искупления, будут признаны и отмечены как достойные Божьей защиты. Имена тех, кто твердо взирают, ожидают и бодрствуют в ожидании явления своего Спасителя — с большей ревностью и желанием, нежели ожидающие утра, — будут причислены к запечатленным. Те же, на чьи души сияет весь свет истины, которые должны были бы иметь дела, соответствующие их исповедуемой вере, но прельщаются грехом, воздвигают идолов в своих сердцах, растлевают свои души пред Богом и оскверняют тех, кто соединяется с ними во грехе, — будут иметь свои имена изглаженными из книги жизни и будут оставлены в полуночной тьме, не имея елея в сосудах своих при светильниках своих. „А для вас, благоговеющие пред именем Моим, взойдет Солнце правды и исцеление в лучах Его“».</w:t>
      </w:r>
    </w:p>
    <w:p>
      <w:pPr>
        <w:pStyle w:val="ArticleScripture"/>
        <w:jc w:val="left"/>
      </w:pPr>
      <w:r>
        <w:rPr>
          <w:rFonts w:ascii="Times New Roman" w:hAnsi="Times New Roman" w:eastAsia="Times New Roman" w:cs="Times New Roman"/>
        </w:rPr>
        <w:t>«Ang pagtimrang ito sa mga lingkod ng Dios amo man ang ginpakita kay Ezekiel sa palanan-awon. Si Juan man nakasaksi sini nga labing makalilisang nga pagpahayag. Nakita niya ang dagat kag ang mga balod nga nagagaruok, kag ang mga tagiposoon sang mga tawo nga nagakaluya sa kahadlok. Nakita niya ang duta nga nagalihok, kag ang mga bukid nga ginadara sa tunga sang dagat (nga sa literal nagakatabo), ang mga tubig sini nga nagagaruok kag nagakaguliyang, kag ang mga bukid nga nagauyog tungod sang paghupong sini. Iginpakita sa iya ang mga hampak, mga pestilensya, kag gutom, kag ang kamatayon nga nagatuman sang ila makahaladlok nga misyon.» Testimonies to Ministers, 445.</w:t>
      </w:r>
    </w:p>
    <w:p>
      <w:pPr>
        <w:pStyle w:val="ArticleBody"/>
        <w:jc w:val="left"/>
      </w:pPr>
      <w:r>
        <w:rPr>
          <w:rFonts w:ascii="Times New Roman" w:hAnsi="Times New Roman" w:eastAsia="Times New Roman" w:cs="Times New Roman"/>
        </w:rPr>
        <w:t>Waka taɣabri n yimḍan n yiwet n uḍḍaḍ d kuẓ n wagim d kuẓ n waḍḍaḍ deg Ipkas n Waḥyi ixef wis sa, tettwasegdel daɣen deg ixef wis tẓa n Ḥizqiyel; u lmalayek n usegel, d lmalayek ameqqran maḍi, win i d-yulin seg usammer n tafukt. Wid yettwakksen, wid ara yettwakkes yisem-nsen seg udlis n tudert, ttwasegdelen am wid ur nesɛi ara “zzit deg yiɣisiwen-nsen akked teftilin-nsen.” Sin n yiswiren deg tmuɣli n Ḥizqiyel ixef wis tmanya ar wis yiwen d mraw, d tixutam timusnawin akked tiɣehlanin n Matta 25, ihi d Adventisten.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ឧទាហរណកថាអំពីព្រហ្មចារីទាំងដប់</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25 </w:t>
      </w:r>
      <w:r>
        <w:rPr>
          <w:rFonts w:ascii="Leelawadee UI" w:hAnsi="Leelawadee UI" w:eastAsia="Leelawadee UI" w:cs="Leelawadee UI"/>
        </w:rPr>
        <w:t>ក៏បង្ហាញផងដែរអំពីបទពិសោធន៍របស់ប្រជាជនអាដវេនទីស្ទ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393.</w:t>
      </w:r>
    </w:p>
    <w:p>
      <w:pPr>
        <w:pStyle w:val="ArticleBody"/>
        <w:jc w:val="left"/>
      </w:pPr>
      <w:r>
        <w:rPr>
          <w:rFonts w:ascii="Times New Roman" w:hAnsi="Times New Roman" w:eastAsia="Times New Roman" w:cs="Times New Roman"/>
        </w:rPr>
        <w:t>Soeur White identifie expressément la Jérusalem de la vision d’Ézéchiel à l’adventisme :</w:t>
      </w:r>
    </w:p>
    <w:p>
      <w:pPr>
        <w:pStyle w:val="ArticleScripture"/>
        <w:jc w:val="left"/>
      </w:pPr>
      <w:r>
        <w:rPr>
          <w:rFonts w:ascii="Times New Roman" w:hAnsi="Times New Roman" w:eastAsia="Times New Roman" w:cs="Times New Roman"/>
        </w:rPr>
        <w:t>“Papera madzitateguru a Mwari, ane mweya webasa raIshe neruponeso rwemweya pamwoyo, acharamba achiona chivi muchimiro chacho chechokwadi, chine zvivi. Vacharamba vari nguva dzose parutivi rwekubata zvakatendeka uye pachena zvivi zvinokurumidza kukomba vanhu vaMwari. Zvikurukuru mubasa rokupedzisira rechechi, panguva yokuiswa chisimbiso kwezana namakumi mana nezvina zvuru vanofanira kumira vasina mhaka pamberi pechigaro choushe chaMwari, vachanzwa zvakadzama zvikuru kukanganisa kwavanhu vaMwari vanozviti ndevake. Izvi zvinoratidzwa nesimba nomufananidzo womuporofita webasa rokupedzisira pasi pechimiro chevarume, mumwe nomumwe ane chombo chokuuraya muruoko rwake. Mumwe murume pakati pavo akanga akapfeka nguo yerineni, ane chinyoreso chomunyori parutivi rwake. ‘Zvino Jehovha akati kwaari, Pfuura napakati peguta, napakati peJerusarema, uise chiratidzo pahuma dzavanhu vanogomera uye vanochema pamusoro pezvinonyangadza zvose zvinoitwa mukati maro.’” Testimonies, volume 3, 266.</w:t>
      </w:r>
    </w:p>
    <w:p>
      <w:pPr>
        <w:pStyle w:val="ArticleBody"/>
        <w:jc w:val="left"/>
      </w:pPr>
      <w:r>
        <w:rPr>
          <w:rFonts w:ascii="Nirmala UI" w:hAnsi="Nirmala UI" w:eastAsia="Nirmala UI" w:cs="Nirmala UI"/>
        </w:rPr>
        <w:t>ऐज़किएल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“666”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ⵡⴰⵙⵙ</w:t>
      </w:r>
      <w:r>
        <w:rPr>
          <w:rFonts w:ascii="Times New Roman" w:hAnsi="Times New Roman" w:eastAsia="Times New Roman" w:cs="Times New Roman"/>
        </w:rPr>
        <w:t xml:space="preserve"> </w:t>
      </w:r>
      <w:r>
        <w:rPr>
          <w:rFonts w:ascii="Ebrima" w:hAnsi="Ebrima" w:eastAsia="Ebrima" w:cs="Ebrima"/>
        </w:rPr>
        <w:t>ⵏⵏⵉ</w:t>
      </w:r>
      <w:r>
        <w:rPr>
          <w:rFonts w:ascii="Times New Roman" w:hAnsi="Times New Roman" w:eastAsia="Times New Roman" w:cs="Times New Roman"/>
        </w:rPr>
        <w:t xml:space="preserve">, </w:t>
      </w:r>
      <w:r>
        <w:rPr>
          <w:rFonts w:ascii="Ebrima" w:hAnsi="Ebrima" w:eastAsia="Ebrima" w:cs="Ebrima"/>
        </w:rPr>
        <w:t>ⵉⵙⴰⵢⴰ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ⵓⵛⴰⴱⵜⴰⵔ</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ⴰⵢⵜ</w:t>
      </w:r>
      <w:r>
        <w:rPr>
          <w:rFonts w:ascii="Times New Roman" w:hAnsi="Times New Roman" w:eastAsia="Times New Roman" w:cs="Times New Roman"/>
        </w:rPr>
        <w:t xml:space="preserve"> </w:t>
      </w:r>
      <w:r>
        <w:rPr>
          <w:rFonts w:ascii="Ebrima" w:hAnsi="Ebrima" w:eastAsia="Ebrima" w:cs="Ebrima"/>
        </w:rPr>
        <w:t>ⵜⵉⴷⵜ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ⵡⵓⵙⴰⵏ</w:t>
      </w:r>
      <w:r>
        <w:rPr>
          <w:rFonts w:ascii="Times New Roman" w:hAnsi="Times New Roman" w:eastAsia="Times New Roman" w:cs="Times New Roman"/>
        </w:rPr>
        <w:t xml:space="preserve"> </w:t>
      </w:r>
      <w:r>
        <w:rPr>
          <w:rFonts w:ascii="Ebrima" w:hAnsi="Ebrima" w:eastAsia="Ebrima" w:cs="Ebrima"/>
        </w:rPr>
        <w:t>ⵉⵏⴳⴳⵓⵔⴰ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ⵙⵙⴰⵖⵏ</w:t>
      </w:r>
      <w:r>
        <w:rPr>
          <w:rFonts w:ascii="Times New Roman" w:hAnsi="Times New Roman" w:eastAsia="Times New Roman" w:cs="Times New Roman"/>
        </w:rPr>
        <w:t xml:space="preserve"> </w:t>
      </w:r>
      <w:r>
        <w:rPr>
          <w:rFonts w:ascii="Ebrima" w:hAnsi="Ebrima" w:eastAsia="Ebrima" w:cs="Ebrima"/>
        </w:rPr>
        <w:t>ⴰⵣⵍⴰⵢ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ⵓⵣⴳⵣⴰⵡ</w:t>
      </w:r>
      <w:r>
        <w:rPr>
          <w:rFonts w:ascii="Times New Roman" w:hAnsi="Times New Roman" w:eastAsia="Times New Roman" w:cs="Times New Roman"/>
        </w:rPr>
        <w:t xml:space="preserve">, </w:t>
      </w:r>
      <w:r>
        <w:rPr>
          <w:rFonts w:ascii="Ebrima" w:hAnsi="Ebrima" w:eastAsia="Ebrima" w:cs="Ebrima"/>
        </w:rPr>
        <w:t>ⵍⵍⵉ</w:t>
      </w:r>
      <w:r>
        <w:rPr>
          <w:rFonts w:ascii="Times New Roman" w:hAnsi="Times New Roman" w:eastAsia="Times New Roman" w:cs="Times New Roman"/>
        </w:rPr>
        <w:t xml:space="preserve"> </w:t>
      </w:r>
      <w:r>
        <w:rPr>
          <w:rFonts w:ascii="Ebrima" w:hAnsi="Ebrima" w:eastAsia="Ebrima" w:cs="Ebrima"/>
        </w:rPr>
        <w:t>ⵉⴳⴰⵏ</w:t>
      </w:r>
      <w:r>
        <w:rPr>
          <w:rFonts w:ascii="Times New Roman" w:hAnsi="Times New Roman" w:eastAsia="Times New Roman" w:cs="Times New Roman"/>
        </w:rPr>
        <w:t xml:space="preserve"> </w:t>
      </w:r>
      <w:r>
        <w:rPr>
          <w:rFonts w:ascii="Ebrima" w:hAnsi="Ebrima" w:eastAsia="Ebrima" w:cs="Ebrima"/>
        </w:rPr>
        <w:t>ⴰⵣⵍⴰⵢ</w:t>
      </w:r>
      <w:r>
        <w:rPr>
          <w:rFonts w:ascii="Times New Roman" w:hAnsi="Times New Roman" w:eastAsia="Times New Roman" w:cs="Times New Roman"/>
        </w:rPr>
        <w:t xml:space="preserve"> </w:t>
      </w:r>
      <w:r>
        <w:rPr>
          <w:rFonts w:ascii="Ebrima" w:hAnsi="Ebrima" w:eastAsia="Ebrima" w:cs="Ebrima"/>
        </w:rPr>
        <w:t>ⵍⵍⵉ</w:t>
      </w:r>
      <w:r>
        <w:rPr>
          <w:rFonts w:ascii="Times New Roman" w:hAnsi="Times New Roman" w:eastAsia="Times New Roman" w:cs="Times New Roman"/>
        </w:rPr>
        <w:t xml:space="preserve"> </w:t>
      </w:r>
      <w:r>
        <w:rPr>
          <w:rFonts w:ascii="Ebrima" w:hAnsi="Ebrima" w:eastAsia="Ebrima" w:cs="Ebrima"/>
        </w:rPr>
        <w:t>ⵉⵙⵙⴰⵖ</w:t>
      </w:r>
      <w:r>
        <w:rPr>
          <w:rFonts w:ascii="Times New Roman" w:hAnsi="Times New Roman" w:eastAsia="Times New Roman" w:cs="Times New Roman"/>
        </w:rPr>
        <w:t xml:space="preserve"> </w:t>
      </w:r>
      <w:r>
        <w:rPr>
          <w:rFonts w:ascii="Ebrima" w:hAnsi="Ebrima" w:eastAsia="Ebrima" w:cs="Ebrima"/>
        </w:rPr>
        <w:t>ⵓⴰⵣⵣⵉⵏ</w:t>
      </w:r>
      <w:r>
        <w:rPr>
          <w:rFonts w:ascii="Times New Roman" w:hAnsi="Times New Roman" w:eastAsia="Times New Roman" w:cs="Times New Roman"/>
        </w:rPr>
        <w:t xml:space="preserve"> </w:t>
      </w:r>
      <w:r>
        <w:rPr>
          <w:rFonts w:ascii="Ebrima" w:hAnsi="Ebrima" w:eastAsia="Ebrima" w:cs="Ebrima"/>
        </w:rPr>
        <w:t>ⵎⵉⵏⵣⵉ</w:t>
      </w:r>
      <w:r>
        <w:rPr>
          <w:rFonts w:ascii="Times New Roman" w:hAnsi="Times New Roman" w:eastAsia="Times New Roman" w:cs="Times New Roman"/>
        </w:rPr>
        <w:t xml:space="preserve"> </w:t>
      </w:r>
      <w:r>
        <w:rPr>
          <w:rFonts w:ascii="Ebrima" w:hAnsi="Ebrima" w:eastAsia="Ebrima" w:cs="Ebrima"/>
        </w:rPr>
        <w:t>ⵉⴷⴷⴰ</w:t>
      </w:r>
      <w:r>
        <w:rPr>
          <w:rFonts w:ascii="Times New Roman" w:hAnsi="Times New Roman" w:eastAsia="Times New Roman" w:cs="Times New Roman"/>
        </w:rPr>
        <w:t xml:space="preserve"> </w:t>
      </w:r>
      <w:r>
        <w:rPr>
          <w:rFonts w:ascii="Ebrima" w:hAnsi="Ebrima" w:eastAsia="Ebrima" w:cs="Ebrima"/>
        </w:rPr>
        <w:t>ⴳⵔ</w:t>
      </w:r>
      <w:r>
        <w:rPr>
          <w:rFonts w:ascii="Times New Roman" w:hAnsi="Times New Roman" w:eastAsia="Times New Roman" w:cs="Times New Roman"/>
        </w:rPr>
        <w:t xml:space="preserve"> </w:t>
      </w:r>
      <w:r>
        <w:rPr>
          <w:rFonts w:ascii="Ebrima" w:hAnsi="Ebrima" w:eastAsia="Ebrima" w:cs="Ebrima"/>
        </w:rPr>
        <w:t>ⵎⴷⴷⵏ</w:t>
      </w:r>
      <w:r>
        <w:rPr>
          <w:rFonts w:ascii="Times New Roman" w:hAnsi="Times New Roman" w:eastAsia="Times New Roman" w:cs="Times New Roman"/>
        </w:rPr>
        <w:t xml:space="preserve">, </w:t>
      </w:r>
      <w:r>
        <w:rPr>
          <w:rFonts w:ascii="Ebrima" w:hAnsi="Ebrima" w:eastAsia="Ebrima" w:cs="Ebrima"/>
        </w:rPr>
        <w:t>ⵍⵍⵉ</w:t>
      </w:r>
      <w:r>
        <w:rPr>
          <w:rFonts w:ascii="Times New Roman" w:hAnsi="Times New Roman" w:eastAsia="Times New Roman" w:cs="Times New Roman"/>
        </w:rPr>
        <w:t xml:space="preserve"> </w:t>
      </w:r>
      <w:r>
        <w:rPr>
          <w:rFonts w:ascii="Ebrima" w:hAnsi="Ebrima" w:eastAsia="Ebrima" w:cs="Ebrima"/>
        </w:rPr>
        <w:t>ⵉⵙⵎⴰⵜⴰⵢⵏ</w:t>
      </w:r>
      <w:r>
        <w:rPr>
          <w:rFonts w:ascii="Times New Roman" w:hAnsi="Times New Roman" w:eastAsia="Times New Roman" w:cs="Times New Roman"/>
        </w:rPr>
        <w:t xml:space="preserve"> </w:t>
      </w:r>
      <w:r>
        <w:rPr>
          <w:rFonts w:ascii="Ebrima" w:hAnsi="Ebrima" w:eastAsia="Ebrima" w:cs="Ebrima"/>
        </w:rPr>
        <w:t>ⴰⴳⴷⵓⴷ</w:t>
      </w:r>
      <w:r>
        <w:rPr>
          <w:rFonts w:ascii="Times New Roman" w:hAnsi="Times New Roman" w:eastAsia="Times New Roman" w:cs="Times New Roman"/>
        </w:rPr>
        <w:t xml:space="preserve"> </w:t>
      </w:r>
      <w:r>
        <w:rPr>
          <w:rFonts w:ascii="Ebrima" w:hAnsi="Ebrima" w:eastAsia="Ebrima" w:cs="Ebrima"/>
        </w:rPr>
        <w:t>ⵉⵜⵜⵓⴼⵔⴰⵏ</w:t>
      </w:r>
      <w:r>
        <w:rPr>
          <w:rFonts w:ascii="Times New Roman" w:hAnsi="Times New Roman" w:eastAsia="Times New Roman" w:cs="Times New Roman"/>
        </w:rPr>
        <w:t xml:space="preserve"> </w:t>
      </w:r>
      <w:r>
        <w:rPr>
          <w:rFonts w:ascii="Ebrima" w:hAnsi="Ebrima" w:eastAsia="Ebrima" w:cs="Ebrima"/>
        </w:rPr>
        <w:t>ⵍⵍⵉ</w:t>
      </w:r>
      <w:r>
        <w:rPr>
          <w:rFonts w:ascii="Times New Roman" w:hAnsi="Times New Roman" w:eastAsia="Times New Roman" w:cs="Times New Roman"/>
        </w:rPr>
        <w:t xml:space="preserve"> </w:t>
      </w:r>
      <w:r>
        <w:rPr>
          <w:rFonts w:ascii="Ebrima" w:hAnsi="Ebrima" w:eastAsia="Ebrima" w:cs="Ebrima"/>
        </w:rPr>
        <w:t>ⵖⴰⵙ</w:t>
      </w:r>
      <w:r>
        <w:rPr>
          <w:rFonts w:ascii="Times New Roman" w:hAnsi="Times New Roman" w:eastAsia="Times New Roman" w:cs="Times New Roman"/>
        </w:rPr>
        <w:t xml:space="preserve"> </w:t>
      </w:r>
      <w:r>
        <w:rPr>
          <w:rFonts w:ascii="Ebrima" w:hAnsi="Ebrima" w:eastAsia="Ebrima" w:cs="Ebrima"/>
        </w:rPr>
        <w:t>ⵉⵜⵜⵓⵣⵔⵉⵏ</w:t>
      </w:r>
      <w:r>
        <w:rPr>
          <w:rFonts w:ascii="Times New Roman" w:hAnsi="Times New Roman" w:eastAsia="Times New Roman" w:cs="Times New Roman"/>
        </w:rPr>
        <w:t xml:space="preserve"> </w:t>
      </w:r>
      <w:r>
        <w:rPr>
          <w:rFonts w:ascii="Ebrima" w:hAnsi="Ebrima" w:eastAsia="Ebrima" w:cs="Ebrima"/>
        </w:rPr>
        <w:t>ⴰⵎⵎⴰ</w:t>
      </w:r>
      <w:r>
        <w:rPr>
          <w:rFonts w:ascii="Times New Roman" w:hAnsi="Times New Roman" w:eastAsia="Times New Roman" w:cs="Times New Roman"/>
        </w:rPr>
        <w:t xml:space="preserve"> </w:t>
      </w:r>
      <w:r>
        <w:rPr>
          <w:rFonts w:ascii="Ebrima" w:hAnsi="Ebrima" w:eastAsia="Ebrima" w:cs="Ebrima"/>
        </w:rPr>
        <w:t>ⴰⴳⴷⵓⴷ</w:t>
      </w:r>
      <w:r>
        <w:rPr>
          <w:rFonts w:ascii="Times New Roman" w:hAnsi="Times New Roman" w:eastAsia="Times New Roman" w:cs="Times New Roman"/>
        </w:rPr>
        <w:t xml:space="preserve"> </w:t>
      </w:r>
      <w:r>
        <w:rPr>
          <w:rFonts w:ascii="Ebrima" w:hAnsi="Ebrima" w:eastAsia="Ebrima" w:cs="Ebrima"/>
        </w:rPr>
        <w:t>ⴰⵢⴰⴹ</w:t>
      </w:r>
      <w:r>
        <w:rPr>
          <w:rFonts w:ascii="Times New Roman" w:hAnsi="Times New Roman" w:eastAsia="Times New Roman" w:cs="Times New Roman"/>
        </w:rPr>
        <w:t xml:space="preserve"> </w:t>
      </w:r>
      <w:r>
        <w:rPr>
          <w:rFonts w:ascii="Ebrima" w:hAnsi="Ebrima" w:eastAsia="Ebrima" w:cs="Ebrima"/>
        </w:rPr>
        <w:t>ⵉⵜⵜⵓⴼⵔⴰⵏ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ⵉⵜⵜⵓⵙⵜⵉ</w:t>
      </w:r>
      <w:r>
        <w:rPr>
          <w:rFonts w:ascii="Times New Roman" w:hAnsi="Times New Roman" w:eastAsia="Times New Roman" w:cs="Times New Roman"/>
        </w:rPr>
        <w:t xml:space="preserve">. </w:t>
      </w:r>
      <w:r>
        <w:rPr>
          <w:rFonts w:ascii="Ebrima" w:hAnsi="Ebrima" w:eastAsia="Ebrima" w:cs="Ebrima"/>
        </w:rPr>
        <w:t>ⴰⵣⵍⴰⵢ</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ⵜⵜ</w:t>
      </w:r>
      <w:r>
        <w:rPr>
          <w:rFonts w:ascii="Times New Roman" w:hAnsi="Times New Roman" w:eastAsia="Times New Roman" w:cs="Times New Roman"/>
        </w:rPr>
        <w:t>-</w:t>
      </w:r>
      <w:r>
        <w:rPr>
          <w:rFonts w:ascii="Ebrima" w:hAnsi="Ebrima" w:eastAsia="Ebrima" w:cs="Ebrima"/>
        </w:rPr>
        <w:t>ⵙⵙⴰⵖⵏ</w:t>
      </w:r>
      <w:r>
        <w:rPr>
          <w:rFonts w:ascii="Times New Roman" w:hAnsi="Times New Roman" w:eastAsia="Times New Roman" w:cs="Times New Roman"/>
        </w:rPr>
        <w:t xml:space="preserve"> “</w:t>
      </w:r>
      <w:r>
        <w:rPr>
          <w:rFonts w:ascii="Ebrima" w:hAnsi="Ebrima" w:eastAsia="Ebrima" w:cs="Ebrima"/>
        </w:rPr>
        <w:t>ⵉⵎⵙⵙⵏ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ⵡⵓⵙⴰⵏ</w:t>
      </w:r>
      <w:r>
        <w:rPr>
          <w:rFonts w:ascii="Times New Roman" w:hAnsi="Times New Roman" w:eastAsia="Times New Roman" w:cs="Times New Roman"/>
        </w:rPr>
        <w:t xml:space="preserve"> </w:t>
      </w:r>
      <w:r>
        <w:rPr>
          <w:rFonts w:ascii="Ebrima" w:hAnsi="Ebrima" w:eastAsia="Ebrima" w:cs="Ebrima"/>
        </w:rPr>
        <w:t>ⵉⵏⴳⴳⵓⵔⴰ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ⵓⵙⵙⵉⵍ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Ezekiel nine </w:t>
      </w:r>
      <w:r>
        <w:rPr>
          <w:rFonts w:ascii="Ebrima" w:hAnsi="Ebrima" w:eastAsia="Ebrima" w:cs="Ebrima"/>
        </w:rPr>
        <w:t>ⴷ</w:t>
      </w:r>
      <w:r>
        <w:rPr>
          <w:rFonts w:ascii="Times New Roman" w:hAnsi="Times New Roman" w:eastAsia="Times New Roman" w:cs="Times New Roman"/>
        </w:rPr>
        <w:t xml:space="preserve"> Revelation seven. </w:t>
      </w:r>
      <w:r>
        <w:rPr>
          <w:rFonts w:ascii="Ebrima" w:hAnsi="Ebrima" w:eastAsia="Ebrima" w:cs="Ebrima"/>
        </w:rPr>
        <w:t>ⵜⴰⵔⴳⴳⴰ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Ezekiel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ⵉⵛⴰⴱⵜⴰⵔⵏ</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ⴽⵓⵣ</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ⵎⵔⴰⵡ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ⵢⴰⵏ</w:t>
      </w:r>
      <w:r>
        <w:rPr>
          <w:rFonts w:ascii="Times New Roman" w:hAnsi="Times New Roman" w:eastAsia="Times New Roman" w:cs="Times New Roman"/>
        </w:rPr>
        <w:t xml:space="preserve"> </w:t>
      </w:r>
      <w:r>
        <w:rPr>
          <w:rFonts w:ascii="Ebrima" w:hAnsi="Ebrima" w:eastAsia="Ebrima" w:cs="Ebrima"/>
        </w:rPr>
        <w:t>ⵜⴳⴰ</w:t>
      </w:r>
      <w:r>
        <w:rPr>
          <w:rFonts w:ascii="Times New Roman" w:hAnsi="Times New Roman" w:eastAsia="Times New Roman" w:cs="Times New Roman"/>
        </w:rPr>
        <w:t xml:space="preserve"> </w:t>
      </w:r>
      <w:r>
        <w:rPr>
          <w:rFonts w:ascii="Ebrima" w:hAnsi="Ebrima" w:eastAsia="Ebrima" w:cs="Ebrima"/>
        </w:rPr>
        <w:t>ⴰⵛⴽⵓ</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ⵡⴰⵣⵍⴰⵢ</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ⵉⵅⴰⵜⴰⵔⵏ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We will continue this study in the next article.</w:t>
      </w:r>
    </w:p>
    <w:p>
      <w:pPr>
        <w:pStyle w:val="ArticleScripture"/>
        <w:jc w:val="left"/>
      </w:pPr>
      <w:r>
        <w:rPr>
          <w:rFonts w:ascii="Times New Roman" w:hAnsi="Times New Roman" w:eastAsia="Times New Roman" w:cs="Times New Roman"/>
        </w:rPr>
        <w:t>“Ny tena olon’Andriamanitra, izay manana ao am-po ny fanahin’ny asan’i Jehovah sy ny famonjena ny fanahy, dia hijery mandrakariva ny ota amin’ny tena toetrany, dia amin’ny maha-ota azy tokoa. Homba mandrakariva ny fanao mahatoky sy mahitsy amin’ny fiatrehana ny fahotana izay mora mamandrika ny olon’Andriamanitra izy ireo. Indrindra amin’ny asa famaranana ho an’ny fiangonana, amin’ny fotoan’ny fanisiana tombo-kase ny iray hetsy sy efatra amby efa-polo arivo, izay hijoro tsy misy tsiny eo anoloan’ny seza fiandrianan’Andriamanitra, no hahatsapany lalina indrindra ny fahadisoan’ny vahoakan’Andriamanitra izay milaza Azy ho azy. Izany dia asehon’ny fanoharan’ny mpaminany amin-kery, momba ny asa farany, eo ambanin’ny endriky ny lehilahy samy mitondra fiadiana famonoana eny an-tànany. Ny lehilahy iray teo afovoan’izy ireo dia nitafy rongony fotsy madinika, sady nisy fitoeran-dranomainty fanoratana teo anilany. ‘Ary hoy Jehovah taminy: Mandehana mamaky eo afovoan’ny tanàna, dia eo afovoan’i Jerosalema, ka asio marika eo amin’ny handrin’ny olona izay misento sy mitaraina noho ny fahavetavetana rehetra atao eo afovoany.’”</w:t>
      </w:r>
    </w:p>
    <w:p>
      <w:pPr>
        <w:pStyle w:val="ArticleScripture"/>
        <w:jc w:val="left"/>
      </w:pPr>
      <w:r>
        <w:rPr>
          <w:rFonts w:ascii="Times New Roman" w:hAnsi="Times New Roman" w:eastAsia="Times New Roman" w:cs="Times New Roman"/>
        </w:rPr>
        <w:t>«Fúl hvørjir standa í ráðum Guds í hesum døgum? Eru tað tey, sum í veruleikanum umbera órætt millum tey, ið játta seg at vera fólk Guds, og sum mutla í hjørtum sínum, um ikki opinlýst, ímóti teimum, ið vilja vísa synd á tal? Eru tað tey, sum taka støðu ímóti teimum og samkenslast við teimum, ið fremja órætt? Nei, sanniliga ikki! Um tey ikki umvenda seg og lata av við verk Satans at kúga tey, sum bera byrðuna av verkinum, og at halda uppi hondunum á syndarum í Sion, fara tey ongantíð at fáa merki Guds, ið er hansara innsiglingsgóðkenning. Tey fara at falla í tí almenna oyðingardómi yvir tey óndu, myndaður við verki teirra fimm mannanna, sum bóru drápsvápn. Legg hetta væl til merkis: Tey, sum fáa hitt reina sannleikamerkið, virkað í teimum við kraft Heilaga Andans, myndað við einum merki, sett av manninum í línklæðum, eru tey, ‘sum suffa og rópa yvir allar tær viðurstyggiligheitir, sum verða gjørdar’ í kirkjuni. Kærleiki teirra til reinleika og til æru og dýrd Guds er so stórur, og tey hava so greiða áskoðan av tí ovurstóra syndugleika syndarinnar, at tey verða lýst sum verandi í angist, ja, sum suffandi og rópandi. Les níggjunda kapittul hjá Ezekieli.»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ការសម្លាប់យ៉ាងទូទៅលើអស់អ្នកទាំងឡាយដែលមិនបានឃើញ</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នូវការប្រៀបផ្ទុយដ៏ទូលំទូលាយរវាងអំពើបាប</w:t>
      </w:r>
      <w:r>
        <w:rPr>
          <w:rFonts w:ascii="Times New Roman" w:hAnsi="Times New Roman" w:eastAsia="Times New Roman" w:cs="Times New Roman"/>
        </w:rPr>
        <w:t xml:space="preserve"> </w:t>
      </w:r>
      <w:r>
        <w:rPr>
          <w:rFonts w:ascii="Leelawadee UI" w:hAnsi="Leelawadee UI" w:eastAsia="Leelawadee UI" w:cs="Leelawadee UI"/>
        </w:rPr>
        <w:t>និងសេចក្តីសុចរិត</w:t>
      </w:r>
      <w:r>
        <w:rPr>
          <w:rFonts w:ascii="Times New Roman" w:hAnsi="Times New Roman" w:eastAsia="Times New Roman" w:cs="Times New Roman"/>
        </w:rPr>
        <w:t xml:space="preserve"> </w:t>
      </w:r>
      <w:r>
        <w:rPr>
          <w:rFonts w:ascii="Leelawadee UI" w:hAnsi="Leelawadee UI" w:eastAsia="Leelawadee UI" w:cs="Leelawadee UI"/>
        </w:rPr>
        <w:t>ហើយមិនបានមានអារម្មណ៍ដូចជាអស់អ្នកដែលឈរនៅក្នុងក្រុមប្រឹក្សារបស់ព្រះ</w:t>
      </w:r>
      <w:r>
        <w:rPr>
          <w:rFonts w:ascii="Times New Roman" w:hAnsi="Times New Roman" w:eastAsia="Times New Roman" w:cs="Times New Roman"/>
        </w:rPr>
        <w:t xml:space="preserve"> </w:t>
      </w:r>
      <w:r>
        <w:rPr>
          <w:rFonts w:ascii="Leelawadee UI" w:hAnsi="Leelawadee UI" w:eastAsia="Leelawadee UI" w:cs="Leelawadee UI"/>
        </w:rPr>
        <w:t>ហើយទទួលសញ្ញាសម្គាល់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ត្រូវបានពិពណ៌នានៅក្នុងបញ្ជាដែលប្រទានដល់បុរសប្រាំនាក់ដែលមានអាវុធសម្រាប់សម្លាប់ថា៖</w:t>
      </w:r>
      <w:r>
        <w:rPr>
          <w:rFonts w:ascii="Times New Roman" w:hAnsi="Times New Roman" w:eastAsia="Times New Roman" w:cs="Times New Roman"/>
        </w:rPr>
        <w:t xml:space="preserve"> «</w:t>
      </w:r>
      <w:r>
        <w:rPr>
          <w:rFonts w:ascii="Leelawadee UI" w:hAnsi="Leelawadee UI" w:eastAsia="Leelawadee UI" w:cs="Leelawadee UI"/>
        </w:rPr>
        <w:t>ចូរទៅតាមក្រោយគាត់កាត់តាមទីក្រុង</w:t>
      </w:r>
      <w:r>
        <w:rPr>
          <w:rFonts w:ascii="Times New Roman" w:hAnsi="Times New Roman" w:eastAsia="Times New Roman" w:cs="Times New Roman"/>
        </w:rPr>
        <w:t xml:space="preserve"> </w:t>
      </w:r>
      <w:r>
        <w:rPr>
          <w:rFonts w:ascii="Leelawadee UI" w:hAnsi="Leelawadee UI" w:eastAsia="Leelawadee UI" w:cs="Leelawadee UI"/>
        </w:rPr>
        <w:t>ហើយវាយប្រហារ</w:t>
      </w:r>
      <w:r>
        <w:rPr>
          <w:rFonts w:ascii="Times New Roman" w:hAnsi="Times New Roman" w:eastAsia="Times New Roman" w:cs="Times New Roman"/>
        </w:rPr>
        <w:t xml:space="preserve">; </w:t>
      </w:r>
      <w:r>
        <w:rPr>
          <w:rFonts w:ascii="Leelawadee UI" w:hAnsi="Leelawadee UI" w:eastAsia="Leelawadee UI" w:cs="Leelawadee UI"/>
        </w:rPr>
        <w:t>កុំឲ្យភ្នែករបស់អ្នកអាណិតទុកឡើយ</w:t>
      </w:r>
      <w:r>
        <w:rPr>
          <w:rFonts w:ascii="Times New Roman" w:hAnsi="Times New Roman" w:eastAsia="Times New Roman" w:cs="Times New Roman"/>
        </w:rPr>
        <w:t xml:space="preserve"> </w:t>
      </w:r>
      <w:r>
        <w:rPr>
          <w:rFonts w:ascii="Leelawadee UI" w:hAnsi="Leelawadee UI" w:eastAsia="Leelawadee UI" w:cs="Leelawadee UI"/>
        </w:rPr>
        <w:t>ហើយកុំឲ្យអ្នកមានមេត្តាឡើយ៖</w:t>
      </w:r>
      <w:r>
        <w:rPr>
          <w:rFonts w:ascii="Times New Roman" w:hAnsi="Times New Roman" w:eastAsia="Times New Roman" w:cs="Times New Roman"/>
        </w:rPr>
        <w:t xml:space="preserve"> </w:t>
      </w:r>
      <w:r>
        <w:rPr>
          <w:rFonts w:ascii="Leelawadee UI" w:hAnsi="Leelawadee UI" w:eastAsia="Leelawadee UI" w:cs="Leelawadee UI"/>
        </w:rPr>
        <w:t>ចូរសម្លាប់ឲ្យអស់ទាំងមនុស្សចាស់</w:t>
      </w:r>
      <w:r>
        <w:rPr>
          <w:rFonts w:ascii="Times New Roman" w:hAnsi="Times New Roman" w:eastAsia="Times New Roman" w:cs="Times New Roman"/>
        </w:rPr>
        <w:t xml:space="preserve"> </w:t>
      </w:r>
      <w:r>
        <w:rPr>
          <w:rFonts w:ascii="Leelawadee UI" w:hAnsi="Leelawadee UI" w:eastAsia="Leelawadee UI" w:cs="Leelawadee UI"/>
        </w:rPr>
        <w:t>និងមនុស្សក្មេង</w:t>
      </w:r>
      <w:r>
        <w:rPr>
          <w:rFonts w:ascii="Times New Roman" w:hAnsi="Times New Roman" w:eastAsia="Times New Roman" w:cs="Times New Roman"/>
        </w:rPr>
        <w:t xml:space="preserve"> </w:t>
      </w:r>
      <w:r>
        <w:rPr>
          <w:rFonts w:ascii="Leelawadee UI" w:hAnsi="Leelawadee UI" w:eastAsia="Leelawadee UI" w:cs="Leelawadee UI"/>
        </w:rPr>
        <w:t>ទាំងស្រីក្រមុំ</w:t>
      </w:r>
      <w:r>
        <w:rPr>
          <w:rFonts w:ascii="Times New Roman" w:hAnsi="Times New Roman" w:eastAsia="Times New Roman" w:cs="Times New Roman"/>
        </w:rPr>
        <w:t xml:space="preserve"> </w:t>
      </w:r>
      <w:r>
        <w:rPr>
          <w:rFonts w:ascii="Leelawadee UI" w:hAnsi="Leelawadee UI" w:eastAsia="Leelawadee UI" w:cs="Leelawadee UI"/>
        </w:rPr>
        <w:t>និងកុមារតូចៗ</w:t>
      </w:r>
      <w:r>
        <w:rPr>
          <w:rFonts w:ascii="Times New Roman" w:hAnsi="Times New Roman" w:eastAsia="Times New Roman" w:cs="Times New Roman"/>
        </w:rPr>
        <w:t xml:space="preserve"> </w:t>
      </w:r>
      <w:r>
        <w:rPr>
          <w:rFonts w:ascii="Leelawadee UI" w:hAnsi="Leelawadee UI" w:eastAsia="Leelawadee UI" w:cs="Leelawadee UI"/>
        </w:rPr>
        <w:t>និងស្ត្រីទាំងឡាយ៖</w:t>
      </w:r>
      <w:r>
        <w:rPr>
          <w:rFonts w:ascii="Times New Roman" w:hAnsi="Times New Roman" w:eastAsia="Times New Roman" w:cs="Times New Roman"/>
        </w:rPr>
        <w:t xml:space="preserve"> </w:t>
      </w:r>
      <w:r>
        <w:rPr>
          <w:rFonts w:ascii="Leelawadee UI" w:hAnsi="Leelawadee UI" w:eastAsia="Leelawadee UI" w:cs="Leelawadee UI"/>
        </w:rPr>
        <w:t>ប៉ុន្តែកុំចូលទៅជិតមនុស្សណាម្នាក់ដែលមានសញ្ញាសម្គាល់នៅលើគេ</w:t>
      </w:r>
      <w:r>
        <w:rPr>
          <w:rFonts w:ascii="Times New Roman" w:hAnsi="Times New Roman" w:eastAsia="Times New Roman" w:cs="Times New Roman"/>
        </w:rPr>
        <w:t xml:space="preserve">; </w:t>
      </w:r>
      <w:r>
        <w:rPr>
          <w:rFonts w:ascii="Leelawadee UI" w:hAnsi="Leelawadee UI" w:eastAsia="Leelawadee UI" w:cs="Leelawadee UI"/>
        </w:rPr>
        <w:t>ហើយចូរចាប់ផ្តើមនៅទីបរិសុទ្ធរបស់យើង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soixante-huit</dc:title>
  <dc:subject>Dévoiler le message prophétique d’Ézéchiel, chapitre huit : la loi du dimanche et les derniers jours</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