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soixante-neuf</w:t>
      </w:r>
    </w:p>
    <w:p>
      <w:pPr>
        <w:pStyle w:val="ArticleSubtitle"/>
        <w:jc w:val="left"/>
      </w:pPr>
      <w:r>
        <w:rPr>
          <w:rFonts w:ascii="Arial" w:hAnsi="Arial" w:eastAsia="Arial" w:cs="Arial"/>
        </w:rPr>
        <w:t>Kufunua Mzunguko wa Kizazi hadi Kizazi: Machukizo Manne ya Uadventista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بۆیە خودا هەرگیز ناگۆڕێت، ئەوەش وای لێدەکات کە ئەدوێنتیزم لە نەوەی چوارەمی خۆیدا حوکم بدرێت.</w:t>
      </w:r>
    </w:p>
    <w:p>
      <w:pPr>
        <w:pStyle w:val="ArticleScripture"/>
        <w:jc w:val="left"/>
      </w:pPr>
      <w:r>
        <w:rPr>
          <w:rFonts w:ascii="Times New Roman" w:hAnsi="Times New Roman" w:eastAsia="Times New Roman" w:cs="Times New Roman"/>
        </w:rPr>
        <w:t>«Et il appela l’homme vêtu de lin, qui avait à son côté l’écritoire du scribe; et le Seigneur lui dit: Passe au milieu de la ville, au milieu de Jérusalem, et marque d’un signe le front des hommes qui soupirent et qui gémissent à cause de toutes les abominations qui s’y commettent. Et aux autres il dit, à mes oreilles: Passez après lui dans la ville, et frappez; que votre œil soit sans pitié, et n’ayez point de compassion: tuez, exterminant vieillards et jeunes gens, vierges, petits enfants et femmes; mais n’approchez d’aucun homme sur lequel est le signe; et commencez par Mon sanctuaire. Ils commencèrent alors par les anciens qui étaient devant la maison.»</w:t>
      </w:r>
    </w:p>
    <w:p>
      <w:pPr>
        <w:pStyle w:val="ArticleScripture"/>
        <w:jc w:val="left"/>
      </w:pPr>
      <w:r>
        <w:rPr>
          <w:rFonts w:ascii="Times New Roman" w:hAnsi="Times New Roman" w:eastAsia="Times New Roman" w:cs="Times New Roman"/>
        </w:rPr>
        <w:t>“Yesus berdiri di ambang meninggalkan tutup pendamaian di kaabah syurgawi untuk mengenakan pakaian pembalasan dan mencurahkan murka-Nya dalam penghakiman ke atas mereka yang tidak menyahut terang yang telah Tuhan berikan kepada mereka. ‘Oleh sebab hukuman terhadap perbuatan jahat tidak segera dilaksanakan, maka hati anak-anak manusia pun sepenuhnya terdorong dalam mereka untuk berbuat jahat.’ Bukannya dilembutkan oleh kesabaran dan panjang sabar yang telah Tuhan nyatakan terhadap mereka, mereka yang tidak takut akan Tuhan dan tidak mengasihi kebenaran malah meneguhkan hati mereka dalam jalan kejahatan mereka. Namun demikian, kesabaran Tuhan pun ada batasnya, dan banyak orang sedang melampaui batas-batas itu. Mereka telah melanggar had kasih karunia, dan oleh sebab itu Tuhan mesti campur tangan dan menegakkan kehormatan-Nya sendiri.”</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愛摩利人</w:t>
      </w:r>
      <w:r>
        <w:rPr>
          <w:rFonts w:ascii="Times New Roman" w:hAnsi="Times New Roman" w:eastAsia="Times New Roman" w:cs="Times New Roman"/>
        </w:rPr>
        <w:t>,</w:t>
      </w:r>
      <w:r>
        <w:rPr>
          <w:rFonts w:ascii="Microsoft YaHei" w:hAnsi="Microsoft YaHei" w:eastAsia="Microsoft YaHei" w:cs="Microsoft YaHei"/>
        </w:rPr>
        <w:t>耶和華曾說：『到了第四代</w:t>
      </w:r>
      <w:r>
        <w:rPr>
          <w:rFonts w:ascii="Times New Roman" w:hAnsi="Times New Roman" w:eastAsia="Times New Roman" w:cs="Times New Roman"/>
        </w:rPr>
        <w:t>,</w:t>
      </w:r>
      <w:r>
        <w:rPr>
          <w:rFonts w:ascii="Microsoft YaHei" w:hAnsi="Microsoft YaHei" w:eastAsia="Microsoft YaHei" w:cs="Microsoft YaHei"/>
        </w:rPr>
        <w:t>他們必回到此地</w:t>
      </w:r>
      <w:r>
        <w:rPr>
          <w:rFonts w:ascii="Times New Roman" w:hAnsi="Times New Roman" w:eastAsia="Times New Roman" w:cs="Times New Roman"/>
        </w:rPr>
        <w:t>,</w:t>
      </w:r>
      <w:r>
        <w:rPr>
          <w:rFonts w:ascii="Microsoft YaHei" w:hAnsi="Microsoft YaHei" w:eastAsia="Microsoft YaHei" w:cs="Microsoft YaHei"/>
        </w:rPr>
        <w:t>因為愛摩利人的罪孽還沒有滿盈</w:t>
      </w:r>
      <w:r>
        <w:rPr>
          <w:rFonts w:ascii="Times New Roman" w:hAnsi="Times New Roman" w:eastAsia="Times New Roman" w:cs="Times New Roman"/>
        </w:rPr>
        <w:t>.</w:t>
      </w:r>
      <w:r>
        <w:rPr>
          <w:rFonts w:ascii="Microsoft YaHei" w:hAnsi="Microsoft YaHei" w:eastAsia="Microsoft YaHei" w:cs="Microsoft YaHei"/>
        </w:rPr>
        <w:t>』這一民族雖因其拜偶像與敗壞而格外顯著</w:t>
      </w:r>
      <w:r>
        <w:rPr>
          <w:rFonts w:ascii="Times New Roman" w:hAnsi="Times New Roman" w:eastAsia="Times New Roman" w:cs="Times New Roman"/>
        </w:rPr>
        <w:t>,</w:t>
      </w:r>
      <w:r>
        <w:rPr>
          <w:rFonts w:ascii="Microsoft YaHei" w:hAnsi="Microsoft YaHei" w:eastAsia="Microsoft YaHei" w:cs="Microsoft YaHei"/>
        </w:rPr>
        <w:t>卻還未使他們罪孽的杯滿溢</w:t>
      </w:r>
      <w:r>
        <w:rPr>
          <w:rFonts w:ascii="Times New Roman" w:hAnsi="Times New Roman" w:eastAsia="Times New Roman" w:cs="Times New Roman"/>
        </w:rPr>
        <w:t>;</w:t>
      </w:r>
      <w:r>
        <w:rPr>
          <w:rFonts w:ascii="Microsoft YaHei" w:hAnsi="Microsoft YaHei" w:eastAsia="Microsoft YaHei" w:cs="Microsoft YaHei"/>
        </w:rPr>
        <w:t>上帝也不會下令將他們盡行毀滅</w:t>
      </w:r>
      <w:r>
        <w:rPr>
          <w:rFonts w:ascii="Times New Roman" w:hAnsi="Times New Roman" w:eastAsia="Times New Roman" w:cs="Times New Roman"/>
        </w:rPr>
        <w:t>.</w:t>
      </w:r>
      <w:r>
        <w:rPr>
          <w:rFonts w:ascii="Microsoft YaHei" w:hAnsi="Microsoft YaHei" w:eastAsia="Microsoft YaHei" w:cs="Microsoft YaHei"/>
        </w:rPr>
        <w:t>百姓必要看見神能以顯著的方式彰顯出來</w:t>
      </w:r>
      <w:r>
        <w:rPr>
          <w:rFonts w:ascii="Times New Roman" w:hAnsi="Times New Roman" w:eastAsia="Times New Roman" w:cs="Times New Roman"/>
        </w:rPr>
        <w:t>,</w:t>
      </w:r>
      <w:r>
        <w:rPr>
          <w:rFonts w:ascii="Microsoft YaHei" w:hAnsi="Microsoft YaHei" w:eastAsia="Microsoft YaHei" w:cs="Microsoft YaHei"/>
        </w:rPr>
        <w:t>好叫他們無可推諉</w:t>
      </w:r>
      <w:r>
        <w:rPr>
          <w:rFonts w:ascii="Times New Roman" w:hAnsi="Times New Roman" w:eastAsia="Times New Roman" w:cs="Times New Roman"/>
        </w:rPr>
        <w:t>.</w:t>
      </w:r>
      <w:r>
        <w:rPr>
          <w:rFonts w:ascii="Microsoft YaHei" w:hAnsi="Microsoft YaHei" w:eastAsia="Microsoft YaHei" w:cs="Microsoft YaHei"/>
        </w:rPr>
        <w:t>滿有憐憫的創造主甘願容忍他們的罪孽</w:t>
      </w:r>
      <w:r>
        <w:rPr>
          <w:rFonts w:ascii="Times New Roman" w:hAnsi="Times New Roman" w:eastAsia="Times New Roman" w:cs="Times New Roman"/>
        </w:rPr>
        <w:t>,</w:t>
      </w:r>
      <w:r>
        <w:rPr>
          <w:rFonts w:ascii="Microsoft YaHei" w:hAnsi="Microsoft YaHei" w:eastAsia="Microsoft YaHei" w:cs="Microsoft YaHei"/>
        </w:rPr>
        <w:t>直到第四代</w:t>
      </w:r>
      <w:r>
        <w:rPr>
          <w:rFonts w:ascii="Times New Roman" w:hAnsi="Times New Roman" w:eastAsia="Times New Roman" w:cs="Times New Roman"/>
        </w:rPr>
        <w:t>.</w:t>
      </w:r>
      <w:r>
        <w:rPr>
          <w:rFonts w:ascii="Microsoft YaHei" w:hAnsi="Microsoft YaHei" w:eastAsia="Microsoft YaHei" w:cs="Microsoft YaHei"/>
        </w:rPr>
        <w:t>此後</w:t>
      </w:r>
      <w:r>
        <w:rPr>
          <w:rFonts w:ascii="Times New Roman" w:hAnsi="Times New Roman" w:eastAsia="Times New Roman" w:cs="Times New Roman"/>
        </w:rPr>
        <w:t>,</w:t>
      </w:r>
      <w:r>
        <w:rPr>
          <w:rFonts w:ascii="Microsoft YaHei" w:hAnsi="Microsoft YaHei" w:eastAsia="Microsoft YaHei" w:cs="Microsoft YaHei"/>
        </w:rPr>
        <w:t>若仍看不出有任何向善的改變</w:t>
      </w:r>
      <w:r>
        <w:rPr>
          <w:rFonts w:ascii="Times New Roman" w:hAnsi="Times New Roman" w:eastAsia="Times New Roman" w:cs="Times New Roman"/>
        </w:rPr>
        <w:t>,</w:t>
      </w:r>
      <w:r>
        <w:rPr>
          <w:rFonts w:ascii="Microsoft YaHei" w:hAnsi="Microsoft YaHei" w:eastAsia="Microsoft YaHei" w:cs="Microsoft YaHei"/>
        </w:rPr>
        <w:t>祂的審判便要臨到他們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ด้วยความแม่นยำที่ไม่ผิดพลาด</w:t>
      </w:r>
      <w:r>
        <w:rPr>
          <w:rFonts w:ascii="Times New Roman" w:hAnsi="Times New Roman" w:eastAsia="Times New Roman" w:cs="Times New Roman"/>
        </w:rPr>
        <w:t xml:space="preserve"> </w:t>
      </w:r>
      <w:r>
        <w:rPr>
          <w:rFonts w:ascii="Leelawadee UI" w:hAnsi="Leelawadee UI" w:eastAsia="Leelawadee UI" w:cs="Leelawadee UI"/>
        </w:rPr>
        <w:t>พระผู้ทรงอนันต์ยังคงทรงถือบัญชีกับบรรดาประชาชาติทั้งสิ้นอยู่</w:t>
      </w:r>
      <w:r>
        <w:rPr>
          <w:rFonts w:ascii="Times New Roman" w:hAnsi="Times New Roman" w:eastAsia="Times New Roman" w:cs="Times New Roman"/>
        </w:rPr>
        <w:t xml:space="preserve"> </w:t>
      </w:r>
      <w:r>
        <w:rPr>
          <w:rFonts w:ascii="Leelawadee UI" w:hAnsi="Leelawadee UI" w:eastAsia="Leelawadee UI" w:cs="Leelawadee UI"/>
        </w:rPr>
        <w:t>ขณะที่พระเมตตาของพระองค์ยังทรงยื่นให้พร้อมกับคำเรียกให้กลับใจ</w:t>
      </w:r>
      <w:r>
        <w:rPr>
          <w:rFonts w:ascii="Times New Roman" w:hAnsi="Times New Roman" w:eastAsia="Times New Roman" w:cs="Times New Roman"/>
        </w:rPr>
        <w:t xml:space="preserve"> </w:t>
      </w:r>
      <w:r>
        <w:rPr>
          <w:rFonts w:ascii="Leelawadee UI" w:hAnsi="Leelawadee UI" w:eastAsia="Leelawadee UI" w:cs="Leelawadee UI"/>
        </w:rPr>
        <w:t>บัญชีนี้จะยังคงเปิดอยู่</w:t>
      </w:r>
      <w:r>
        <w:rPr>
          <w:rFonts w:ascii="Times New Roman" w:hAnsi="Times New Roman" w:eastAsia="Times New Roman" w:cs="Times New Roman"/>
        </w:rPr>
        <w:t xml:space="preserve">; </w:t>
      </w:r>
      <w:r>
        <w:rPr>
          <w:rFonts w:ascii="Leelawadee UI" w:hAnsi="Leelawadee UI" w:eastAsia="Leelawadee UI" w:cs="Leelawadee UI"/>
        </w:rPr>
        <w:t>แต่เมื่อยอดตัวเลขถึงจำนวนหนึ่งซึ่งพระเจ้าได้ทรงกำหนดไว้แล้ว</w:t>
      </w:r>
      <w:r>
        <w:rPr>
          <w:rFonts w:ascii="Times New Roman" w:hAnsi="Times New Roman" w:eastAsia="Times New Roman" w:cs="Times New Roman"/>
        </w:rPr>
        <w:t xml:space="preserve"> </w:t>
      </w:r>
      <w:r>
        <w:rPr>
          <w:rFonts w:ascii="Leelawadee UI" w:hAnsi="Leelawadee UI" w:eastAsia="Leelawadee UI" w:cs="Leelawadee UI"/>
        </w:rPr>
        <w:t>การปรนนิบัติแห่งพระพิโรธของพระองค์ก็เริ่มต้นขึ้น</w:t>
      </w:r>
      <w:r>
        <w:rPr>
          <w:rFonts w:ascii="Times New Roman" w:hAnsi="Times New Roman" w:eastAsia="Times New Roman" w:cs="Times New Roman"/>
        </w:rPr>
        <w:t xml:space="preserve"> </w:t>
      </w:r>
      <w:r>
        <w:rPr>
          <w:rFonts w:ascii="Leelawadee UI" w:hAnsi="Leelawadee UI" w:eastAsia="Leelawadee UI" w:cs="Leelawadee UI"/>
        </w:rPr>
        <w:t>บัญชีนั้นถูกปิดลง</w:t>
      </w:r>
      <w:r>
        <w:rPr>
          <w:rFonts w:ascii="Times New Roman" w:hAnsi="Times New Roman" w:eastAsia="Times New Roman" w:cs="Times New Roman"/>
        </w:rPr>
        <w:t xml:space="preserve"> </w:t>
      </w:r>
      <w:r>
        <w:rPr>
          <w:rFonts w:ascii="Leelawadee UI" w:hAnsi="Leelawadee UI" w:eastAsia="Leelawadee UI" w:cs="Leelawadee UI"/>
        </w:rPr>
        <w:t>ความอดทนอดกลั้นของพระเจ้าสิ้นสุดลง</w:t>
      </w:r>
      <w:r>
        <w:rPr>
          <w:rFonts w:ascii="Times New Roman" w:hAnsi="Times New Roman" w:eastAsia="Times New Roman" w:cs="Times New Roman"/>
        </w:rPr>
        <w:t xml:space="preserve"> </w:t>
      </w:r>
      <w:r>
        <w:rPr>
          <w:rFonts w:ascii="Leelawadee UI" w:hAnsi="Leelawadee UI" w:eastAsia="Leelawadee UI" w:cs="Leelawadee UI"/>
        </w:rPr>
        <w:t>ไม่มีการวิงวอนขอพระเมตตาแทนพวกเขาอีกต่อไป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“Nabii, akiitazama karne nyingi zijazo, alionyeshwa wakati huu katika maono yake. Mataifa ya kizazi hiki yamekuwa wapokeaji wa rehema zisizo na kifani. Yamepewa baraka teule kabisa za mbinguni, lakini juu yao kumeandikwa kiburi kilichozidi, tamaa ya mali, ibada ya sanamu, dharau kwa Mungu, na kutokushukuru kwa hali ya chini. Kwa haraka wanafunga hesabu yao na Mungu.</w:t>
      </w:r>
    </w:p>
    <w:p>
      <w:pPr>
        <w:pStyle w:val="ArticleScripture"/>
        <w:jc w:val="left"/>
      </w:pPr>
      <w:r>
        <w:rPr>
          <w:rFonts w:ascii="Times New Roman" w:hAnsi="Times New Roman" w:eastAsia="Times New Roman" w:cs="Times New Roman"/>
        </w:rPr>
        <w:t>«Але те, що примушує мене тремтіти, — це факт, що ті, хто мав найбільше світла й привілеїв, стали оскверненими панівним беззаконням. Під впливом неправедних, які їх оточують, багато хто, навіть із тих, що сповідують істину, охололи й були понесені могутньою течією зла. Загальна зневага, виявлена до справжньої побожності й святості, приводить тих, хто не перебуває в тісному єднанні з Богом, до втрати благоговіння перед Його Законом. Якби вони йшли за світлом і корилися істині від щирого серця, цей святий Закон видавався б їм іще дорожчим саме тоді, коли ним нехтують і його відкидають. У міру того як неповага до Божого Закону стає дедалі очевиднішою, розмежувальна лінія між тими, хто його дотримується, і світом стає дедалі виразнішою. Любов до Божественних приписів зростає в одного класу настільки, наскільки зростає зневага до них в іншого класу.»</w:t>
      </w:r>
    </w:p>
    <w:p>
      <w:pPr>
        <w:pStyle w:val="ArticleScripture"/>
        <w:jc w:val="left"/>
      </w:pPr>
      <w:r>
        <w:rPr>
          <w:rFonts w:ascii="Times New Roman" w:hAnsi="Times New Roman" w:eastAsia="Times New Roman" w:cs="Times New Roman"/>
        </w:rPr>
        <w:t>“</w:t>
      </w:r>
      <w:r>
        <w:rPr>
          <w:rFonts w:ascii="Nirmala UI" w:hAnsi="Nirmala UI" w:eastAsia="Nirmala UI" w:cs="Nirmala UI"/>
        </w:rPr>
        <w:t>भयंकर</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तीव्रता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w:t>
      </w:r>
      <w:r>
        <w:rPr>
          <w:rFonts w:ascii="Nirmala UI" w:hAnsi="Nirmala UI" w:eastAsia="Nirmala UI" w:cs="Nirmala UI"/>
        </w:rPr>
        <w:t>निरीक्षण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अनिच्छुक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चुपचाप</w:t>
      </w:r>
      <w:r>
        <w:rPr>
          <w:rFonts w:ascii="Times New Roman" w:hAnsi="Times New Roman" w:eastAsia="Times New Roman" w:cs="Times New Roman"/>
        </w:rPr>
        <w:t xml:space="preserve">, </w:t>
      </w:r>
      <w:r>
        <w:rPr>
          <w:rFonts w:ascii="Nirmala UI" w:hAnsi="Nirmala UI" w:eastAsia="Nirmala UI" w:cs="Nirmala UI"/>
        </w:rPr>
        <w:t>निश्चिन्त</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बैठकर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ढाढ़स</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आश्रय</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परिश्रमपूर्वक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प्रभावशाली</w:t>
      </w:r>
      <w:r>
        <w:rPr>
          <w:rFonts w:ascii="Times New Roman" w:hAnsi="Times New Roman" w:eastAsia="Times New Roman" w:cs="Times New Roman"/>
        </w:rPr>
        <w:t xml:space="preserve">, </w:t>
      </w:r>
      <w:r>
        <w:rPr>
          <w:rFonts w:ascii="Nirmala UI" w:hAnsi="Nirmala UI" w:eastAsia="Nirmala UI" w:cs="Nirmala UI"/>
        </w:rPr>
        <w:t>उत्सुक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"خميرُ التقوى لم يفقد قوته بالكلية. ففي الوقت الذي يبلغ فيه خطر الكنيسة وانحطاطها أعظم مداهما، تكون الزمرة الصغيرة الواقفة في النور متنهدةً وباكيةً بسبب الرجاسات التي تُرتكب في الأرض. ولكن، على وجهٍ أخص، ترتفع صلواتهم لأجل الكنيسة، لأن أعضاءها يسلكون على طريقة العالم.״</w:t>
      </w:r>
    </w:p>
    <w:p>
      <w:pPr>
        <w:pStyle w:val="ArticleScripture"/>
        <w:jc w:val="left"/>
      </w:pPr>
      <w:r>
        <w:rPr>
          <w:rFonts w:ascii="Times New Roman" w:hAnsi="Times New Roman" w:eastAsia="Times New Roman" w:cs="Times New Roman"/>
        </w:rPr>
        <w:t>Les prières ferventes de ce petit nombre fidèle ne seront pas vaines. Lorsque le Seigneur se lèvera comme vengeur, Il se lèvera aussi comme protecteur de tous ceux qui ont conservé la foi dans sa pureté et se sont gardés sans tache du monde. C’est en ce temps-là que Dieu a promis de faire justice à ses élus, qui crient à Lui jour et nuit, quoiqu’Il use de patience envers eux.</w:t>
      </w:r>
    </w:p>
    <w:p>
      <w:pPr>
        <w:pStyle w:val="ArticleScripture"/>
        <w:jc w:val="left"/>
      </w:pPr>
      <w:r>
        <w:rPr>
          <w:rFonts w:ascii="Times New Roman" w:hAnsi="Times New Roman" w:eastAsia="Times New Roman" w:cs="Times New Roman"/>
        </w:rPr>
        <w:t>«Հրամանը սա է. «Անցիր քաղաքի միջով, Երուսաղեմի միջով, և նշան դիր այն մարդկանց ճակատների վրա, որոնք հառաչում և աղաղակում են այն բոլոր պղծությունների համար, որ կատարվում են նրա մեջ»։ Այս հառաչող, աղաղակող մարդիկ պահել էին կյանքի խոսքերը. նրանք հանդիմանել, խրատել և աղաչել էին։ Ոմանք, որ անարգում էին Աստծուն, ապաշխարեցին և խոնարհեցրին իրենց սրտերը Նրա առաջ։ Բայց Տիրոջ փառքը հեռացել էր Իսրայելից. թեև շատերը դեռ շարունակում էին կրոնի ձևերը, Նրա զորությունն ու ներկայությունը պակասում էին»։ Վկայություններ, հատոր 5, 207–210։</w:t>
      </w:r>
    </w:p>
    <w:p>
      <w:pPr>
        <w:pStyle w:val="ArticleBody"/>
        <w:jc w:val="left"/>
      </w:pPr>
      <w:r>
        <w:rPr>
          <w:rFonts w:ascii="Times New Roman" w:hAnsi="Times New Roman" w:eastAsia="Times New Roman" w:cs="Times New Roman"/>
        </w:rPr>
        <w:t>Mfano wa hukumu ya Mungu ambao Sister White anaubainisha katika kifungu hicho ni hukumu iliyoletwa juu ya mji wa Yerusalemu, ambao katika siku za mwisho ni kanisa la Waadventista Wasabato. Hukumu hiyo inakamilishwa kwenye sheria ya Jumapili, kwa maana hapo ndipo muhuri wa Mungu na alama ya mnyama vinawekwa. Sura ya nane ya Ezekieli inatambulisha machukizo manne yanayozidi kuongezeka. Aya ya kwanza inasisitiza kwamba ono hilo linapaswa kueleweka mara tu kabla ya kufungwa kwa muda wa rehema kwa kutaja siku ya tano ya mwezi wa sita wa mwaka wa sita.</w:t>
      </w:r>
    </w:p>
    <w:p>
      <w:pPr>
        <w:pStyle w:val="ArticleBody"/>
        <w:jc w:val="left"/>
      </w:pPr>
      <w:r>
        <w:rPr>
          <w:rFonts w:ascii="Times New Roman" w:hAnsi="Times New Roman" w:eastAsia="Times New Roman" w:cs="Times New Roman"/>
        </w:rPr>
        <w:t>حزقی‌ایل نیازی نداشت آن نکتهٔ تاریخیِ مرجع را درج کند. او می‌توانست به‌سادگی بنویسد: «و واقع شد، چون در خانهٔ خود نشسته بودم و مشایخ یهودا پیش روی من نشسته بودند، که دستِ یهوه خداوند در آنجا بر من فرود آمد.» این حقیقت که او اشاره به روزِ پیش از «666» را گنجانید، ارجاعی نبوی برای دانشجویان نبوت است. آن ارجاع، برای کسانی که بر عددِ نامِ وحش غلبه یافته‌اند، که «666» را می‌شناسند، عنصری از مکاشفهٔ عیسی مسیح است که اندکی پیش از بسته‌شدنِ زمانِ آزمایش گشوده می‌شود. آنان این را می‌دانند، زیرا قوم خدا هستند، که بنا بر گفتهٔ پطرس، «در زمان گذشته قوم خدا نبودند.»</w:t>
      </w:r>
    </w:p>
    <w:p>
      <w:pPr>
        <w:pStyle w:val="ArticleBody"/>
        <w:jc w:val="left"/>
      </w:pPr>
      <w:r>
        <w:rPr>
          <w:rFonts w:ascii="Times New Roman" w:hAnsi="Times New Roman" w:eastAsia="Times New Roman" w:cs="Times New Roman"/>
        </w:rPr>
        <w:t>در باب دومِ اوّل پطرس، مردمانی که اکنون قومِ خدا هستند، «چشیده‌اند که خداوند مهربان است.» ایشان کسانی‌اند که به‌گونه‌ای نبوّتی کلامِ خدا را «خورده‌اند»، در برابرِ آنان که از خوردنِ کلامِ خدا سر باز زدند. همهٔ انبیا از ایّامِ آخر سخن می‌گویند، و در باب ششمِ یوحنّا، عیسی این پیام را داد که شاگردانِ او باید گوشتِ او را بخورند و خونِ او را بنوشند. در آن باب، شاگردانی که از خوردنِ گوشتِ او و نوشیدنِ خونِ او امتناع کردند، در آیهٔ شصت‌وشش چنین کردند.</w:t>
      </w:r>
    </w:p>
    <w:p>
      <w:pPr>
        <w:pStyle w:val="ArticleScripture"/>
        <w:jc w:val="left"/>
      </w:pPr>
      <w:r>
        <w:rPr>
          <w:rFonts w:ascii="Times New Roman" w:hAnsi="Times New Roman" w:eastAsia="Times New Roman" w:cs="Times New Roman"/>
        </w:rPr>
        <w:t>Aus jener Zeit zogen sich viele seiner Jünger zurück und wandelten fortan nicht mehr mit ihm. Johannes 6,66.</w:t>
      </w:r>
    </w:p>
    <w:p>
      <w:pPr>
        <w:pStyle w:val="ArticleBody"/>
        <w:jc w:val="left"/>
      </w:pPr>
      <w:r>
        <w:rPr>
          <w:rFonts w:ascii="Times New Roman" w:hAnsi="Times New Roman" w:eastAsia="Times New Roman" w:cs="Times New Roman"/>
        </w:rPr>
        <w:t>Les sages qui, dans les derniers jours, mangent la chair et boivent le sang du Christ comprennent que le Christ, en tant que Palmoni, est le Merveilleux Compteur, et ils reconnaissent Sa signature lorsqu’elle est présentée. Le nombre « 665 », dans le verset d’ouverture d’Ézéchiel huit, s’y trouve, pour quiconque veut le voir, indiquant au moins deux points prophétiques importants. Le premier est que le message doit être compris comme couvrant une période antérieure à la loi du dimanche. Le second est que le nombre « 666 » se trouve dans l’un des deux seuls versets du livre de l’Apocalypse qualifiés par l’indication que les « sages » comprendraient dans les derniers jours.</w:t>
      </w:r>
    </w:p>
    <w:p>
      <w:pPr>
        <w:pStyle w:val="ArticleScripture"/>
        <w:jc w:val="left"/>
      </w:pPr>
      <w:r>
        <w:rPr>
          <w:rFonts w:ascii="Times New Roman" w:hAnsi="Times New Roman" w:eastAsia="Times New Roman" w:cs="Times New Roman"/>
        </w:rPr>
        <w:t>Voici la sagesse. Que celui qui a de l’intelligence compte le nombre de la bête ; car c’est un nombre d’homme ; et son nombre est six cent soixante-six. Apocalypse 13:18.</w:t>
      </w:r>
    </w:p>
    <w:p>
      <w:pPr>
        <w:pStyle w:val="ArticleBody"/>
        <w:jc w:val="left"/>
      </w:pPr>
      <w:r>
        <w:rPr>
          <w:rFonts w:ascii="Times New Roman" w:hAnsi="Times New Roman" w:eastAsia="Times New Roman" w:cs="Times New Roman"/>
        </w:rPr>
        <w:t>De „wijzen” die in de laatste dagen de toeneming der kennis verstaan, wanneer de Openbaring van Jezus Christus wordt ontzegeld, zullen weten dat „666” een belangrijk profetisch symbool is, want zij hebben de overwinning over het getal behaald. Ezechiël voert daarom in hoofdstuk acht een zich verhevigde opstand in, die wordt voorgesteld door vier toenemende gruwelen. De laatste daarvan duidt de dwazen aan als neerbuigend voor de zon, en markeert aldus in de laatste dagen het oordeel over Jeruzalem (Adventisme). Dat oordeel vindt plaats in het vierde geslacht. De vier gruwelen zijn de symbolen van de vier geslachten van het Laodiceaanse Adventisme.</w:t>
      </w:r>
    </w:p>
    <w:p>
      <w:pPr>
        <w:pStyle w:val="ArticleBody"/>
        <w:jc w:val="left"/>
      </w:pPr>
      <w:r>
        <w:rPr>
          <w:rFonts w:ascii="Times New Roman" w:hAnsi="Times New Roman" w:eastAsia="Times New Roman" w:cs="Times New Roman"/>
        </w:rPr>
        <w:t>La première génération commença en 1863, avec la rébellion contre le serment de Moïse des « sept temps ». Vingt-cinq ans plus tard, la rébellion de 1888 se manifesta. Trente et un ans plus tard, survint la rébellion de 1919, représentée par le livre de W. W. Prescott, « The Doctrine of Christ ». Trente-huit ans après cela, en 1957, eut lieu la rébellion représentée par le livre « Questions on Doctrine ». Nous allons maintenant commencer à démontrer pourquoi ces quatre balises s’alignent sur les quatre abominations d’Ézéchiel huit.</w:t>
      </w:r>
    </w:p>
    <w:p>
      <w:pPr>
        <w:pStyle w:val="ArticleBody"/>
        <w:jc w:val="left"/>
      </w:pP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लाओदिकीयन</w:t>
      </w:r>
      <w:r>
        <w:rPr>
          <w:rFonts w:ascii="Times New Roman" w:hAnsi="Times New Roman" w:eastAsia="Times New Roman" w:cs="Times New Roman"/>
        </w:rPr>
        <w:t xml:space="preserve"> </w:t>
      </w:r>
      <w:r>
        <w:rPr>
          <w:rFonts w:ascii="Nirmala UI" w:hAnsi="Nirmala UI" w:eastAsia="Nirmala UI" w:cs="Nirmala UI"/>
        </w:rPr>
        <w:t>एडभेन्टवादले</w:t>
      </w:r>
      <w:r>
        <w:rPr>
          <w:rFonts w:ascii="Times New Roman" w:hAnsi="Times New Roman" w:eastAsia="Times New Roman" w:cs="Times New Roman"/>
        </w:rPr>
        <w:t xml:space="preserve"> </w:t>
      </w:r>
      <w:r>
        <w:rPr>
          <w:rFonts w:ascii="Nirmala UI" w:hAnsi="Nirmala UI" w:eastAsia="Nirmala UI" w:cs="Nirmala UI"/>
        </w:rPr>
        <w:t>हबकूक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आज्ञाको</w:t>
      </w:r>
      <w:r>
        <w:rPr>
          <w:rFonts w:ascii="Times New Roman" w:hAnsi="Times New Roman" w:eastAsia="Times New Roman" w:cs="Times New Roman"/>
        </w:rPr>
        <w:t xml:space="preserve"> </w:t>
      </w:r>
      <w:r>
        <w:rPr>
          <w:rFonts w:ascii="Nirmala UI" w:hAnsi="Nirmala UI" w:eastAsia="Nirmala UI" w:cs="Nirmala UI"/>
        </w:rPr>
        <w:t>पूर्तिस्वरूप</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चार्टहरूको</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पट्टिकाहरूमा</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चार्टले</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चित्रणबाट</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हटायो</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चार्टहरूमा</w:t>
      </w:r>
      <w:r>
        <w:rPr>
          <w:rFonts w:ascii="Times New Roman" w:hAnsi="Times New Roman" w:eastAsia="Times New Roman" w:cs="Times New Roman"/>
        </w:rPr>
        <w:t xml:space="preserve"> </w:t>
      </w:r>
      <w:r>
        <w:rPr>
          <w:rFonts w:ascii="Nirmala UI" w:hAnsi="Nirmala UI" w:eastAsia="Nirmala UI" w:cs="Nirmala UI"/>
        </w:rPr>
        <w:t>१२६०</w:t>
      </w:r>
      <w:r>
        <w:rPr>
          <w:rFonts w:ascii="Times New Roman" w:hAnsi="Times New Roman" w:eastAsia="Times New Roman" w:cs="Times New Roman"/>
        </w:rPr>
        <w:t xml:space="preserve">, </w:t>
      </w:r>
      <w:r>
        <w:rPr>
          <w:rFonts w:ascii="Nirmala UI" w:hAnsi="Nirmala UI" w:eastAsia="Nirmala UI" w:cs="Nirmala UI"/>
        </w:rPr>
        <w:t>१२९०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१३३५</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हबकूकमा</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आज्ञाले</w:t>
      </w:r>
      <w:r>
        <w:rPr>
          <w:rFonts w:ascii="Times New Roman" w:hAnsi="Times New Roman" w:eastAsia="Times New Roman" w:cs="Times New Roman"/>
        </w:rPr>
        <w:t xml:space="preserve"> </w:t>
      </w:r>
      <w:r>
        <w:rPr>
          <w:rFonts w:ascii="Nirmala UI" w:hAnsi="Nirmala UI" w:eastAsia="Nirmala UI" w:cs="Nirmala UI"/>
        </w:rPr>
        <w:t>पट्टिकाहरू</w:t>
      </w:r>
      <w:r>
        <w:rPr>
          <w:rFonts w:ascii="Times New Roman" w:hAnsi="Times New Roman" w:eastAsia="Times New Roman" w:cs="Times New Roman"/>
        </w:rPr>
        <w:t xml:space="preserve"> (</w:t>
      </w:r>
      <w:r>
        <w:rPr>
          <w:rFonts w:ascii="Nirmala UI" w:hAnsi="Nirmala UI" w:eastAsia="Nirmala UI" w:cs="Nirmala UI"/>
        </w:rPr>
        <w:t>बहुवचनमा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पढ्छ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दौडोस्।</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लक्ष्यबाट</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त्यससँगै</w:t>
      </w:r>
      <w:r>
        <w:rPr>
          <w:rFonts w:ascii="Times New Roman" w:hAnsi="Times New Roman" w:eastAsia="Times New Roman" w:cs="Times New Roman"/>
        </w:rPr>
        <w:t xml:space="preserve"> </w:t>
      </w:r>
      <w:r>
        <w:rPr>
          <w:rFonts w:ascii="Nirmala UI" w:hAnsi="Nirmala UI" w:eastAsia="Nirmala UI" w:cs="Nirmala UI"/>
        </w:rPr>
        <w:t>व्याख्यात्मक</w:t>
      </w:r>
      <w:r>
        <w:rPr>
          <w:rFonts w:ascii="Times New Roman" w:hAnsi="Times New Roman" w:eastAsia="Times New Roman" w:cs="Times New Roman"/>
        </w:rPr>
        <w:t xml:space="preserve"> </w:t>
      </w:r>
      <w:r>
        <w:rPr>
          <w:rFonts w:ascii="Nirmala UI" w:hAnsi="Nirmala UI" w:eastAsia="Nirmala UI" w:cs="Nirmala UI"/>
        </w:rPr>
        <w:t>पर्चा</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पर्चाविना</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हेरेर</w:t>
      </w:r>
      <w:r>
        <w:rPr>
          <w:rFonts w:ascii="Times New Roman" w:hAnsi="Times New Roman" w:eastAsia="Times New Roman" w:cs="Times New Roman"/>
        </w:rPr>
        <w:t xml:space="preserve"> “</w:t>
      </w:r>
      <w:r>
        <w:rPr>
          <w:rFonts w:ascii="Nirmala UI" w:hAnsi="Nirmala UI" w:eastAsia="Nirmala UI" w:cs="Nirmala UI"/>
        </w:rPr>
        <w:t>दौडनु</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थिएन।</w:t>
      </w:r>
    </w:p>
    <w:p>
      <w:pPr>
        <w:pStyle w:val="ArticleScripture"/>
        <w:jc w:val="left"/>
      </w:pPr>
      <w:r>
        <w:rPr>
          <w:rFonts w:ascii="Times New Roman" w:hAnsi="Times New Roman" w:eastAsia="Times New Roman" w:cs="Times New Roman"/>
        </w:rPr>
        <w:t>Et le Seigneur me répondit et dit : Écris la vision, et grave-la clairement sur des tables, afin que celui qui la lira puisse courir. Habacuc 2:2.</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1863 </w:t>
      </w:r>
      <w:r>
        <w:rPr>
          <w:rFonts w:ascii="Leelawadee UI" w:hAnsi="Leelawadee UI" w:eastAsia="Leelawadee UI" w:cs="Leelawadee UI"/>
        </w:rPr>
        <w:t>គឺជាតារាងក្លែងក្លាយមួយ</w:t>
      </w:r>
      <w:r>
        <w:rPr>
          <w:rFonts w:ascii="Times New Roman" w:hAnsi="Times New Roman" w:eastAsia="Times New Roman" w:cs="Times New Roman"/>
        </w:rPr>
        <w:t xml:space="preserve"> </w:t>
      </w:r>
      <w:r>
        <w:rPr>
          <w:rFonts w:ascii="Leelawadee UI" w:hAnsi="Leelawadee UI" w:eastAsia="Leelawadee UI" w:cs="Leelawadee UI"/>
        </w:rPr>
        <w:t>ដែលត្រូវបានរៀបចំឡើងដើម្បីបិទបាំងសេចក្តីពិត</w:t>
      </w:r>
      <w:r>
        <w:rPr>
          <w:rFonts w:ascii="Times New Roman" w:hAnsi="Times New Roman" w:eastAsia="Times New Roman" w:cs="Times New Roman"/>
        </w:rPr>
        <w:t xml:space="preserve"> </w:t>
      </w:r>
      <w:r>
        <w:rPr>
          <w:rFonts w:ascii="Leelawadee UI" w:hAnsi="Leelawadee UI" w:eastAsia="Leelawadee UI" w:cs="Leelawadee UI"/>
        </w:rPr>
        <w:t>ដូចដែល</w:t>
      </w:r>
      <w:r>
        <w:rPr>
          <w:rFonts w:ascii="Times New Roman" w:hAnsi="Times New Roman" w:eastAsia="Times New Roman" w:cs="Times New Roman"/>
        </w:rPr>
        <w:t xml:space="preserve"> William Miller </w:t>
      </w:r>
      <w:r>
        <w:rPr>
          <w:rFonts w:ascii="Leelawadee UI" w:hAnsi="Leelawadee UI" w:eastAsia="Leelawadee UI" w:cs="Leelawadee UI"/>
        </w:rPr>
        <w:t>បានឃើញនៅក្នុងសុបិនរបស់គាត់។</w:t>
      </w:r>
      <w:r>
        <w:rPr>
          <w:rFonts w:ascii="Times New Roman" w:hAnsi="Times New Roman" w:eastAsia="Times New Roman" w:cs="Times New Roman"/>
        </w:rPr>
        <w:t xml:space="preserve"> </w:t>
      </w:r>
      <w:r>
        <w:rPr>
          <w:rFonts w:ascii="Leelawadee UI" w:hAnsi="Leelawadee UI" w:eastAsia="Leelawadee UI" w:cs="Leelawadee UI"/>
        </w:rPr>
        <w:t>តារាងដ៏វិសុទ្ធទាំងពីរនោះ</w:t>
      </w:r>
      <w:r>
        <w:rPr>
          <w:rFonts w:ascii="Times New Roman" w:hAnsi="Times New Roman" w:eastAsia="Times New Roman" w:cs="Times New Roman"/>
        </w:rPr>
        <w:t xml:space="preserve"> </w:t>
      </w:r>
      <w:r>
        <w:rPr>
          <w:rFonts w:ascii="Leelawadee UI" w:hAnsi="Leelawadee UI" w:eastAsia="Leelawadee UI" w:cs="Leelawadee UI"/>
        </w:rPr>
        <w:t>គឺជានិមិត្តសញ្ញានៃសម្ពន្ធមេត្រីដែលព្រះគ្រីស្ទបានធ្វើជាមួយប្រជាជន</w:t>
      </w:r>
      <w:r>
        <w:rPr>
          <w:rFonts w:ascii="Times New Roman" w:hAnsi="Times New Roman" w:eastAsia="Times New Roman" w:cs="Times New Roman"/>
        </w:rPr>
        <w:t xml:space="preserve"> </w:t>
      </w:r>
      <w:r>
        <w:rPr>
          <w:rFonts w:ascii="Leelawadee UI" w:hAnsi="Leelawadee UI" w:eastAsia="Leelawadee UI" w:cs="Leelawadee UI"/>
        </w:rPr>
        <w:t>ដែលទើបតែបានកាន់ជំហរជាស្នែងប្រូតេស្តង់ពិតនៃសត្វលោកីយ៍មកពីផែនដី។</w:t>
      </w:r>
      <w:r>
        <w:rPr>
          <w:rFonts w:ascii="Times New Roman" w:hAnsi="Times New Roman" w:eastAsia="Times New Roman" w:cs="Times New Roman"/>
        </w:rPr>
        <w:t xml:space="preserve"> </w:t>
      </w:r>
      <w:r>
        <w:rPr>
          <w:rFonts w:ascii="Leelawadee UI" w:hAnsi="Leelawadee UI" w:eastAsia="Leelawadee UI" w:cs="Leelawadee UI"/>
        </w:rPr>
        <w:t>តារាងទាំងពីរនោះតំណាងឲ្យនិមិត្តសញ្ញានៃទំនាក់ទំនងតាមសម្ពន្ធមេត្រី</w:t>
      </w:r>
      <w:r>
        <w:rPr>
          <w:rFonts w:ascii="Times New Roman" w:hAnsi="Times New Roman" w:eastAsia="Times New Roman" w:cs="Times New Roman"/>
        </w:rPr>
        <w:t xml:space="preserve"> </w:t>
      </w:r>
      <w:r>
        <w:rPr>
          <w:rFonts w:ascii="Leelawadee UI" w:hAnsi="Leelawadee UI" w:eastAsia="Leelawadee UI" w:cs="Leelawadee UI"/>
        </w:rPr>
        <w:t>រវាងពួក</w:t>
      </w:r>
      <w:r>
        <w:rPr>
          <w:rFonts w:ascii="Times New Roman" w:hAnsi="Times New Roman" w:eastAsia="Times New Roman" w:cs="Times New Roman"/>
        </w:rPr>
        <w:t xml:space="preserve"> Millerites </w:t>
      </w:r>
      <w:r>
        <w:rPr>
          <w:rFonts w:ascii="Leelawadee UI" w:hAnsi="Leelawadee UI" w:eastAsia="Leelawadee UI" w:cs="Leelawadee UI"/>
        </w:rPr>
        <w:t>និងព្រះគ្រីស្ទ</w:t>
      </w:r>
      <w:r>
        <w:rPr>
          <w:rFonts w:ascii="Times New Roman" w:hAnsi="Times New Roman" w:eastAsia="Times New Roman" w:cs="Times New Roman"/>
        </w:rPr>
        <w:t xml:space="preserve"> </w:t>
      </w:r>
      <w:r>
        <w:rPr>
          <w:rFonts w:ascii="Leelawadee UI" w:hAnsi="Leelawadee UI" w:eastAsia="Leelawadee UI" w:cs="Leelawadee UI"/>
        </w:rPr>
        <w:t>ព្រះអង្គដែលបានយាងមកព្រះវិហាររបស់ព្រះអង្គភ្លាមៗនៅឆ្នាំ</w:t>
      </w:r>
      <w:r>
        <w:rPr>
          <w:rFonts w:ascii="Times New Roman" w:hAnsi="Times New Roman" w:eastAsia="Times New Roman" w:cs="Times New Roman"/>
        </w:rPr>
        <w:t xml:space="preserve"> 1844 </w:t>
      </w:r>
      <w:r>
        <w:rPr>
          <w:rFonts w:ascii="Leelawadee UI" w:hAnsi="Leelawadee UI" w:eastAsia="Leelawadee UI" w:cs="Leelawadee UI"/>
        </w:rPr>
        <w:t>ហើយនៅពេលព្រះអង្គយាងមក</w:t>
      </w:r>
      <w:r>
        <w:rPr>
          <w:rFonts w:ascii="Times New Roman" w:hAnsi="Times New Roman" w:eastAsia="Times New Roman" w:cs="Times New Roman"/>
        </w:rPr>
        <w:t xml:space="preserve"> </w:t>
      </w:r>
      <w:r>
        <w:rPr>
          <w:rFonts w:ascii="Leelawadee UI" w:hAnsi="Leelawadee UI" w:eastAsia="Leelawadee UI" w:cs="Leelawadee UI"/>
        </w:rPr>
        <w:t>ព្រះអង្គយាងមកក្នុងនាមជាអ្នកនាំសារនៃសម្ពន្ធមេត្រី។</w:t>
      </w:r>
      <w:r>
        <w:rPr>
          <w:rFonts w:ascii="Times New Roman" w:hAnsi="Times New Roman" w:eastAsia="Times New Roman" w:cs="Times New Roman"/>
        </w:rPr>
        <w:t xml:space="preserve"> </w:t>
      </w:r>
      <w:r>
        <w:rPr>
          <w:rFonts w:ascii="Leelawadee UI" w:hAnsi="Leelawadee UI" w:eastAsia="Leelawadee UI" w:cs="Leelawadee UI"/>
        </w:rPr>
        <w:t>អ៊ីស្រាអែលបុរាណបង្ហាញអំពីអ៊ីស្រាអែលសម័យទំនើប</w:t>
      </w:r>
      <w:r>
        <w:rPr>
          <w:rFonts w:ascii="Times New Roman" w:hAnsi="Times New Roman" w:eastAsia="Times New Roman" w:cs="Times New Roman"/>
        </w:rPr>
        <w:t xml:space="preserve"> </w:t>
      </w:r>
      <w:r>
        <w:rPr>
          <w:rFonts w:ascii="Leelawadee UI" w:hAnsi="Leelawadee UI" w:eastAsia="Leelawadee UI" w:cs="Leelawadee UI"/>
        </w:rPr>
        <w:t>ហើយនៅពេលព្រះគ្រីស្ទបាននាំអ៊ីស្រាអែលបុរាណចេញពីទាសភាពនៃអេហ្ស៊ីប</w:t>
      </w:r>
      <w:r>
        <w:rPr>
          <w:rFonts w:ascii="Times New Roman" w:hAnsi="Times New Roman" w:eastAsia="Times New Roman" w:cs="Times New Roman"/>
        </w:rPr>
        <w:t xml:space="preserve"> </w:t>
      </w:r>
      <w:r>
        <w:rPr>
          <w:rFonts w:ascii="Leelawadee UI" w:hAnsi="Leelawadee UI" w:eastAsia="Leelawadee UI" w:cs="Leelawadee UI"/>
        </w:rPr>
        <w:t>ព្រះអង្គបានធ្វើឲ្យវាជាគំរូនៃពេលវេលា</w:t>
      </w:r>
      <w:r>
        <w:rPr>
          <w:rFonts w:ascii="Times New Roman" w:hAnsi="Times New Roman" w:eastAsia="Times New Roman" w:cs="Times New Roman"/>
        </w:rPr>
        <w:t xml:space="preserve"> </w:t>
      </w:r>
      <w:r>
        <w:rPr>
          <w:rFonts w:ascii="Leelawadee UI" w:hAnsi="Leelawadee UI" w:eastAsia="Leelawadee UI" w:cs="Leelawadee UI"/>
        </w:rPr>
        <w:t>ដែលព្រះអង្គនឹងនាំអ៊ីស្រាអែលសម័យទំនើបចេញពីទាសភាពនៃការគ្រប់គ្រងរបស់សម្តេចប៉ាបអស់រយៈពេលមួយពាន់ពីររយហុកសិបឆ្នាំ។</w:t>
      </w:r>
      <w:r>
        <w:rPr>
          <w:rFonts w:ascii="Times New Roman" w:hAnsi="Times New Roman" w:eastAsia="Times New Roman" w:cs="Times New Roman"/>
        </w:rPr>
        <w:t xml:space="preserve"> </w:t>
      </w:r>
      <w:r>
        <w:rPr>
          <w:rFonts w:ascii="Leelawadee UI" w:hAnsi="Leelawadee UI" w:eastAsia="Leelawadee UI" w:cs="Leelawadee UI"/>
        </w:rPr>
        <w:t>អ្នកស្រី</w:t>
      </w:r>
      <w:r>
        <w:rPr>
          <w:rFonts w:ascii="Times New Roman" w:hAnsi="Times New Roman" w:eastAsia="Times New Roman" w:cs="Times New Roman"/>
        </w:rPr>
        <w:t xml:space="preserve"> White </w:t>
      </w:r>
      <w:r>
        <w:rPr>
          <w:rFonts w:ascii="Leelawadee UI" w:hAnsi="Leelawadee UI" w:eastAsia="Leelawadee UI" w:cs="Leelawadee UI"/>
        </w:rPr>
        <w:t>បានគាំទ្រជាញឹកញាប់ថា</w:t>
      </w:r>
      <w:r>
        <w:rPr>
          <w:rFonts w:ascii="Times New Roman" w:hAnsi="Times New Roman" w:eastAsia="Times New Roman" w:cs="Times New Roman"/>
        </w:rPr>
        <w:t xml:space="preserve"> </w:t>
      </w:r>
      <w:r>
        <w:rPr>
          <w:rFonts w:ascii="Leelawadee UI" w:hAnsi="Leelawadee UI" w:eastAsia="Leelawadee UI" w:cs="Leelawadee UI"/>
        </w:rPr>
        <w:t>ប្រវត្តិសាស្ត្រទាំងពីរនេះ</w:t>
      </w:r>
      <w:r>
        <w:rPr>
          <w:rFonts w:ascii="Times New Roman" w:hAnsi="Times New Roman" w:eastAsia="Times New Roman" w:cs="Times New Roman"/>
        </w:rPr>
        <w:t xml:space="preserve"> </w:t>
      </w:r>
      <w:r>
        <w:rPr>
          <w:rFonts w:ascii="Leelawadee UI" w:hAnsi="Leelawadee UI" w:eastAsia="Leelawadee UI" w:cs="Leelawadee UI"/>
        </w:rPr>
        <w:t>ជាប្រវត្តិសាស្ត្រស្របគ្នា។</w:t>
      </w:r>
    </w:p>
    <w:p>
      <w:pPr>
        <w:pStyle w:val="ArticleScripture"/>
        <w:jc w:val="left"/>
      </w:pPr>
      <w:r>
        <w:rPr>
          <w:rFonts w:ascii="Times New Roman" w:hAnsi="Times New Roman" w:eastAsia="Times New Roman" w:cs="Times New Roman"/>
        </w:rPr>
        <w:t>«Светът, натрупан през изминалите векове, озарява нас. Разказът за забравянето на Израил е запазен за наше просвещение. В тази епоха Бог е прострял ръката Си, за да събере при Себе Си народ от всяка нация, племе и език. В адвентното движение Той е действал за Своето наследие, както действаше за израилтяните, когато ги извеждаше от Египет. При голямото разочарование от 1844 г. вярата на Неговия народ бе изпитана, както бе изпитана вярата на евреите при Червеното море.» Свидетелства, том 8, 115, 116.</w:t>
      </w:r>
    </w:p>
    <w:p>
      <w:pPr>
        <w:pStyle w:val="ArticleBody"/>
        <w:jc w:val="left"/>
      </w:pPr>
      <w:r>
        <w:rPr>
          <w:rFonts w:ascii="Ebrima" w:hAnsi="Ebrima" w:eastAsia="Ebrima" w:cs="Ebrima"/>
        </w:rPr>
        <w:t>ⴰⵙⵎⵉ</w:t>
      </w:r>
      <w:r>
        <w:rPr>
          <w:rFonts w:ascii="Times New Roman" w:hAnsi="Times New Roman" w:eastAsia="Times New Roman" w:cs="Times New Roman"/>
        </w:rPr>
        <w:t xml:space="preserve"> </w:t>
      </w:r>
      <w:r>
        <w:rPr>
          <w:rFonts w:ascii="Ebrima" w:hAnsi="Ebrima" w:eastAsia="Ebrima" w:cs="Ebrima"/>
        </w:rPr>
        <w:t>ⵢⴻⴽⴽⴻⵛ</w:t>
      </w:r>
      <w:r>
        <w:rPr>
          <w:rFonts w:ascii="Times New Roman" w:hAnsi="Times New Roman" w:eastAsia="Times New Roman" w:cs="Times New Roman"/>
        </w:rPr>
        <w:t xml:space="preserve"> </w:t>
      </w:r>
      <w:r>
        <w:rPr>
          <w:rFonts w:ascii="Ebrima" w:hAnsi="Ebrima" w:eastAsia="Ebrima" w:cs="Ebrima"/>
        </w:rPr>
        <w:t>ⵎⴰⵙⵙⵉⵏⴰ</w:t>
      </w:r>
      <w:r>
        <w:rPr>
          <w:rFonts w:ascii="Times New Roman" w:hAnsi="Times New Roman" w:eastAsia="Times New Roman" w:cs="Times New Roman"/>
        </w:rPr>
        <w:t xml:space="preserve"> </w:t>
      </w:r>
      <w:r>
        <w:rPr>
          <w:rFonts w:ascii="Ebrima" w:hAnsi="Ebrima" w:eastAsia="Ebrima" w:cs="Ebrima"/>
        </w:rPr>
        <w:t>ⵖⴻⵔ</w:t>
      </w:r>
      <w:r>
        <w:rPr>
          <w:rFonts w:ascii="Times New Roman" w:hAnsi="Times New Roman" w:eastAsia="Times New Roman" w:cs="Times New Roman"/>
        </w:rPr>
        <w:t xml:space="preserve"> </w:t>
      </w:r>
      <w:r>
        <w:rPr>
          <w:rFonts w:ascii="Ebrima" w:hAnsi="Ebrima" w:eastAsia="Ebrima" w:cs="Ebrima"/>
        </w:rPr>
        <w:t>ⵓⵎⵙⴰⵖⵓⵍ</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ⴰⵇⴱⵓⵔ</w:t>
      </w:r>
      <w:r>
        <w:rPr>
          <w:rFonts w:ascii="Times New Roman" w:hAnsi="Times New Roman" w:eastAsia="Times New Roman" w:cs="Times New Roman"/>
        </w:rPr>
        <w:t xml:space="preserve">, </w:t>
      </w:r>
      <w:r>
        <w:rPr>
          <w:rFonts w:ascii="Ebrima" w:hAnsi="Ebrima" w:eastAsia="Ebrima" w:cs="Ebrima"/>
        </w:rPr>
        <w:t>ⵉⴼⴽⴰⴷⴰⵙ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ⵉⵍⵡⴰ</w:t>
      </w:r>
      <w:r>
        <w:rPr>
          <w:rFonts w:ascii="Times New Roman" w:hAnsi="Times New Roman" w:eastAsia="Times New Roman" w:cs="Times New Roman"/>
        </w:rPr>
        <w:t>ḥ</w:t>
      </w:r>
      <w:r>
        <w:rPr>
          <w:rFonts w:ascii="Ebrima" w:hAnsi="Ebrima" w:eastAsia="Ebrima" w:cs="Ebrima"/>
        </w:rPr>
        <w:t>ⴻⵏ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ⵓⵙⵎⵓⵏ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ⵜⵎⵢⴰⵡⴰⵙⵜ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ⵓⵎⵙⴰⵖⵓⵍ</w:t>
      </w:r>
      <w:r>
        <w:rPr>
          <w:rFonts w:ascii="Times New Roman" w:hAnsi="Times New Roman" w:eastAsia="Times New Roman" w:cs="Times New Roman"/>
        </w:rPr>
        <w:t xml:space="preserve">. </w:t>
      </w:r>
      <w:r>
        <w:rPr>
          <w:rFonts w:ascii="Ebrima" w:hAnsi="Ebrima" w:eastAsia="Ebrima" w:cs="Ebrima"/>
        </w:rPr>
        <w:t>ⴰⵙⵎⵉ</w:t>
      </w:r>
      <w:r>
        <w:rPr>
          <w:rFonts w:ascii="Times New Roman" w:hAnsi="Times New Roman" w:eastAsia="Times New Roman" w:cs="Times New Roman"/>
        </w:rPr>
        <w:t xml:space="preserve"> </w:t>
      </w:r>
      <w:r>
        <w:rPr>
          <w:rFonts w:ascii="Ebrima" w:hAnsi="Ebrima" w:eastAsia="Ebrima" w:cs="Ebrima"/>
        </w:rPr>
        <w:t>ⵢⴻⴽⴽⴻⵛ</w:t>
      </w:r>
      <w:r>
        <w:rPr>
          <w:rFonts w:ascii="Times New Roman" w:hAnsi="Times New Roman" w:eastAsia="Times New Roman" w:cs="Times New Roman"/>
        </w:rPr>
        <w:t xml:space="preserve"> </w:t>
      </w:r>
      <w:r>
        <w:rPr>
          <w:rFonts w:ascii="Ebrima" w:hAnsi="Ebrima" w:eastAsia="Ebrima" w:cs="Ebrima"/>
        </w:rPr>
        <w:t>ⵎⴰⵙⵙⵉⵏⴰ</w:t>
      </w:r>
      <w:r>
        <w:rPr>
          <w:rFonts w:ascii="Times New Roman" w:hAnsi="Times New Roman" w:eastAsia="Times New Roman" w:cs="Times New Roman"/>
        </w:rPr>
        <w:t xml:space="preserve"> </w:t>
      </w:r>
      <w:r>
        <w:rPr>
          <w:rFonts w:ascii="Ebrima" w:hAnsi="Ebrima" w:eastAsia="Ebrima" w:cs="Ebrima"/>
        </w:rPr>
        <w:t>ⵖⴻⵔ</w:t>
      </w:r>
      <w:r>
        <w:rPr>
          <w:rFonts w:ascii="Times New Roman" w:hAnsi="Times New Roman" w:eastAsia="Times New Roman" w:cs="Times New Roman"/>
        </w:rPr>
        <w:t xml:space="preserve"> </w:t>
      </w:r>
      <w:r>
        <w:rPr>
          <w:rFonts w:ascii="Ebrima" w:hAnsi="Ebrima" w:eastAsia="Ebrima" w:cs="Ebrima"/>
        </w:rPr>
        <w:t>ⵓⵎⵙⴰⵖⵓⵍ</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ⴰⵎⴰⵢⵏⵓ</w:t>
      </w:r>
      <w:r>
        <w:rPr>
          <w:rFonts w:ascii="Times New Roman" w:hAnsi="Times New Roman" w:eastAsia="Times New Roman" w:cs="Times New Roman"/>
        </w:rPr>
        <w:t xml:space="preserve">, </w:t>
      </w:r>
      <w:r>
        <w:rPr>
          <w:rFonts w:ascii="Ebrima" w:hAnsi="Ebrima" w:eastAsia="Ebrima" w:cs="Ebrima"/>
        </w:rPr>
        <w:t>ⵉⴼⴽⴰⴷⴰⵙ</w:t>
      </w:r>
      <w:r>
        <w:rPr>
          <w:rFonts w:ascii="Times New Roman" w:hAnsi="Times New Roman" w:eastAsia="Times New Roman" w:cs="Times New Roman"/>
        </w:rPr>
        <w:t xml:space="preserve"> </w:t>
      </w:r>
      <w:r>
        <w:rPr>
          <w:rFonts w:ascii="Ebrima" w:hAnsi="Ebrima" w:eastAsia="Ebrima" w:cs="Ebrima"/>
        </w:rPr>
        <w:t>ⴷⴰⵖ</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ⵉⵍⵡⴰ</w:t>
      </w:r>
      <w:r>
        <w:rPr>
          <w:rFonts w:ascii="Times New Roman" w:hAnsi="Times New Roman" w:eastAsia="Times New Roman" w:cs="Times New Roman"/>
        </w:rPr>
        <w:t>ḥ</w:t>
      </w:r>
      <w:r>
        <w:rPr>
          <w:rFonts w:ascii="Ebrima" w:hAnsi="Ebrima" w:eastAsia="Ebrima" w:cs="Ebrima"/>
        </w:rPr>
        <w:t>ⴻⵏ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ⵓⵙⵎⵓⵏ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ⵜⵎⵢⴰⵡⴰⵙⵜ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ⵓⵎⵙⴰⵖⵓⵍ</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ⵉⵍⵡⴰ</w:t>
      </w:r>
      <w:r>
        <w:rPr>
          <w:rFonts w:ascii="Times New Roman" w:hAnsi="Times New Roman" w:eastAsia="Times New Roman" w:cs="Times New Roman"/>
        </w:rPr>
        <w:t>ḥ</w:t>
      </w:r>
      <w:r>
        <w:rPr>
          <w:rFonts w:ascii="Ebrima" w:hAnsi="Ebrima" w:eastAsia="Ebrima" w:cs="Ebrima"/>
        </w:rPr>
        <w:t>ⴻⵏ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ⵉⵍⴰⵎⴰⵏ</w:t>
      </w:r>
      <w:r>
        <w:rPr>
          <w:rFonts w:ascii="Times New Roman" w:hAnsi="Times New Roman" w:eastAsia="Times New Roman" w:cs="Times New Roman"/>
        </w:rPr>
        <w:t xml:space="preserve"> </w:t>
      </w:r>
      <w:r>
        <w:rPr>
          <w:rFonts w:ascii="Ebrima" w:hAnsi="Ebrima" w:eastAsia="Ebrima" w:cs="Ebrima"/>
        </w:rPr>
        <w:t>ⵙⴻⵎⵎⴰⵜⴰⵏ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ⵉⵍⵡⴰ</w:t>
      </w:r>
      <w:r>
        <w:rPr>
          <w:rFonts w:ascii="Times New Roman" w:hAnsi="Times New Roman" w:eastAsia="Times New Roman" w:cs="Times New Roman"/>
        </w:rPr>
        <w:t>ḥ</w:t>
      </w:r>
      <w:r>
        <w:rPr>
          <w:rFonts w:ascii="Ebrima" w:hAnsi="Ebrima" w:eastAsia="Ebrima" w:cs="Ebrima"/>
        </w:rPr>
        <w:t>ⴻⵏ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Habakkuk. </w:t>
      </w:r>
      <w:r>
        <w:rPr>
          <w:rFonts w:ascii="Ebrima" w:hAnsi="Ebrima" w:eastAsia="Ebrima" w:cs="Ebrima"/>
        </w:rPr>
        <w:t>ⵉⴼⴽⴰⴷⴰⵙ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ⵉⵍⵡⴰ</w:t>
      </w:r>
      <w:r>
        <w:rPr>
          <w:rFonts w:ascii="Times New Roman" w:hAnsi="Times New Roman" w:eastAsia="Times New Roman" w:cs="Times New Roman"/>
        </w:rPr>
        <w:t>ḥ</w:t>
      </w:r>
      <w:r>
        <w:rPr>
          <w:rFonts w:ascii="Ebrima" w:hAnsi="Ebrima" w:eastAsia="Ebrima" w:cs="Ebrima"/>
        </w:rPr>
        <w:t>ⴻⵏⴻⵏⵏⵉ</w:t>
      </w:r>
      <w:r>
        <w:rPr>
          <w:rFonts w:ascii="Times New Roman" w:hAnsi="Times New Roman" w:eastAsia="Times New Roman" w:cs="Times New Roman"/>
        </w:rPr>
        <w:t xml:space="preserve"> </w:t>
      </w:r>
      <w:r>
        <w:rPr>
          <w:rFonts w:ascii="Ebrima" w:hAnsi="Ebrima" w:eastAsia="Ebrima" w:cs="Ebrima"/>
        </w:rPr>
        <w:t>ⴷⴻⴼⴼⵉⵔ</w:t>
      </w:r>
      <w:r>
        <w:rPr>
          <w:rFonts w:ascii="Times New Roman" w:hAnsi="Times New Roman" w:eastAsia="Times New Roman" w:cs="Times New Roman"/>
        </w:rPr>
        <w:t xml:space="preserve"> </w:t>
      </w:r>
      <w:r>
        <w:rPr>
          <w:rFonts w:ascii="Ebrima" w:hAnsi="Ebrima" w:eastAsia="Ebrima" w:cs="Ebrima"/>
        </w:rPr>
        <w:t>ⵉⵎⵉⴽ</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ⵓⵣⵔⵉ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ⵢⵉⵍⵍ</w:t>
      </w:r>
      <w:r>
        <w:rPr>
          <w:rFonts w:ascii="Times New Roman" w:hAnsi="Times New Roman" w:eastAsia="Times New Roman" w:cs="Times New Roman"/>
        </w:rPr>
        <w:t xml:space="preserve"> </w:t>
      </w:r>
      <w:r>
        <w:rPr>
          <w:rFonts w:ascii="Ebrima" w:hAnsi="Ebrima" w:eastAsia="Ebrima" w:cs="Ebrima"/>
        </w:rPr>
        <w:t>ⴰⵣⴻⴳⴳⵯⴰⵖ</w:t>
      </w:r>
      <w:r>
        <w:rPr>
          <w:rFonts w:ascii="Times New Roman" w:hAnsi="Times New Roman" w:eastAsia="Times New Roman" w:cs="Times New Roman"/>
        </w:rPr>
        <w:t xml:space="preserve">, </w:t>
      </w:r>
      <w:r>
        <w:rPr>
          <w:rFonts w:ascii="Ebrima" w:hAnsi="Ebrima" w:eastAsia="Ebrima" w:cs="Ebrima"/>
        </w:rPr>
        <w:t>ⵏⵏⴰⴷ</w:t>
      </w:r>
      <w:r>
        <w:rPr>
          <w:rFonts w:ascii="Times New Roman" w:hAnsi="Times New Roman" w:eastAsia="Times New Roman" w:cs="Times New Roman"/>
        </w:rPr>
        <w:t xml:space="preserve"> Sister White </w:t>
      </w:r>
      <w:r>
        <w:rPr>
          <w:rFonts w:ascii="Ebrima" w:hAnsi="Ebrima" w:eastAsia="Ebrima" w:cs="Ebrima"/>
        </w:rPr>
        <w:t>ⵜⵙⴰⵙⴰ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ⵓⵙⵖⵓⵏⴼⵓ</w:t>
      </w:r>
      <w:r>
        <w:rPr>
          <w:rFonts w:ascii="Times New Roman" w:hAnsi="Times New Roman" w:eastAsia="Times New Roman" w:cs="Times New Roman"/>
        </w:rPr>
        <w:t xml:space="preserve"> </w:t>
      </w:r>
      <w:r>
        <w:rPr>
          <w:rFonts w:ascii="Ebrima" w:hAnsi="Ebrima" w:eastAsia="Ebrima" w:cs="Ebrima"/>
        </w:rPr>
        <w:t>ⴰⵎⴻⵇⵇⵯⵔⴰⵏ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1844. </w:t>
      </w:r>
      <w:r>
        <w:rPr>
          <w:rFonts w:ascii="Ebrima" w:hAnsi="Ebrima" w:eastAsia="Ebrima" w:cs="Ebrima"/>
        </w:rPr>
        <w:t>ⴷⴻⴼⴼⵉⵔ</w:t>
      </w:r>
      <w:r>
        <w:rPr>
          <w:rFonts w:ascii="Times New Roman" w:hAnsi="Times New Roman" w:eastAsia="Times New Roman" w:cs="Times New Roman"/>
        </w:rPr>
        <w:t xml:space="preserve"> </w:t>
      </w:r>
      <w:r>
        <w:rPr>
          <w:rFonts w:ascii="Ebrima" w:hAnsi="Ebrima" w:eastAsia="Ebrima" w:cs="Ebrima"/>
        </w:rPr>
        <w:t>ⵉⵎⵉⴽ</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1844,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ⵜⵎⴰⵡⴰⵙⵜ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ⵓⵎⵣⵔⵓⵢ</w:t>
      </w:r>
      <w:r>
        <w:rPr>
          <w:rFonts w:ascii="Times New Roman" w:hAnsi="Times New Roman" w:eastAsia="Times New Roman" w:cs="Times New Roman"/>
        </w:rPr>
        <w:t xml:space="preserve"> </w:t>
      </w:r>
      <w:r>
        <w:rPr>
          <w:rFonts w:ascii="Ebrima" w:hAnsi="Ebrima" w:eastAsia="Ebrima" w:cs="Ebrima"/>
        </w:rPr>
        <w:t>ⴰⵏⴱⵉ</w:t>
      </w:r>
      <w:r>
        <w:rPr>
          <w:rFonts w:ascii="Times New Roman" w:hAnsi="Times New Roman" w:eastAsia="Times New Roman" w:cs="Times New Roman"/>
        </w:rPr>
        <w:t xml:space="preserve">, </w:t>
      </w:r>
      <w:r>
        <w:rPr>
          <w:rFonts w:ascii="Ebrima" w:hAnsi="Ebrima" w:eastAsia="Ebrima" w:cs="Ebrima"/>
        </w:rPr>
        <w:t>ⵎⴰⵙⵙⵉⵏⴰ</w:t>
      </w:r>
      <w:r>
        <w:rPr>
          <w:rFonts w:ascii="Times New Roman" w:hAnsi="Times New Roman" w:eastAsia="Times New Roman" w:cs="Times New Roman"/>
        </w:rPr>
        <w:t xml:space="preserve"> </w:t>
      </w:r>
      <w:r>
        <w:rPr>
          <w:rFonts w:ascii="Ebrima" w:hAnsi="Ebrima" w:eastAsia="Ebrima" w:cs="Ebrima"/>
        </w:rPr>
        <w:t>ⵢⴻⵙⵙⵓⴼⵖ</w:t>
      </w:r>
      <w:r>
        <w:rPr>
          <w:rFonts w:ascii="Times New Roman" w:hAnsi="Times New Roman" w:eastAsia="Times New Roman" w:cs="Times New Roman"/>
        </w:rPr>
        <w:t xml:space="preserve"> </w:t>
      </w:r>
      <w:r>
        <w:rPr>
          <w:rFonts w:ascii="Ebrima" w:hAnsi="Ebrima" w:eastAsia="Ebrima" w:cs="Ebrima"/>
        </w:rPr>
        <w:t>ⴰⵍⵡⴰ</w:t>
      </w:r>
      <w:r>
        <w:rPr>
          <w:rFonts w:ascii="Times New Roman" w:hAnsi="Times New Roman" w:eastAsia="Times New Roman" w:cs="Times New Roman"/>
        </w:rPr>
        <w:t xml:space="preserve">ḥ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ⴰⵇⴱⵓⵔ</w:t>
      </w:r>
      <w:r>
        <w:rPr>
          <w:rFonts w:ascii="Times New Roman" w:hAnsi="Times New Roman" w:eastAsia="Times New Roman" w:cs="Times New Roman"/>
        </w:rPr>
        <w:t xml:space="preserve"> </w:t>
      </w:r>
      <w:r>
        <w:rPr>
          <w:rFonts w:ascii="Ebrima" w:hAnsi="Ebrima" w:eastAsia="Ebrima" w:cs="Ebrima"/>
        </w:rPr>
        <w:t>ⵢⵓⵖⴰⵍ</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ⵉⵎⴰⴽⴰⵏⴻⵏ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ⵓⴱⴻⴷⴷⴻⵍ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ⵓⵣⵔⴻⴼ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ⵎⴰⵙⵙⵉⵏⴰ</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ⴰⵎⴰⵢⵏⵓ</w:t>
      </w:r>
      <w:r>
        <w:rPr>
          <w:rFonts w:ascii="Times New Roman" w:hAnsi="Times New Roman" w:eastAsia="Times New Roman" w:cs="Times New Roman"/>
        </w:rPr>
        <w:t xml:space="preserve"> </w:t>
      </w:r>
      <w:r>
        <w:rPr>
          <w:rFonts w:ascii="Ebrima" w:hAnsi="Ebrima" w:eastAsia="Ebrima" w:cs="Ebrima"/>
        </w:rPr>
        <w:t>ⵢⵓⵖⴰⵍ</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ⵉⵎⴰⴽⴰⵏⴻⵏ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ⵓⴱⴻⴷⴷⴻⵍ</w:t>
      </w:r>
      <w:r>
        <w:rPr>
          <w:rFonts w:ascii="Times New Roman" w:hAnsi="Times New Roman" w:eastAsia="Times New Roman" w:cs="Times New Roman"/>
        </w:rPr>
        <w:t xml:space="preserve">, </w:t>
      </w:r>
      <w:r>
        <w:rPr>
          <w:rFonts w:ascii="Ebrima" w:hAnsi="Ebrima" w:eastAsia="Ebrima" w:cs="Ebrima"/>
        </w:rPr>
        <w:t>ⵎⴰⵛⵉ</w:t>
      </w:r>
      <w:r>
        <w:rPr>
          <w:rFonts w:ascii="Times New Roman" w:hAnsi="Times New Roman" w:eastAsia="Times New Roman" w:cs="Times New Roman"/>
        </w:rPr>
        <w:t xml:space="preserve"> </w:t>
      </w:r>
      <w:r>
        <w:rPr>
          <w:rFonts w:ascii="Ebrima" w:hAnsi="Ebrima" w:eastAsia="Ebrima" w:cs="Ebrima"/>
        </w:rPr>
        <w:t>ⴽⴰⵏ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ⵓⵣⵔⴻⴼ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ⵎⴰⵙⵙⵉⵏⴰ</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ⴷⴰⵖ</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ⵜⵉⴷⴻⵜⵉⵏⵏⵉ</w:t>
      </w:r>
      <w:r>
        <w:rPr>
          <w:rFonts w:ascii="Times New Roman" w:hAnsi="Times New Roman" w:eastAsia="Times New Roman" w:cs="Times New Roman"/>
        </w:rPr>
        <w:t xml:space="preserve"> </w:t>
      </w:r>
      <w:r>
        <w:rPr>
          <w:rFonts w:ascii="Ebrima" w:hAnsi="Ebrima" w:eastAsia="Ebrima" w:cs="Ebrima"/>
        </w:rPr>
        <w:t>ⵜⵉⵎⴻⵇⵇⵯⵔⴰⵏⵉⵏ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ⵓⵏⴱⵉ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“Kwarai tasan e na nona lotu na Kalou ena gauna oqo, me vaka ga ni a kaciva ko Koya na Isireli makawa, me tu me rarama e vuravura. Ena i seleiwau kaukauwa ni dina, na itukutuku ni imatai, ni ikarua, kei na ikatolu ni agilosi, sa wasei ira tani kina mai na veisoqosoqo lotu kei vuravura me kauti ira mai ki na veivolekati tabu vua. Sa lesi ira me ra dau maroroya na nona vunau, ka sa vakatawana vei ira na dina lelevu ni parofisai me baleta na gauna oqo. Me vaka na vosa tabu ka a soli me maroroi vei Isireli makawa, sa ka ni nuitaki tabu oqo me vakadewataki ki vuravura.” Testimonies, volume 5, 455.</w:t>
      </w:r>
    </w:p>
    <w:p>
      <w:pPr>
        <w:pStyle w:val="ArticleBody"/>
        <w:jc w:val="left"/>
      </w:pPr>
      <w:r>
        <w:rPr>
          <w:rFonts w:ascii="Times New Roman" w:hAnsi="Times New Roman" w:eastAsia="Times New Roman" w:cs="Times New Roman"/>
        </w:rPr>
        <w:t>Fyrstu tvö boðorðin sýna hatur Guðs á skurðgoðadýrkun, og í þessum fyrstu tveimur boðorðum kunngjörir hann að dómurinn komi fram til þriðja og fjórða ættliðar, því að hann lýsir því yfir að hann sé vandlátur Guð.</w:t>
      </w:r>
    </w:p>
    <w:p>
      <w:pPr>
        <w:pStyle w:val="ArticleScripture"/>
        <w:jc w:val="left"/>
      </w:pPr>
      <w:r>
        <w:rPr>
          <w:rFonts w:ascii="Times New Roman" w:hAnsi="Times New Roman" w:eastAsia="Times New Roman" w:cs="Times New Roman"/>
        </w:rPr>
        <w:t>“قانون در این زمان منحصراً برای منفعت عبرانیان بیان نشد. خدا ایشان را بدین‌سان حرمت نهاد که ایشان را پاسداران و نگاهبانان شریعت خویش قرار داد، اما مقرر بود که آن همچون امانتی مقدس برای تمامی جهان نگه داشته شود. احکام ده‌گانه با تمامی نوع بشر تناسب دارد، و برای تعلیم و حکومت همه عطا شد. ده حکم، کوتاه، جامع، و آمرانه، تمام تکلیف انسان را نسبت به خدا و نسبت به همنوع خویش در بر می‌گیرد؛ و همه بر آن اصل بزرگ و بنیادینِ محبت استوار است. «خداوند، خدای خود را با تمامی دل خود و با تمامی جان خود و با تمامی قوت خود و با تمامی فکر خود محبت نما؛ و همسایه‌ات را همچون خویشتن.» لوقا 10:27. همچنین رجوع کنید به تثنیه 6:4، 5؛ لاویان 19:18. در ده فرمان، این اصول به‌تفصیل بیان شده و بر وضع و احوال انسان قابل انطباق گردیده است.</w:t>
      </w:r>
    </w:p>
    <w:p>
      <w:pPr>
        <w:pStyle w:val="ArticleScripture"/>
        <w:jc w:val="left"/>
      </w:pPr>
      <w:r>
        <w:rPr>
          <w:rFonts w:ascii="Times New Roman" w:hAnsi="Times New Roman" w:eastAsia="Times New Roman" w:cs="Times New Roman"/>
        </w:rPr>
        <w:t>«Tu n’auras pas d’autres dieux devant Moi.»</w:t>
      </w:r>
    </w:p>
    <w:p>
      <w:pPr>
        <w:pStyle w:val="ArticleScripture"/>
        <w:jc w:val="left"/>
      </w:pPr>
      <w:r>
        <w:rPr>
          <w:rFonts w:ascii="Times New Roman" w:hAnsi="Times New Roman" w:eastAsia="Times New Roman" w:cs="Times New Roman"/>
        </w:rPr>
        <w:t>“Yehova, örökkévaló, önmagában létező, teremtetlen Lény, aki maga mindennek Forrása és Fenntartója, egyedül Ő méltó a legfőbb tiszteletre és imádatra. Az embernek tilos bármely más tárgynak első helyet adnia szeretetében vagy szolgálatában. Bármit dédelgetünk is, ami arra hajlik, hogy csökkentse Isten iránti szeretetünket, vagy akadályozza a Neki járó szolgálatot, abból istent csinálunk.”</w:t>
      </w:r>
    </w:p>
    <w:p>
      <w:pPr>
        <w:pStyle w:val="ArticleScripture"/>
        <w:jc w:val="left"/>
      </w:pPr>
      <w:r>
        <w:rPr>
          <w:rFonts w:ascii="Times New Roman" w:hAnsi="Times New Roman" w:eastAsia="Times New Roman" w:cs="Times New Roman"/>
        </w:rPr>
        <w:t>“‘Hûn hette jo gjin snien byld meitsje, noch in ôfbyld fan wat ek dat boppe yn ’e himel is, of dat ûnder op ’e ierde is, of dat yn it wetter ûnder de ierde is: jo meie jo net foar harren bûge, noch harren tsjinje.’”</w:t>
      </w:r>
    </w:p>
    <w:p>
      <w:pPr>
        <w:pStyle w:val="ArticleScripture"/>
        <w:jc w:val="left"/>
      </w:pP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像</w:t>
      </w:r>
      <w:r>
        <w:rPr>
          <w:rFonts w:ascii="MS Gothic" w:hAnsi="MS Gothic" w:eastAsia="MS Gothic" w:cs="MS Gothic"/>
        </w:rPr>
        <w:t>や</w:t>
      </w:r>
      <w:r>
        <w:rPr>
          <w:rFonts w:ascii="Microsoft YaHei" w:hAnsi="Microsoft YaHei" w:eastAsia="Microsoft YaHei" w:cs="Microsoft YaHei"/>
        </w:rPr>
        <w:t>形象</w:t>
      </w:r>
      <w:r>
        <w:rPr>
          <w:rFonts w:ascii="MS Gothic" w:hAnsi="MS Gothic" w:eastAsia="MS Gothic" w:cs="MS Gothic"/>
        </w:rPr>
        <w:t>によって</w:t>
      </w:r>
      <w:r>
        <w:rPr>
          <w:rFonts w:ascii="Microsoft YaHei" w:hAnsi="Microsoft YaHei" w:eastAsia="Microsoft YaHei" w:cs="Microsoft YaHei"/>
        </w:rPr>
        <w:t>礼拝</w:t>
      </w:r>
      <w:r>
        <w:rPr>
          <w:rFonts w:ascii="MS Gothic" w:hAnsi="MS Gothic" w:eastAsia="MS Gothic" w:cs="MS Gothic"/>
        </w:rPr>
        <w:t>することを</w:t>
      </w:r>
      <w:r>
        <w:rPr>
          <w:rFonts w:ascii="Microsoft YaHei" w:hAnsi="Microsoft YaHei" w:eastAsia="Microsoft YaHei" w:cs="Microsoft YaHei"/>
        </w:rPr>
        <w:t>禁</w:t>
      </w:r>
      <w:r>
        <w:rPr>
          <w:rFonts w:ascii="MS Gothic" w:hAnsi="MS Gothic" w:eastAsia="MS Gothic" w:cs="MS Gothic"/>
        </w:rPr>
        <w:t>じている</w:t>
      </w:r>
      <w:r>
        <w:rPr>
          <w:rFonts w:ascii="Times New Roman" w:hAnsi="Times New Roman" w:eastAsia="Times New Roman" w:cs="Times New Roman"/>
        </w:rPr>
        <w:t>.</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異教</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像</w:t>
      </w:r>
      <w:r>
        <w:rPr>
          <w:rFonts w:ascii="MS Gothic" w:hAnsi="MS Gothic" w:eastAsia="MS Gothic" w:cs="MS Gothic"/>
        </w:rPr>
        <w:t>は</w:t>
      </w:r>
      <w:r>
        <w:rPr>
          <w:rFonts w:ascii="Microsoft YaHei" w:hAnsi="Microsoft YaHei" w:eastAsia="Microsoft YaHei" w:cs="Microsoft YaHei"/>
        </w:rPr>
        <w:t>神格</w:t>
      </w:r>
      <w:r>
        <w:rPr>
          <w:rFonts w:ascii="MS Gothic" w:hAnsi="MS Gothic" w:eastAsia="MS Gothic" w:cs="MS Gothic"/>
        </w:rPr>
        <w:t>を</w:t>
      </w:r>
      <w:r>
        <w:rPr>
          <w:rFonts w:ascii="Microsoft YaHei" w:hAnsi="Microsoft YaHei" w:eastAsia="Microsoft YaHei" w:cs="Microsoft YaHei"/>
        </w:rPr>
        <w:t>礼拝</w:t>
      </w:r>
      <w:r>
        <w:rPr>
          <w:rFonts w:ascii="MS Gothic" w:hAnsi="MS Gothic" w:eastAsia="MS Gothic" w:cs="MS Gothic"/>
        </w:rPr>
        <w:t>するための</w:t>
      </w:r>
      <w:r>
        <w:rPr>
          <w:rFonts w:ascii="Microsoft YaHei" w:hAnsi="Microsoft YaHei" w:eastAsia="Microsoft YaHei" w:cs="Microsoft YaHei"/>
        </w:rPr>
        <w:t>単</w:t>
      </w:r>
      <w:r>
        <w:rPr>
          <w:rFonts w:ascii="MS Gothic" w:hAnsi="MS Gothic" w:eastAsia="MS Gothic" w:cs="MS Gothic"/>
        </w:rPr>
        <w:t>なる</w:t>
      </w:r>
      <w:r>
        <w:rPr>
          <w:rFonts w:ascii="Microsoft YaHei" w:hAnsi="Microsoft YaHei" w:eastAsia="Microsoft YaHei" w:cs="Microsoft YaHei"/>
        </w:rPr>
        <w:t>図像</w:t>
      </w:r>
      <w:r>
        <w:rPr>
          <w:rFonts w:ascii="MS Gothic" w:hAnsi="MS Gothic" w:eastAsia="MS Gothic" w:cs="MS Gothic"/>
        </w:rPr>
        <w:t>あるいは</w:t>
      </w:r>
      <w:r>
        <w:rPr>
          <w:rFonts w:ascii="Microsoft YaHei" w:hAnsi="Microsoft YaHei" w:eastAsia="Microsoft YaHei" w:cs="Microsoft YaHei"/>
        </w:rPr>
        <w:t>象徴</w:t>
      </w:r>
      <w:r>
        <w:rPr>
          <w:rFonts w:ascii="MS Gothic" w:hAnsi="MS Gothic" w:eastAsia="MS Gothic" w:cs="MS Gothic"/>
        </w:rPr>
        <w:t>にすぎないと</w:t>
      </w:r>
      <w:r>
        <w:rPr>
          <w:rFonts w:ascii="Microsoft YaHei" w:hAnsi="Microsoft YaHei" w:eastAsia="Microsoft YaHei" w:cs="Microsoft YaHei"/>
        </w:rPr>
        <w:t>主張</w:t>
      </w:r>
      <w:r>
        <w:rPr>
          <w:rFonts w:ascii="MS Gothic" w:hAnsi="MS Gothic" w:eastAsia="MS Gothic" w:cs="MS Gothic"/>
        </w:rPr>
        <w:t>したが</w:t>
      </w:r>
      <w:r>
        <w:rPr>
          <w:rFonts w:ascii="Microsoft YaHei" w:hAnsi="Microsoft YaHei" w:eastAsia="Microsoft YaHei" w:cs="Microsoft YaHei"/>
        </w:rPr>
        <w:t>、神</w:t>
      </w:r>
      <w:r>
        <w:rPr>
          <w:rFonts w:ascii="MS Gothic" w:hAnsi="MS Gothic" w:eastAsia="MS Gothic" w:cs="MS Gothic"/>
        </w:rPr>
        <w:t>はそのような</w:t>
      </w:r>
      <w:r>
        <w:rPr>
          <w:rFonts w:ascii="Microsoft YaHei" w:hAnsi="Microsoft YaHei" w:eastAsia="Microsoft YaHei" w:cs="Microsoft YaHei"/>
        </w:rPr>
        <w:t>礼拝</w:t>
      </w:r>
      <w:r>
        <w:rPr>
          <w:rFonts w:ascii="MS Gothic" w:hAnsi="MS Gothic" w:eastAsia="MS Gothic" w:cs="MS Gothic"/>
        </w:rPr>
        <w:t>を</w:t>
      </w:r>
      <w:r>
        <w:rPr>
          <w:rFonts w:ascii="Microsoft YaHei" w:hAnsi="Microsoft YaHei" w:eastAsia="Microsoft YaHei" w:cs="Microsoft YaHei"/>
        </w:rPr>
        <w:t>罪</w:t>
      </w:r>
      <w:r>
        <w:rPr>
          <w:rFonts w:ascii="MS Gothic" w:hAnsi="MS Gothic" w:eastAsia="MS Gothic" w:cs="MS Gothic"/>
        </w:rPr>
        <w:t>であると</w:t>
      </w:r>
      <w:r>
        <w:rPr>
          <w:rFonts w:ascii="Microsoft YaHei" w:hAnsi="Microsoft YaHei" w:eastAsia="Microsoft YaHei" w:cs="Microsoft YaHei"/>
        </w:rPr>
        <w:t>宣言</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永遠</w:t>
      </w:r>
      <w:r>
        <w:rPr>
          <w:rFonts w:ascii="MS Gothic" w:hAnsi="MS Gothic" w:eastAsia="MS Gothic" w:cs="MS Gothic"/>
        </w:rPr>
        <w:t>なる</w:t>
      </w:r>
      <w:r>
        <w:rPr>
          <w:rFonts w:ascii="Microsoft YaHei" w:hAnsi="Microsoft YaHei" w:eastAsia="Microsoft YaHei" w:cs="Microsoft YaHei"/>
        </w:rPr>
        <w:t>御方</w:t>
      </w:r>
      <w:r>
        <w:rPr>
          <w:rFonts w:ascii="MS Gothic" w:hAnsi="MS Gothic" w:eastAsia="MS Gothic" w:cs="MS Gothic"/>
        </w:rPr>
        <w:t>を</w:t>
      </w:r>
      <w:r>
        <w:rPr>
          <w:rFonts w:ascii="Microsoft YaHei" w:hAnsi="Microsoft YaHei" w:eastAsia="Microsoft YaHei" w:cs="Microsoft YaHei"/>
        </w:rPr>
        <w:t>物質的</w:t>
      </w:r>
      <w:r>
        <w:rPr>
          <w:rFonts w:ascii="MS Gothic" w:hAnsi="MS Gothic" w:eastAsia="MS Gothic" w:cs="MS Gothic"/>
        </w:rPr>
        <w:t>なものによって</w:t>
      </w:r>
      <w:r>
        <w:rPr>
          <w:rFonts w:ascii="Microsoft YaHei" w:hAnsi="Microsoft YaHei" w:eastAsia="Microsoft YaHei" w:cs="Microsoft YaHei"/>
        </w:rPr>
        <w:t>表</w:t>
      </w:r>
      <w:r>
        <w:rPr>
          <w:rFonts w:ascii="MS Gothic" w:hAnsi="MS Gothic" w:eastAsia="MS Gothic" w:cs="MS Gothic"/>
        </w:rPr>
        <w:t>そうとする</w:t>
      </w:r>
      <w:r>
        <w:rPr>
          <w:rFonts w:ascii="Microsoft YaHei" w:hAnsi="Microsoft YaHei" w:eastAsia="Microsoft YaHei" w:cs="Microsoft YaHei"/>
        </w:rPr>
        <w:t>試</w:t>
      </w:r>
      <w:r>
        <w:rPr>
          <w:rFonts w:ascii="MS Gothic" w:hAnsi="MS Gothic" w:eastAsia="MS Gothic" w:cs="MS Gothic"/>
        </w:rPr>
        <w:t>みは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についての</w:t>
      </w:r>
      <w:r>
        <w:rPr>
          <w:rFonts w:ascii="Microsoft YaHei" w:hAnsi="Microsoft YaHei" w:eastAsia="Microsoft YaHei" w:cs="Microsoft YaHei"/>
        </w:rPr>
        <w:t>観念</w:t>
      </w:r>
      <w:r>
        <w:rPr>
          <w:rFonts w:ascii="MS Gothic" w:hAnsi="MS Gothic" w:eastAsia="MS Gothic" w:cs="MS Gothic"/>
        </w:rPr>
        <w:t>を</w:t>
      </w:r>
      <w:r>
        <w:rPr>
          <w:rFonts w:ascii="Microsoft YaHei" w:hAnsi="Microsoft YaHei" w:eastAsia="Microsoft YaHei" w:cs="Microsoft YaHei"/>
        </w:rPr>
        <w:t>低</w:t>
      </w:r>
      <w:r>
        <w:rPr>
          <w:rFonts w:ascii="MS Gothic" w:hAnsi="MS Gothic" w:eastAsia="MS Gothic" w:cs="MS Gothic"/>
        </w:rPr>
        <w:t>めることになる</w:t>
      </w:r>
      <w:r>
        <w:rPr>
          <w:rFonts w:ascii="Times New Roman" w:hAnsi="Times New Roman" w:eastAsia="Times New Roman" w:cs="Times New Roman"/>
        </w:rPr>
        <w:t>.</w:t>
      </w:r>
      <w:r>
        <w:rPr>
          <w:rFonts w:ascii="MS Gothic" w:hAnsi="MS Gothic" w:eastAsia="MS Gothic" w:cs="MS Gothic"/>
        </w:rPr>
        <w:t>エホバの</w:t>
      </w:r>
      <w:r>
        <w:rPr>
          <w:rFonts w:ascii="Microsoft YaHei" w:hAnsi="Microsoft YaHei" w:eastAsia="Microsoft YaHei" w:cs="Microsoft YaHei"/>
        </w:rPr>
        <w:t>無限</w:t>
      </w:r>
      <w:r>
        <w:rPr>
          <w:rFonts w:ascii="MS Gothic" w:hAnsi="MS Gothic" w:eastAsia="MS Gothic" w:cs="MS Gothic"/>
        </w:rPr>
        <w:t>の</w:t>
      </w:r>
      <w:r>
        <w:rPr>
          <w:rFonts w:ascii="Microsoft YaHei" w:hAnsi="Microsoft YaHei" w:eastAsia="Microsoft YaHei" w:cs="Microsoft YaHei"/>
        </w:rPr>
        <w:t>完全</w:t>
      </w:r>
      <w:r>
        <w:rPr>
          <w:rFonts w:ascii="MS Gothic" w:hAnsi="MS Gothic" w:eastAsia="MS Gothic" w:cs="MS Gothic"/>
        </w:rPr>
        <w:t>さから</w:t>
      </w:r>
      <w:r>
        <w:rPr>
          <w:rFonts w:ascii="Microsoft YaHei" w:hAnsi="Microsoft YaHei" w:eastAsia="Microsoft YaHei" w:cs="Microsoft YaHei"/>
        </w:rPr>
        <w:t>心</w:t>
      </w:r>
      <w:r>
        <w:rPr>
          <w:rFonts w:ascii="MS Gothic" w:hAnsi="MS Gothic" w:eastAsia="MS Gothic" w:cs="MS Gothic"/>
        </w:rPr>
        <w:t>がそらされるとき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心</w:t>
      </w:r>
      <w:r>
        <w:rPr>
          <w:rFonts w:ascii="MS Gothic" w:hAnsi="MS Gothic" w:eastAsia="MS Gothic" w:cs="MS Gothic"/>
        </w:rPr>
        <w:t>は</w:t>
      </w:r>
      <w:r>
        <w:rPr>
          <w:rFonts w:ascii="Microsoft YaHei" w:hAnsi="Microsoft YaHei" w:eastAsia="Microsoft YaHei" w:cs="Microsoft YaHei"/>
        </w:rPr>
        <w:t>創造主</w:t>
      </w:r>
      <w:r>
        <w:rPr>
          <w:rFonts w:ascii="MS Gothic" w:hAnsi="MS Gothic" w:eastAsia="MS Gothic" w:cs="MS Gothic"/>
        </w:rPr>
        <w:t>よりも</w:t>
      </w:r>
      <w:r>
        <w:rPr>
          <w:rFonts w:ascii="Microsoft YaHei" w:hAnsi="Microsoft YaHei" w:eastAsia="Microsoft YaHei" w:cs="Microsoft YaHei"/>
        </w:rPr>
        <w:t>被造物</w:t>
      </w:r>
      <w:r>
        <w:rPr>
          <w:rFonts w:ascii="MS Gothic" w:hAnsi="MS Gothic" w:eastAsia="MS Gothic" w:cs="MS Gothic"/>
        </w:rPr>
        <w:t>へと</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寄</w:t>
      </w:r>
      <w:r>
        <w:rPr>
          <w:rFonts w:ascii="MS Gothic" w:hAnsi="MS Gothic" w:eastAsia="MS Gothic" w:cs="MS Gothic"/>
        </w:rPr>
        <w:t>せられるであろう</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、神</w:t>
      </w:r>
      <w:r>
        <w:rPr>
          <w:rFonts w:ascii="MS Gothic" w:hAnsi="MS Gothic" w:eastAsia="MS Gothic" w:cs="MS Gothic"/>
        </w:rPr>
        <w:t>についてのその</w:t>
      </w:r>
      <w:r>
        <w:rPr>
          <w:rFonts w:ascii="Microsoft YaHei" w:hAnsi="Microsoft YaHei" w:eastAsia="Microsoft YaHei" w:cs="Microsoft YaHei"/>
        </w:rPr>
        <w:t>観念</w:t>
      </w:r>
      <w:r>
        <w:rPr>
          <w:rFonts w:ascii="MS Gothic" w:hAnsi="MS Gothic" w:eastAsia="MS Gothic" w:cs="MS Gothic"/>
        </w:rPr>
        <w:t>が</w:t>
      </w:r>
      <w:r>
        <w:rPr>
          <w:rFonts w:ascii="Microsoft YaHei" w:hAnsi="Microsoft YaHei" w:eastAsia="Microsoft YaHei" w:cs="Microsoft YaHei"/>
        </w:rPr>
        <w:t>低</w:t>
      </w:r>
      <w:r>
        <w:rPr>
          <w:rFonts w:ascii="MS Gothic" w:hAnsi="MS Gothic" w:eastAsia="MS Gothic" w:cs="MS Gothic"/>
        </w:rPr>
        <w:t>められるにしたがって</w:t>
      </w:r>
      <w:r>
        <w:rPr>
          <w:rFonts w:ascii="Microsoft YaHei" w:hAnsi="Microsoft YaHei" w:eastAsia="Microsoft YaHei" w:cs="Microsoft YaHei"/>
        </w:rPr>
        <w:t>、人間</w:t>
      </w:r>
      <w:r>
        <w:rPr>
          <w:rFonts w:ascii="MS Gothic" w:hAnsi="MS Gothic" w:eastAsia="MS Gothic" w:cs="MS Gothic"/>
        </w:rPr>
        <w:t>もまた</w:t>
      </w:r>
      <w:r>
        <w:rPr>
          <w:rFonts w:ascii="Microsoft YaHei" w:hAnsi="Microsoft YaHei" w:eastAsia="Microsoft YaHei" w:cs="Microsoft YaHei"/>
        </w:rPr>
        <w:t>堕落</w:t>
      </w:r>
      <w:r>
        <w:rPr>
          <w:rFonts w:ascii="MS Gothic" w:hAnsi="MS Gothic" w:eastAsia="MS Gothic" w:cs="MS Gothic"/>
        </w:rPr>
        <w:t>していくのである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“‘زه، مالِک خُدای تو، خُدایی غیور هستم.’ رابطۀ نزدیک و مقدّس خدا با قومِ او تحتِ تمثیلِ ازدواج به تصویر کشیده شده است. از آنجا که بت‌پرستی، زنای روحانی است، ناخشنودیِ خدا از آن به‌درستی غیرت نامیده می‌شود.” مشایخ و انبیا، ۳۰۵، ۳۰۶.</w:t>
      </w:r>
    </w:p>
    <w:p>
      <w:pPr>
        <w:pStyle w:val="ArticleBody"/>
        <w:jc w:val="left"/>
      </w:pPr>
      <w:r>
        <w:rPr>
          <w:rFonts w:ascii="Times New Roman" w:hAnsi="Times New Roman" w:eastAsia="Times New Roman" w:cs="Times New Roman"/>
        </w:rPr>
        <w:t>La jalousie de Dieu se manifeste particulièrement contre l’idolâtrie, et ce n’est pas un hasard si la première abomination, au chapitre huit d’Ézéchiel, est « une image de jalousie ».</w:t>
      </w:r>
    </w:p>
    <w:p>
      <w:pPr>
        <w:pStyle w:val="ArticleScripture"/>
        <w:jc w:val="left"/>
      </w:pPr>
      <w:r>
        <w:rPr>
          <w:rFonts w:ascii="Times New Roman" w:hAnsi="Times New Roman" w:eastAsia="Times New Roman" w:cs="Times New Roman"/>
        </w:rPr>
        <w:t>Ntango mokonzi ya motoba, sanza ya motoba, na mokolo ya mitano ya sanza, wana nafandaki na ndako na ngai mpe bankulutu ya Yuda bafandaki liboso na ngai, loboko ya Nkolo Nzambe ekweyaki kuna likolo na ngai. Bongo natalaki, mpe tala, lolenge moko lokola komonana ya moto: uta na komonana ya loketo na ye kino na nse, moto; mpe uta na loketo na ye kino na likoló, lokola komonana ya kongenga, lokola langi ya amber. Mpe asembolaki lolenge ya loboko, mpe akangaki ngai na eteni ya suki ya motó na ngai; mpe Molimo atombolaki ngai kati na mabele mpe likoló, mpe amemaki ngai na bimoniseli ya Nzambe na Yerusaleme, na ekuke ya kati oyo etalaka epai ya nordi; epai ezalaki efandelo ya elilingi ya zuwa, oyo epesaka nkanda ya zuwa. Mpe, tala, nkembo ya Nzambe ya Yisraele ezalaki kuna, kolanda emoniseli oyo namonaki na etando. Bongo alobaki na ngai ete, Mwana ya moto, tombola sikawa miso na yo na nzela oyo ezali epai ya nordi. Bongo natombolaki miso na ngai na nzela oyo ezali epai ya nordi, mpe tala, na ngambo ya nordi na ekuke ya etumbelo, elilingi oyo ya zuwa ezalaki na ekotelo. Ezekiele 8:1–5.</w:t>
      </w:r>
    </w:p>
    <w:p>
      <w:pPr>
        <w:pStyle w:val="ArticleBody"/>
        <w:jc w:val="left"/>
      </w:pPr>
      <w:r>
        <w:rPr>
          <w:rFonts w:ascii="Times New Roman" w:hAnsi="Times New Roman" w:eastAsia="Times New Roman" w:cs="Times New Roman"/>
        </w:rPr>
        <w:t>Le jalon de la jalousie est la première de quatre abominations croissantes qu’Ézéchiel voit. Le jalon de la jalousie représente le commencement de la première de quatre générations de rébellion croissante dans l’adventisme. La première génération a commencé en 1863.</w:t>
      </w:r>
    </w:p>
    <w:p>
      <w:pPr>
        <w:pStyle w:val="ArticleBody"/>
        <w:jc w:val="left"/>
      </w:pPr>
      <w:r>
        <w:rPr>
          <w:rFonts w:ascii="Times New Roman" w:hAnsi="Times New Roman" w:eastAsia="Times New Roman" w:cs="Times New Roman"/>
        </w:rPr>
        <w:t>Bisikika disolo di studi oyo na lisolo oyo ekolanda.</w:t>
      </w:r>
    </w:p>
    <w:p>
      <w:pPr>
        <w:pStyle w:val="ArticleScripture"/>
        <w:jc w:val="left"/>
      </w:pPr>
      <w:r>
        <w:rPr>
          <w:rFonts w:ascii="Times New Roman" w:hAnsi="Times New Roman" w:eastAsia="Times New Roman" w:cs="Times New Roman"/>
        </w:rPr>
        <w:t>“Chaque ancien prophète a parlé moins pour son propre temps que pour le nôtre, de sorte que leurs prophéties sont en vigueur pour nous. ‘Or toutes ces choses leur arrivaient pour servir d’exemples; et elles ont été écrites pour notre instruction, à nous qui sommes parvenus à la fin des siècles.’ 1 Corinthiens 10:11. ‘Ce n’est pas pour eux-mêmes, mais pour nous, qu’ils étaient ministres de ces choses, lesquelles vous ont maintenant été annoncées par ceux qui vous ont prêché l’Évangile par le Saint-Esprit envoyé du ciel, choses dans lesquelles les anges désirent plonger leurs regards.’ 1 Pierre 1:12....”</w:t>
      </w:r>
    </w:p>
    <w:p>
      <w:pPr>
        <w:pStyle w:val="ArticleScripture"/>
        <w:jc w:val="left"/>
      </w:pPr>
      <w:r>
        <w:rPr>
          <w:rFonts w:ascii="Times New Roman" w:hAnsi="Times New Roman" w:eastAsia="Times New Roman" w:cs="Times New Roman"/>
        </w:rPr>
        <w:t>«Աստվածաշունչը իր գանձերը հավաքել և միահյուսել է այս վերջին սերնդի համար։ Հին Կտակարանի պատմության բոլոր մեծ իրադարձություններն ու հանդիսավոր գործողությունները եղել են և այժմ էլ կրկնվում են եկեղեցու մեջ այս վերջին օրերում»։ Selected Messages, գիրք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soixante-neuf</dc:title>
  <dc:subject>Kufunua Mzunguko wa Kizazi hadi Kizazi: Machukizo Manne ya Uadventista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