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Nomoro pitumpu</w:t>
      </w:r>
    </w:p>
    <w:p>
      <w:pPr>
        <w:pStyle w:val="ArticleSubtitle"/>
        <w:jc w:val="left"/>
      </w:pPr>
      <w:r>
        <w:rPr>
          <w:rFonts w:ascii="Arial" w:hAnsi="Arial" w:eastAsia="Arial" w:cs="Arial"/>
        </w:rPr>
        <w:t>Дар ҷараёни сафари аҳд: аз лавҳаҳои бостонӣ то масъулиятҳои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Microsoft YaHei" w:hAnsi="Microsoft YaHei" w:eastAsia="Microsoft YaHei" w:cs="Microsoft YaHei"/>
        </w:rPr>
        <w:t>当耶和华与古代以色列立约之时</w:t>
      </w:r>
      <w:r>
        <w:rPr>
          <w:rFonts w:ascii="Times New Roman" w:hAnsi="Times New Roman" w:eastAsia="Times New Roman" w:cs="Times New Roman"/>
        </w:rPr>
        <w:t>,</w:t>
      </w:r>
      <w:r>
        <w:rPr>
          <w:rFonts w:ascii="Microsoft YaHei" w:hAnsi="Microsoft YaHei" w:eastAsia="Microsoft YaHei" w:cs="Microsoft YaHei"/>
        </w:rPr>
        <w:t>祂赐下两块法版</w:t>
      </w:r>
      <w:r>
        <w:rPr>
          <w:rFonts w:ascii="Times New Roman" w:hAnsi="Times New Roman" w:eastAsia="Times New Roman" w:cs="Times New Roman"/>
        </w:rPr>
        <w:t>,</w:t>
      </w:r>
      <w:r>
        <w:rPr>
          <w:rFonts w:ascii="Microsoft YaHei" w:hAnsi="Microsoft YaHei" w:eastAsia="Microsoft YaHei" w:cs="Microsoft YaHei"/>
        </w:rPr>
        <w:t>作为这约之关系的根基与象征</w:t>
      </w:r>
      <w:r>
        <w:rPr>
          <w:rFonts w:ascii="Times New Roman" w:hAnsi="Times New Roman" w:eastAsia="Times New Roman" w:cs="Times New Roman"/>
        </w:rPr>
        <w:t>.</w:t>
      </w:r>
      <w:r>
        <w:rPr>
          <w:rFonts w:ascii="Microsoft YaHei" w:hAnsi="Microsoft YaHei" w:eastAsia="Microsoft YaHei" w:cs="Microsoft YaHei"/>
        </w:rPr>
        <w:t>这两块法版也表明了古代以色列的责任</w:t>
      </w:r>
      <w:r>
        <w:rPr>
          <w:rFonts w:ascii="Times New Roman" w:hAnsi="Times New Roman" w:eastAsia="Times New Roman" w:cs="Times New Roman"/>
        </w:rPr>
        <w:t>,</w:t>
      </w:r>
      <w:r>
        <w:rPr>
          <w:rFonts w:ascii="Microsoft YaHei" w:hAnsi="Microsoft YaHei" w:eastAsia="Microsoft YaHei" w:cs="Microsoft YaHei"/>
        </w:rPr>
        <w:t>即向世界彰显这两块法版活的见证</w:t>
      </w:r>
      <w:r>
        <w:rPr>
          <w:rFonts w:ascii="Times New Roman" w:hAnsi="Times New Roman" w:eastAsia="Times New Roman" w:cs="Times New Roman"/>
        </w:rPr>
        <w:t>.</w:t>
      </w:r>
      <w:r>
        <w:rPr>
          <w:rFonts w:ascii="Microsoft YaHei" w:hAnsi="Microsoft YaHei" w:eastAsia="Microsoft YaHei" w:cs="Microsoft YaHei"/>
        </w:rPr>
        <w:t>当耶和华与现代以色列立约之时</w:t>
      </w:r>
      <w:r>
        <w:rPr>
          <w:rFonts w:ascii="Times New Roman" w:hAnsi="Times New Roman" w:eastAsia="Times New Roman" w:cs="Times New Roman"/>
        </w:rPr>
        <w:t>,</w:t>
      </w:r>
      <w:r>
        <w:rPr>
          <w:rFonts w:ascii="Microsoft YaHei" w:hAnsi="Microsoft YaHei" w:eastAsia="Microsoft YaHei" w:cs="Microsoft YaHei"/>
        </w:rPr>
        <w:t>祂也赐下两块法版</w:t>
      </w:r>
      <w:r>
        <w:rPr>
          <w:rFonts w:ascii="Times New Roman" w:hAnsi="Times New Roman" w:eastAsia="Times New Roman" w:cs="Times New Roman"/>
        </w:rPr>
        <w:t>,</w:t>
      </w:r>
      <w:r>
        <w:rPr>
          <w:rFonts w:ascii="Microsoft YaHei" w:hAnsi="Microsoft YaHei" w:eastAsia="Microsoft YaHei" w:cs="Microsoft YaHei"/>
        </w:rPr>
        <w:t>作为这约之关系的根基与象征</w:t>
      </w:r>
      <w:r>
        <w:rPr>
          <w:rFonts w:ascii="Times New Roman" w:hAnsi="Times New Roman" w:eastAsia="Times New Roman" w:cs="Times New Roman"/>
        </w:rPr>
        <w:t>.</w:t>
      </w:r>
      <w:r>
        <w:rPr>
          <w:rFonts w:ascii="Microsoft YaHei" w:hAnsi="Microsoft YaHei" w:eastAsia="Microsoft YaHei" w:cs="Microsoft YaHei"/>
        </w:rPr>
        <w:t>这两块法版同样表明了他们的责任</w:t>
      </w:r>
      <w:r>
        <w:rPr>
          <w:rFonts w:ascii="Times New Roman" w:hAnsi="Times New Roman" w:eastAsia="Times New Roman" w:cs="Times New Roman"/>
        </w:rPr>
        <w:t>,</w:t>
      </w:r>
      <w:r>
        <w:rPr>
          <w:rFonts w:ascii="Microsoft YaHei" w:hAnsi="Microsoft YaHei" w:eastAsia="Microsoft YaHei" w:cs="Microsoft YaHei"/>
        </w:rPr>
        <w:t>即向世界彰显全部四块法版活的见证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Meja mbili hizo zilitolewa kwa Israeli ya kale halisi mara tu baada ya Mungu kuwaokoa kutoka katika utumwa halisi wa kifungo cha Misri, na kuwapitisha katika kukatishwa tamaa kwa kuvuka Bahari ya Shamu. Kipindi cha muda ambacho Israeli ya kale halisi ilikuwa katika kifungo kilikuwa kimetajwa kwa uwazi mahsusi katika unabii kuwa miaka mia nne na thelathini, na walipokuwa katika kifungo, Israeli ya kale halisi waliisahau Sabato ya siku ya saba, wakaacha kuishika.</w:t>
      </w:r>
    </w:p>
    <w:p>
      <w:pPr>
        <w:pStyle w:val="ArticleBody"/>
        <w:jc w:val="left"/>
      </w:pPr>
      <w:r>
        <w:rPr>
          <w:rFonts w:ascii="Times New Roman" w:hAnsi="Times New Roman" w:eastAsia="Times New Roman" w:cs="Times New Roman"/>
        </w:rPr>
        <w:t>Les deux tables furent données à l’Israël spirituel moderne juste après que Dieu les eut délivrés de l’esclavage spirituel de la servitude catholique, et les eut fait passer à travers la grande déception de 1844. La période pendant laquelle l’Israël spirituel moderne fut en servitude avait été spécifiquement identifiée dans la prophétie comme étant de mille deux cent soixante ans, et, durant cette servitude, l’Israël spirituel moderne oublia le sabbat du septième jour et cessa de l’observer.</w:t>
      </w:r>
    </w:p>
    <w:p>
      <w:pPr>
        <w:pStyle w:val="ArticleBody"/>
        <w:jc w:val="left"/>
      </w:pPr>
      <w:r>
        <w:rPr>
          <w:rFonts w:ascii="Times New Roman" w:hAnsi="Times New Roman" w:eastAsia="Times New Roman" w:cs="Times New Roman"/>
        </w:rPr>
        <w:t>Bisan sa mismong kasaysayan sa dihang gihatag sa Dios ngadto kang Moises ang duha ka papan aron dad-on ngadto sa karaang Israel, ang iyang igsoon nga si Aaron naghimo og bulawanong larawan sa usa ka nating baka. Ang duha ka papan sa Napulo ka mga Sugo nagpaila nga ang Dios usa ka mapangabughuong Dios, ug ang Iyang pangabugho ilabina makita batok sa pagsimba sa mga diosdios, ug sa dihang mikunsad si Moises gikan sa bukid, ang karaang Israel nagsayaw nga hubo libot sa usa ka bulawanong larawan nga gihimo sa usa nga gipili ingon nga tigpamaba sa Dios.</w:t>
      </w:r>
    </w:p>
    <w:p>
      <w:pPr>
        <w:pStyle w:val="ArticleScripture"/>
        <w:jc w:val="left"/>
      </w:pPr>
      <w:r>
        <w:rPr>
          <w:rFonts w:ascii="Times New Roman" w:hAnsi="Times New Roman" w:eastAsia="Times New Roman" w:cs="Times New Roman"/>
        </w:rPr>
        <w:t>Et Moïse rapporta à Aaron toutes les paroles de l’Éternel qui l’avait envoyé, ainsi que tous les signes qu’il lui avait ordonné d’accomplir. Puis Moïse et Aaron allèrent assembler tous les anciens des enfants d’Israël. Et Aaron dit toutes les paroles que l’Éternel avait adressées à Moïse, et il accomplit les signes aux yeux du peuple. Exode 4:28–30.</w:t>
      </w:r>
    </w:p>
    <w:p>
      <w:pPr>
        <w:pStyle w:val="ArticleBody"/>
        <w:jc w:val="left"/>
      </w:pPr>
      <w:r>
        <w:rPr>
          <w:rFonts w:ascii="Times New Roman" w:hAnsi="Times New Roman" w:eastAsia="Times New Roman" w:cs="Times New Roman"/>
        </w:rPr>
        <w:t>Ndugu wa nabii aliyeiongoza Israeli ya kale katika historia ya agano wakati vile vibao viwili vya agano vilipotolewa alikuwa ndiye kiongozi katika uasi wa sanamu ya wivu. Mume wa nabii mwanamke aliyeiongoza Israeli ya kisasa katika historia ya agano wakati vile vibao viwili vya agano vilipotolewa alikuwa ndiye kiongozi katika uasi wa mwaka 1863, na mwaka 1863 unaashiria kizazi cha kwanza cha Uadventista kuwa kimewakilishwa kama sanamu ya wivu iliyowekwa penye kuingilia pa lango la madhabahu.</w:t>
      </w:r>
    </w:p>
    <w:p>
      <w:pPr>
        <w:pStyle w:val="ArticleScripture"/>
        <w:jc w:val="left"/>
      </w:pPr>
      <w:r>
        <w:rPr>
          <w:rFonts w:ascii="Times New Roman" w:hAnsi="Times New Roman" w:eastAsia="Times New Roman" w:cs="Times New Roman"/>
        </w:rPr>
        <w:t>Je, asiye kuniambia, Mwana wa mtu, inua macho yako sasa kuelekea upande wa kaskazini. Basi nikainua macho yangu kuelekea upande wa kaskazini, na tazama, upande wa kaskazini, penye lango la madhabahu, palikuwa na sanamu hii ya wivu penye kuingilia. Ezekieli 8:5.</w:t>
      </w:r>
    </w:p>
    <w:p>
      <w:pPr>
        <w:pStyle w:val="ArticleBody"/>
        <w:jc w:val="left"/>
      </w:pPr>
      <w:r>
        <w:rPr>
          <w:rFonts w:ascii="Times New Roman" w:hAnsi="Times New Roman" w:eastAsia="Times New Roman" w:cs="Times New Roman"/>
        </w:rPr>
        <w:t>L’« autel » est un symbole de Christ.</w:t>
      </w:r>
    </w:p>
    <w:p>
      <w:pPr>
        <w:pStyle w:val="ArticleScripture"/>
        <w:jc w:val="left"/>
      </w:pPr>
      <w:r>
        <w:rPr>
          <w:rFonts w:ascii="Times New Roman" w:hAnsi="Times New Roman" w:eastAsia="Times New Roman" w:cs="Times New Roman"/>
        </w:rPr>
        <w:t>« Nous sommes en danger de mêler le sacré et le profane. Le feu sacré venant de Dieu doit être employé dans nos efforts. Le véritable autel, c’est le Christ; le véritable feu, c’est le Saint-Esprit. C’est là notre inspiration. Ce n’est que lorsque le Saint-Esprit conduit et dirige un homme qu’il est un conseiller sûr. Si nous nous détournons de Dieu et de ceux qu’Il a choisis pour interroger des autels étrangers, il nous sera répondu selon nos œuvres. » Selected Messages, book 3, 300.</w:t>
      </w:r>
    </w:p>
    <w:p>
      <w:pPr>
        <w:pStyle w:val="ArticleBody"/>
        <w:jc w:val="left"/>
      </w:pPr>
      <w:r>
        <w:rPr>
          <w:rFonts w:ascii="Times New Roman" w:hAnsi="Times New Roman" w:eastAsia="Times New Roman" w:cs="Times New Roman"/>
        </w:rPr>
        <w:t>La « porte » est l’Église.</w:t>
      </w:r>
    </w:p>
    <w:p>
      <w:pPr>
        <w:pStyle w:val="ArticleScripture"/>
        <w:jc w:val="left"/>
      </w:pPr>
      <w:r>
        <w:rPr>
          <w:rFonts w:ascii="Times New Roman" w:hAnsi="Times New Roman" w:eastAsia="Times New Roman" w:cs="Times New Roman"/>
        </w:rPr>
        <w:t>« Pour l’âme humble et croyante, la maison de Dieu sur la terre est la porte du ciel. Le cantique de louange, la prière, les paroles prononcées par les représentants du Christ sont les moyens institués par Dieu pour préparer un peuple à l’Église d’en haut, à ce culte plus élevé dans lequel rien de souillé ne peut entrer. » Témoignages, volume 5, p. 491.</w:t>
      </w:r>
    </w:p>
    <w:p>
      <w:pPr>
        <w:pStyle w:val="ArticleBody"/>
        <w:jc w:val="left"/>
      </w:pPr>
      <w:r>
        <w:rPr>
          <w:rFonts w:ascii="Times New Roman" w:hAnsi="Times New Roman" w:eastAsia="Times New Roman" w:cs="Times New Roman"/>
        </w:rPr>
        <w:t>Ym 1863, daeth Adventistiaeth Laodicea yn eglwys a gofrestrwyd yn gyfreithiol ac a beidiodd â bod yn fudiad. Bryd hynny y “daethant i mewn” i hanes yr eglwys. Ym 1863, aeth eglwys Crist i mewn i gysylltiad cyfreithiol â llywodraeth yr Unol Daleithiau. Yn y flwyddyn honno hefyd cyflwynasant siart ffug i gymryd lle dwy dabl sanctaidd Habacuc. Cyn gynted ag y paratowyd yr ail dabl, o safbwynt hanes proffwydol yr oedd y rhai a raglunid gan Aaron yn paratoi delw ffug.</w:t>
      </w:r>
    </w:p>
    <w:p>
      <w:pPr>
        <w:pStyle w:val="ArticleBody"/>
        <w:jc w:val="left"/>
      </w:pPr>
      <w:r>
        <w:rPr>
          <w:rFonts w:ascii="Times New Roman" w:hAnsi="Times New Roman" w:eastAsia="Times New Roman" w:cs="Times New Roman"/>
        </w:rPr>
        <w:t>Amri ya pili ndiyo onyo la wazi zaidi dhidi ya ibada ya sanamu na kuabudu vinyago. Hapo pia ndipo Mungu anapojitambulisha tabia Yake kuwa ni Mungu mwenye wivu. Ni hapo pia ambapo huweka wazi kanuni kwamba huweka hukumu juu ya waovu hata kufikia kizazi cha tatu na cha nne. Amri Kumi ni nakala ya tabia ya Kristo.</w:t>
      </w:r>
    </w:p>
    <w:p>
      <w:pPr>
        <w:pStyle w:val="ArticleScripture"/>
        <w:jc w:val="left"/>
      </w:pPr>
      <w:r>
        <w:rPr>
          <w:rFonts w:ascii="Times New Roman" w:hAnsi="Times New Roman" w:eastAsia="Times New Roman" w:cs="Times New Roman"/>
        </w:rPr>
        <w:t>“Siitä, että Kristus hylättiin, sekä niistä seurauksista, jotka siitä aiheutuivat, he olivat vastuussa. Kansakunnan synti ja kansakunnan perikato johtuivat uskonnollisista johtajista.”</w:t>
      </w:r>
    </w:p>
    <w:p>
      <w:pPr>
        <w:pStyle w:val="ArticleScripture"/>
        <w:jc w:val="left"/>
      </w:pPr>
      <w:r>
        <w:rPr>
          <w:rFonts w:ascii="Times New Roman" w:hAnsi="Times New Roman" w:eastAsia="Times New Roman" w:cs="Times New Roman"/>
        </w:rPr>
        <w:t>„În zilele noastre nu sunt oare la lucru aceleași influențe? Dintre vierii viei Domnului nu urmează oare mulți pe urmele conducătorilor iudei? Nu-i abat oare învățătorii religioși pe oameni de la cerințele limpezi ale Cuvântului lui Dumnezeu? În loc să-i educe în ascultare de Legea lui Dumnezeu, nu-i educă oare în călcare de lege? De la multe dintre amvoanele bisericilor, oamenii sunt învățați că Legea lui Dumnezeu nu este obligatorie pentru ei. Tradițiile, rânduielile și obiceiurile omenești sunt înălțate. Mândria și mulțumirea de sine datorate darurilor lui Dumnezeu sunt cultivate, în timp ce drepturile lui Dumnezeu sunt nesocotite.”</w:t>
      </w:r>
    </w:p>
    <w:p>
      <w:pPr>
        <w:pStyle w:val="ArticleScripture"/>
        <w:jc w:val="left"/>
      </w:pPr>
      <w:r>
        <w:rPr>
          <w:rFonts w:ascii="Times New Roman" w:hAnsi="Times New Roman" w:eastAsia="Times New Roman" w:cs="Times New Roman"/>
        </w:rPr>
        <w:t>„Илиспветин Напарчим Иҟагьын Ақәаб, ауаа ирдыруам иарбану аҟарарҵо. Иҟагьын Ақәаб — Уи Ахьыҧшра анотариатуп. Уаҟа Иаҳра апринципқәа рҽалархәуп. Арҭ апринципқәа рыдкылара мап зку, Анцәа иразҟықәа ахьҿырԥхо амҩанҵа анҭыҵ дҭиуеит.“ Christ’s Object Lessons, 305.</w:t>
      </w:r>
    </w:p>
    <w:p>
      <w:pPr>
        <w:pStyle w:val="ArticleBody"/>
        <w:jc w:val="left"/>
      </w:pPr>
      <w:r>
        <w:rPr>
          <w:rFonts w:ascii="Times New Roman" w:hAnsi="Times New Roman" w:eastAsia="Times New Roman" w:cs="Times New Roman"/>
        </w:rPr>
        <w:t>Taivaan vallan armo ja vapauden lahja katsottiin liian usein velaksi, joka on maksettava inhimillisin voimin, uskonnollisin suorituksin ja pyhyyden ulkonaisilla merkeillä. Kristuksen luonne on kuitenkin Hänen kuvansa, ja siihen kuuluu myös se, että Hän on kiivas Jumala. Jumalan kiivaus tuli Kristuksessa ilmi, kun Hän kahdesti puhdisti temppelin. Ensimmäisessä temppelin puhdistuksessa ne opetuslapset, jotka näkivät tämän teon, johdatettiin muistamaan, että Kirjoitukset viittasivat Jumalan kiivauteen.</w:t>
      </w:r>
    </w:p>
    <w:p>
      <w:pPr>
        <w:pStyle w:val="ArticleScripture"/>
        <w:jc w:val="left"/>
      </w:pPr>
      <w:r>
        <w:rPr>
          <w:rFonts w:ascii="Times New Roman" w:hAnsi="Times New Roman" w:eastAsia="Times New Roman" w:cs="Times New Roman"/>
        </w:rPr>
        <w:t>Na Pasaka ya Wayahudi ilikuwa imekaribia, naye Yesu akapanda kwenda Yerusalemu, akawakuta hekaluni wale waliokuwa wakiuza ng’ombe na kondoo na hua, na wabadilishaji fedha wameketi; naye alipokwisha kufanya mjeledi wa kamba ndogo, akawafukuza wote kutoka hekaluni, na kondoo, na ng’ombe; akamwaga fedha za wale wabadilishaji, na kuzipindua meza; akawaambia wale waliokuwa wakiuza hua, Ondoeni vitu hivi hapa; msiifanye nyumba ya Baba yangu kuwa nyumba ya biashara. Nao wanafunzi wake wakakumbuka ya kuwa imeandikwa, Wivu wa nyumba yako umenila. Yohana 2:13–17.</w:t>
      </w:r>
    </w:p>
    <w:p>
      <w:pPr>
        <w:pStyle w:val="ArticleBody"/>
        <w:jc w:val="left"/>
      </w:pPr>
      <w:r>
        <w:rPr>
          <w:rFonts w:ascii="Times New Roman" w:hAnsi="Times New Roman" w:eastAsia="Times New Roman" w:cs="Times New Roman"/>
        </w:rPr>
        <w:t>Dans les Écritures, tant en hébreu qu’en grec, le mot « zélé » est aussi le mot « jaloux ». C’est le même mot. Lorsque le Christ purifia le temple, Il manifestait la jalousie de Dieu, qui est un attribut du caractère de Dieu identifié dans le second commandement, et qui se manifeste tout particulièrement contre l’idolâtrie. Lorsque Moïse descendit de la montagne avec les deux tables et comprit ce qu’Aaron avait fait et ce que le peuple faisait, il brisa les deux tables. Les deux tables étaient la véritable image de la jalousie, car elles étaient des représentations physiques qui désignaient Dieu comme un Dieu jaloux. Lorsque Moïse brisa les deux tables, il manifestait la jalousie même qui est identifiée dans le second commandement.</w:t>
      </w:r>
    </w:p>
    <w:p>
      <w:pPr>
        <w:pStyle w:val="ArticleScripture"/>
        <w:jc w:val="left"/>
      </w:pPr>
      <w:r>
        <w:rPr>
          <w:rFonts w:ascii="Times New Roman" w:hAnsi="Times New Roman" w:eastAsia="Times New Roman" w:cs="Times New Roman"/>
        </w:rPr>
        <w:t>Atëherë Moisiu u kthye dhe zbriti nga mali, dhe dy pllakat e dëshmisë ishin në dorën e tij; pllakat ishin të shkruara në të dy anët e tyre; në njërën anë dhe në tjetrën ishin të shkruara. Dhe pllakat ishin vepër e Perëndisë, dhe shkrimi ishte shkrimi i Perëndisë, i gdhendur mbi pllakat. Dhe kur Jozueu dëgjoi zhurmën e popullit ndërsa bërtiste, i tha Moisiut: Ka zhurmë lufte në kamp. Dhe ai tha: Nuk është zëri i atyre që bërtasin për fitore, as nuk është zëri i atyre që klithin ngaqë janë mundur; por zhurmën e atyre që këndojnë po dëgjoj. Dhe ndodhi që, sapo iu afrua kampit, ai pa viçin dhe vallet; dhe zemërimi i Moisiut u ndez, dhe ai i hodhi pllakat nga duart e tij dhe i theu ato poshtë malit. Eksodi 32:15–19.</w:t>
      </w:r>
    </w:p>
    <w:p>
      <w:pPr>
        <w:pStyle w:val="ArticleBody"/>
        <w:jc w:val="left"/>
      </w:pPr>
      <w:r>
        <w:rPr>
          <w:rFonts w:ascii="Nirmala UI" w:hAnsi="Nirmala UI" w:eastAsia="Nirmala UI" w:cs="Nirmala UI"/>
        </w:rPr>
        <w:t>अल</w:t>
      </w:r>
      <w:r>
        <w:rPr>
          <w:rFonts w:ascii="Times New Roman" w:hAnsi="Times New Roman" w:eastAsia="Times New Roman" w:cs="Times New Roman"/>
        </w:rPr>
        <w:t>-</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तख़्तियाँ</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गठित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तख़्तियाँ</w:t>
      </w:r>
      <w:r>
        <w:rPr>
          <w:rFonts w:ascii="Times New Roman" w:hAnsi="Times New Roman" w:eastAsia="Times New Roman" w:cs="Times New Roman"/>
        </w:rPr>
        <w:t xml:space="preserve"> </w:t>
      </w:r>
      <w:r>
        <w:rPr>
          <w:rFonts w:ascii="Nirmala UI" w:hAnsi="Nirmala UI" w:eastAsia="Nirmala UI" w:cs="Nirmala UI"/>
        </w:rPr>
        <w:t>ग़ैरत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ग़ैरत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उत्सव</w:t>
      </w:r>
      <w:r>
        <w:rPr>
          <w:rFonts w:ascii="Times New Roman" w:hAnsi="Times New Roman" w:eastAsia="Times New Roman" w:cs="Times New Roman"/>
        </w:rPr>
        <w:t xml:space="preserve"> </w:t>
      </w:r>
      <w:r>
        <w:rPr>
          <w:rFonts w:ascii="Nirmala UI" w:hAnsi="Nirmala UI" w:eastAsia="Nirmala UI" w:cs="Nirmala UI"/>
        </w:rPr>
        <w:t>मनानेवाले</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बदहाल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खस्ता</w:t>
      </w:r>
      <w:r>
        <w:rPr>
          <w:rFonts w:ascii="Times New Roman" w:hAnsi="Times New Roman" w:eastAsia="Times New Roman" w:cs="Times New Roman"/>
        </w:rPr>
        <w:t>-</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कंगाल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Et lorsque Moïse vit que le peuple était nu — car Aaron l’avait laissé devenir nu, à sa honte parmi ses ennemis —. Exode 32:25.</w:t>
      </w:r>
    </w:p>
    <w:p>
      <w:pPr>
        <w:pStyle w:val="ArticleBody"/>
        <w:jc w:val="left"/>
      </w:pPr>
      <w:r>
        <w:rPr>
          <w:rFonts w:ascii="Times New Roman" w:hAnsi="Times New Roman" w:eastAsia="Times New Roman" w:cs="Times New Roman"/>
        </w:rPr>
        <w:t>In 1856, seven years before the counterfeit chart was produced, both James and Ellen White identified that the movement had transitioned into the Laodicean condition. In 1863, Adventism was spiritually just as “naked” as ancient Israel was literally “naked” when they danced around the counterfeit image of jealousy. The counterfeit that Aaron had made was an idol fashioned of gold, yet it was the image of a calf, which is a beast. It was an image of the beast, and also an image to the beast. The golden calf was an image of the beast, but it had also been dedicated to the gods whom Aaron unrighteously declared had delivered Israel from Egyptian bondage.</w:t>
      </w:r>
    </w:p>
    <w:p>
      <w:pPr>
        <w:pStyle w:val="ArticleScripture"/>
        <w:jc w:val="left"/>
      </w:pP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गढ़कर</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बनाई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होमबलि</w:t>
      </w:r>
      <w:r>
        <w:rPr>
          <w:rFonts w:ascii="Times New Roman" w:hAnsi="Times New Roman" w:eastAsia="Times New Roman" w:cs="Times New Roman"/>
        </w:rPr>
        <w:t xml:space="preserve"> </w:t>
      </w:r>
      <w:r>
        <w:rPr>
          <w:rFonts w:ascii="Nirmala UI" w:hAnsi="Nirmala UI" w:eastAsia="Nirmala UI" w:cs="Nirmala UI"/>
        </w:rPr>
        <w:t>चढ़ाई</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मेलबलि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क्रीड़ा</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निर्गमन</w:t>
      </w:r>
      <w:r>
        <w:rPr>
          <w:rFonts w:ascii="Times New Roman" w:hAnsi="Times New Roman" w:eastAsia="Times New Roman" w:cs="Times New Roman"/>
        </w:rPr>
        <w:t xml:space="preserve"> 32:4–6.</w:t>
      </w:r>
    </w:p>
    <w:p>
      <w:pPr>
        <w:pStyle w:val="ArticleBody"/>
        <w:jc w:val="left"/>
      </w:pPr>
      <w:r>
        <w:rPr>
          <w:rFonts w:ascii="Times New Roman" w:hAnsi="Times New Roman" w:eastAsia="Times New Roman" w:cs="Times New Roman"/>
        </w:rPr>
        <w:t>Un veau d’or était une image de la bête, mais il était consacré à de faux dieux; ainsi, il était aussi une image (offrande) à la bête. L’image était faite d’or, qui est le symbole de Babylone, et c’était un veau, qui est la forme la plus élevée d’offrande dans le service du sanctuaire. Il était consacré aux dieux de l’Égypte. Babylone la Grande, mystique (car tous les témoignages prophétiques identifient la fin du monde), consiste en une femme montée sur une bête. La bête que monte la femme est l’Organisation des Nations Unies (dix rois), et elle est un symbole du dragon, de l’athéisme et de l’Égypte. La femme elle-même est une contrefaçon de la véritable Église de Dieu. Le veau d’or qu’Aaron consacra aux dieux de l’Égypte préfigurait la grande prostituée d’Apocalypse dix-sept, qui est Babylone (or), montée sur une bête (Égypte) et une Église contrefaite (veau).</w:t>
      </w:r>
    </w:p>
    <w:p>
      <w:pPr>
        <w:pStyle w:val="ArticleBody"/>
        <w:jc w:val="left"/>
      </w:pPr>
      <w:r>
        <w:rPr>
          <w:rFonts w:ascii="Times New Roman" w:hAnsi="Times New Roman" w:eastAsia="Times New Roman" w:cs="Times New Roman"/>
        </w:rPr>
        <w:t>Kwakanye, Aroni yubatse urutambiro, nk’uko bimaze gusobanurwa, rugereranya Kristo, urutambiro nyakuri. Hanyuma ashyiraho uburyo bw’impimbano bwo kuramya, kuko yatangaje umunsi mukuru w’Uwiteka ku munsi wakurikiyeho. Inyana ya zahabu ya Aroni yari ishusho “y’” kandi “ihabwa” inyamaswa, kandi yashyizweho “imbere ya” Kristo w’impimbano, kandi hatandukanijwe umunsi wo kwizihiza iyo gahunda ye y’ibinyoma yo kuramya.</w:t>
      </w:r>
    </w:p>
    <w:p>
      <w:pPr>
        <w:pStyle w:val="ArticleBody"/>
        <w:jc w:val="left"/>
      </w:pPr>
      <w:r>
        <w:rPr>
          <w:rFonts w:ascii="Times New Roman" w:hAnsi="Times New Roman" w:eastAsia="Times New Roman" w:cs="Times New Roman"/>
        </w:rPr>
        <w:t>United States ni nguvu inayosimamisha sanamu kwa yule mnyama, kisha huilazimisha dunia kuifuata mfano wake. United States ina uwezo wa kuilazimisha dunia mfumo huo wa ibada, nayo hufanya hivyo mbele ya yule mnyama, “mbele” yake.</w:t>
      </w:r>
    </w:p>
    <w:p>
      <w:pPr>
        <w:pStyle w:val="ArticleScripture"/>
        <w:jc w:val="left"/>
      </w:pPr>
      <w:r>
        <w:rPr>
          <w:rFonts w:ascii="Microsoft YaHei" w:hAnsi="Microsoft YaHei" w:eastAsia="Microsoft YaHei" w:cs="Microsoft YaHei"/>
        </w:rPr>
        <w:t>我又看见另有一个兽从地中上来</w:t>
      </w:r>
      <w:r>
        <w:rPr>
          <w:rFonts w:ascii="Times New Roman" w:hAnsi="Times New Roman" w:eastAsia="Times New Roman" w:cs="Times New Roman"/>
        </w:rPr>
        <w:t>;</w:t>
      </w:r>
      <w:r>
        <w:rPr>
          <w:rFonts w:ascii="Microsoft YaHei" w:hAnsi="Microsoft YaHei" w:eastAsia="Microsoft YaHei" w:cs="Microsoft YaHei"/>
        </w:rPr>
        <w:t>它有两角如同羊羔</w:t>
      </w:r>
      <w:r>
        <w:rPr>
          <w:rFonts w:ascii="Times New Roman" w:hAnsi="Times New Roman" w:eastAsia="Times New Roman" w:cs="Times New Roman"/>
        </w:rPr>
        <w:t>,</w:t>
      </w:r>
      <w:r>
        <w:rPr>
          <w:rFonts w:ascii="Microsoft YaHei" w:hAnsi="Microsoft YaHei" w:eastAsia="Microsoft YaHei" w:cs="Microsoft YaHei"/>
        </w:rPr>
        <w:t>说话好像龙</w:t>
      </w:r>
      <w:r>
        <w:rPr>
          <w:rFonts w:ascii="Times New Roman" w:hAnsi="Times New Roman" w:eastAsia="Times New Roman" w:cs="Times New Roman"/>
        </w:rPr>
        <w:t>.</w:t>
      </w:r>
      <w:r>
        <w:rPr>
          <w:rFonts w:ascii="Microsoft YaHei" w:hAnsi="Microsoft YaHei" w:eastAsia="Microsoft YaHei" w:cs="Microsoft YaHei"/>
        </w:rPr>
        <w:t>它在头一个兽面前</w:t>
      </w:r>
      <w:r>
        <w:rPr>
          <w:rFonts w:ascii="Times New Roman" w:hAnsi="Times New Roman" w:eastAsia="Times New Roman" w:cs="Times New Roman"/>
        </w:rPr>
        <w:t>,</w:t>
      </w:r>
      <w:r>
        <w:rPr>
          <w:rFonts w:ascii="Microsoft YaHei" w:hAnsi="Microsoft YaHei" w:eastAsia="Microsoft YaHei" w:cs="Microsoft YaHei"/>
        </w:rPr>
        <w:t>施行头一个兽所有的权柄</w:t>
      </w:r>
      <w:r>
        <w:rPr>
          <w:rFonts w:ascii="Times New Roman" w:hAnsi="Times New Roman" w:eastAsia="Times New Roman" w:cs="Times New Roman"/>
        </w:rPr>
        <w:t>,</w:t>
      </w:r>
      <w:r>
        <w:rPr>
          <w:rFonts w:ascii="Microsoft YaHei" w:hAnsi="Microsoft YaHei" w:eastAsia="Microsoft YaHei" w:cs="Microsoft YaHei"/>
        </w:rPr>
        <w:t>并且叫地和住在地上的人敬拜那受过致命伤而医好的头一个兽</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13:11, 12.</w:t>
      </w:r>
    </w:p>
    <w:p>
      <w:pPr>
        <w:pStyle w:val="ArticleBody"/>
        <w:jc w:val="left"/>
      </w:pPr>
      <w:r>
        <w:rPr>
          <w:rFonts w:ascii="Times New Roman" w:hAnsi="Times New Roman" w:eastAsia="Times New Roman" w:cs="Times New Roman"/>
        </w:rPr>
        <w:t>Omuntu ow’ekibi, ye bwa paapa, kye kisolo eky’omu nnyanja eky’omu Okubikkulirwa essuula ey’ekkumi n’essatu. Amerika bw’eryogera ng’oggwanga, mu mateeka g’Olwokutaano agali kumpi okujja, olwo n’etanula okuwaliriza ensi okuteekawo ekifaananyi eri ekisolo “mu maaso” gaakyo. Ekisolo ekiri mu maaso ga Amerika (ekisolo eky’ensi), bwe bwa paapa (ekisolo eky’omu nnyanja). Bwa paapa Kristo ow’obulimba, era Alooni yali amaze okuteekawo ekifaananyi kye ekya zzaabu mu maaso ga Kristo ow’obulimba, kubanga Kristo ye kyoto eky’amazima. Awo Alooni n’assaawo enkola ey’obulimba ey’okusinza, nga bwe kiragibwa mu kulangirira olunaku olw’embaga olwali lugenda okubeerawo ku lunaku olwaddirira. Amerika nayo ewaliriza enkola ey’obulimba ey’okusinza, era nayo ekwatagana n’olunaku olw’obulimba olw’okusinza.</w:t>
      </w:r>
    </w:p>
    <w:p>
      <w:pPr>
        <w:pStyle w:val="ArticleBody"/>
        <w:jc w:val="left"/>
      </w:pPr>
      <w:r>
        <w:rPr>
          <w:rFonts w:ascii="Times New Roman" w:hAnsi="Times New Roman" w:eastAsia="Times New Roman" w:cs="Times New Roman"/>
        </w:rPr>
        <w:t>Kui Mooses mäelt alla tuli, käis võitlus tõelise ja vale armukadeduse kuju vahel — Kristuse kuju või Saatana kuju vahel. Võltsing koosnes võlts-Kristusest (altar), võltskogemusest (Laodikeia) ja võltspäevast jumalateenistuseks („homme on Issanda püha”). Kuldvasika mäss kujutab peatselt saabuvat pühapäevaseaduse mässu, kuid see kujutab ka laodikeialiku adventismi mässu aastal 1863.</w:t>
      </w:r>
    </w:p>
    <w:p>
      <w:pPr>
        <w:pStyle w:val="ArticleBody"/>
        <w:jc w:val="left"/>
      </w:pPr>
      <w:r>
        <w:rPr>
          <w:rFonts w:ascii="Times New Roman" w:hAnsi="Times New Roman" w:eastAsia="Times New Roman" w:cs="Times New Roman"/>
        </w:rPr>
        <w:t>Wɔ afe 1863 mu no, wɔde ɔpon a wɔyɛɛ no atoro bae sɛ wɔde bɛkata nneɛma a ɛsom bo a ɛwɔ Miller dae no so, sɛnea na wɔda no adi wɔ Habakkuk apon abien no so no. Na saa apon abien no wɔde ayɛɛ ho mfonini dada wɔ apon abien a Mose nyaa no wɔ bepɔw no so no mu. Wɔ afe 1863 mu no, wɔyɛɛ mmara kwan so nkabom bi ne United States aban no, na eyi maa Millerfo kuw no baa awiei, na wɔde Laodikea kuw no kyerɛw mmara kwan so sɛ Seventh-day Adventist asafo no. Na saa abusuabɔ no gyinaa hɔ ama Aaron honi a ɛwɔ aboa no ho no, a nkɔmhyɛ mu no wɔkyerɛ ase sɛ Asafo ne Ɔman nkabom; enti na ɛyɛ Millerfo no a wɔde Asafo-ne-Ɔman abusuabɔ sii hɔ wɔ 1863 mu no ho mfonini, na saa ara nso na ɛyɛ United States wɔ Homeda mmara a ɛrebɛba ntɛm no ho mfonini.</w:t>
      </w:r>
    </w:p>
    <w:p>
      <w:pPr>
        <w:pStyle w:val="ArticleBody"/>
        <w:jc w:val="left"/>
      </w:pPr>
      <w:r>
        <w:rPr>
          <w:rFonts w:ascii="Times New Roman" w:hAnsi="Times New Roman" w:eastAsia="Times New Roman" w:cs="Times New Roman"/>
        </w:rPr>
        <w:t>ئەرۆننىڭ يالىڭاچ ئۇسسۇلغا چۈشكەن ئەخمەقلىرى، لائودىكىيەنىڭ ساختا تەجرىبىسىگە ۋاكالەت قىلىپ، 1856-يىلغا كەلگەندە مىللېرىت ھەرىكىتى ئايلىنىپ قالغان ھالەتكە تولۇق ئوخشايدۇ. ئەيىنى ۋاقىتتا، ئەرۆننىڭ ئۇسسۇلغا چۈشكەن ئەخمەقلىرى بىلەن ئىپادىلەنگەن روھىي تەجرىبە، بۇتپەرەسلىككە قارشى خۇدانىڭ خاراكتېرىدىكى غەيرەتنى نامايان قىلىۋاتقان مۇسانىڭ تەجرىبىسى بىلەن قارشى قويۇلغان. پەيغەمبەرلىكتە «ئۇسسۇل» ئالدامچىلىقنىڭ سىمۋولىدۇر، ۋە ئەرۆننىڭ ئۇسسۇلغا چۈشكەن ئەخمەقلىرى يەنە، تايرنىڭ پاھىشىسى ئۆز ناخشىلىرىنى ئېيتىۋاتقاندا، ئامېرىكا قوشما شتاتلىرىنىڭ دۇنيانى نىبوخادنەسەرنىڭ ساز-چالغۇسىغا «ئۇسسۇلغا» مەجبۇرلىشى ئارقىلىق مەيدانغا كېلىدىغان ئالدامچىلىقنىمۇ ئىپادىلەيدۇ.</w:t>
      </w:r>
    </w:p>
    <w:p>
      <w:pPr>
        <w:pStyle w:val="ArticleBody"/>
        <w:jc w:val="left"/>
      </w:pPr>
      <w:r>
        <w:rPr>
          <w:rFonts w:ascii="Times New Roman" w:hAnsi="Times New Roman" w:eastAsia="Times New Roman" w:cs="Times New Roman"/>
        </w:rPr>
        <w:t>Yesu ha 1863, mottetoo Laodikiyaa Millerite gujji seeraan galmaa’eetti gara waldaa Adventistii guyyaa torbaffaa Laodikiyaa ce’e. Akkuma barruulee duraanii keessatti ibsameetti, bara 1863 keessatti Eriikoo deebifamee ijaarame; Eriikoon badhaadhummaa Laodikiyaa kan agarsiisu ta’ee, magaalaa Yerusaalem fakkeessitee sobaa ta’ees tajaajila. Bara 1863 keessatti, seensifamuun taateewwan raajii sobaa tokko seenaa Aaron, jabbii warqee fi gowwoota sirban sana irra deebi’amee mul’ise. Seenaa bilisaan ba’uu Galaana Diimaa obboleettii White yeroo hedduu seenaa Adventizimii jalqabaa ibsuuf itti fayyadamtetti; hojii irra oolmaan kunis walitti bu’iinsa fakkii hinaaffaa irratti seenaa Musee fi Aaron wajjin guutummaatti walsima.</w:t>
      </w:r>
    </w:p>
    <w:p>
      <w:pPr>
        <w:pStyle w:val="ArticleBody"/>
        <w:jc w:val="left"/>
      </w:pPr>
      <w:r>
        <w:rPr>
          <w:rFonts w:ascii="Times New Roman" w:hAnsi="Times New Roman" w:eastAsia="Times New Roman" w:cs="Times New Roman"/>
        </w:rPr>
        <w:t>El año 1863, la primera generación del adventismo laodicense comenzó cuando una imagen de celos fue colocada en la puerta (iglesia), que estaba delante del altar (Cristo). Esa primera generación entonces “entró” en una historia creciente de abominaciones.</w:t>
      </w:r>
    </w:p>
    <w:p>
      <w:pPr>
        <w:pStyle w:val="ArticleScripture"/>
        <w:jc w:val="left"/>
      </w:pPr>
      <w:r>
        <w:rPr>
          <w:rFonts w:ascii="Times New Roman" w:hAnsi="Times New Roman" w:eastAsia="Times New Roman" w:cs="Times New Roman"/>
        </w:rPr>
        <w:t>At siya’y nagsabi sa akin, Anak ng tao, itaas mo ngayon ang iyong mga mata sa dakong hilagaan. Kaya itinaas ko ang aking mga mata sa dakong hilagaan, at narito, sa dakong hilaga sa may pintuang-daan ng dambana, ang larawang ito ng paninibugho sa pasukan. Ezekiel 8:5.</w:t>
      </w:r>
    </w:p>
    <w:p>
      <w:pPr>
        <w:pStyle w:val="ArticleBody"/>
        <w:jc w:val="left"/>
      </w:pPr>
      <w:r>
        <w:rPr>
          <w:rFonts w:ascii="Times New Roman" w:hAnsi="Times New Roman" w:eastAsia="Times New Roman" w:cs="Times New Roman"/>
        </w:rPr>
        <w:t>Darasa hizi tutaendelea nazo katika makala inayofuata.</w:t>
      </w:r>
    </w:p>
    <w:p>
      <w:pPr>
        <w:pStyle w:val="ArticleScripture"/>
        <w:jc w:val="left"/>
      </w:pPr>
      <w:r>
        <w:rPr>
          <w:rFonts w:ascii="Times New Roman" w:hAnsi="Times New Roman" w:eastAsia="Times New Roman" w:cs="Times New Roman"/>
        </w:rPr>
        <w:t>« Quelle est notre condition en ce temps redoutable et solennel ? Hélas, quel orgueil prévaut dans l’Église, quelle hypocrisie, quelle tromperie, quel amour du vêtement, de la frivolité et des amusements, quel désir de suprématie ! Tous ces péchés ont obscurci l’esprit, de sorte que les réalités éternelles n’ont pas été discernées. Ne sonderons-nous pas les Écritures, afin de savoir où nous en sommes dans l’histoire de ce monde ? Ne deviendrons-nous pas intelligents à l’égard de l’œuvre qui s’accomplit pour nous en ce temps, et de la position que nous, pécheurs, devrions occuper pendant que cette œuvre d’expiation se poursuit ? Si nous avons quelque souci du salut de nos âmes, nous devons opérer un changement décisif. Nous devons chercher le Seigneur avec une véritable repentance ; nous devons, dans une profonde contrition d’âme, confesser nos péchés, afin qu’ils soient effacés. »</w:t>
      </w:r>
    </w:p>
    <w:p>
      <w:pPr>
        <w:pStyle w:val="ArticleScripture"/>
        <w:jc w:val="left"/>
      </w:pPr>
      <w:r>
        <w:rPr>
          <w:rFonts w:ascii="Times New Roman" w:hAnsi="Times New Roman" w:eastAsia="Times New Roman" w:cs="Times New Roman"/>
        </w:rPr>
        <w:t>“</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मोहित</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होंठों</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धर्मियों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让教会兴起</w:t>
      </w:r>
      <w:r>
        <w:rPr>
          <w:rFonts w:ascii="Times New Roman" w:hAnsi="Times New Roman" w:eastAsia="Times New Roman" w:cs="Times New Roman"/>
        </w:rPr>
        <w:t>,</w:t>
      </w:r>
      <w:r>
        <w:rPr>
          <w:rFonts w:ascii="Microsoft YaHei" w:hAnsi="Microsoft YaHei" w:eastAsia="Microsoft YaHei" w:cs="Microsoft YaHei"/>
        </w:rPr>
        <w:t>并在上帝面前为她的倒退悔改</w:t>
      </w:r>
      <w:r>
        <w:rPr>
          <w:rFonts w:ascii="Times New Roman" w:hAnsi="Times New Roman" w:eastAsia="Times New Roman" w:cs="Times New Roman"/>
        </w:rPr>
        <w:t>.</w:t>
      </w:r>
      <w:r>
        <w:rPr>
          <w:rFonts w:ascii="Microsoft YaHei" w:hAnsi="Microsoft YaHei" w:eastAsia="Microsoft YaHei" w:cs="Microsoft YaHei"/>
        </w:rPr>
        <w:t>让守望的人警醒</w:t>
      </w:r>
      <w:r>
        <w:rPr>
          <w:rFonts w:ascii="Times New Roman" w:hAnsi="Times New Roman" w:eastAsia="Times New Roman" w:cs="Times New Roman"/>
        </w:rPr>
        <w:t>,</w:t>
      </w:r>
      <w:r>
        <w:rPr>
          <w:rFonts w:ascii="Microsoft YaHei" w:hAnsi="Microsoft YaHei" w:eastAsia="Microsoft YaHei" w:cs="Microsoft YaHei"/>
        </w:rPr>
        <w:t>吹出明确的号声</w:t>
      </w:r>
      <w:r>
        <w:rPr>
          <w:rFonts w:ascii="Times New Roman" w:hAnsi="Times New Roman" w:eastAsia="Times New Roman" w:cs="Times New Roman"/>
        </w:rPr>
        <w:t>.</w:t>
      </w:r>
      <w:r>
        <w:rPr>
          <w:rFonts w:ascii="Microsoft YaHei" w:hAnsi="Microsoft YaHei" w:eastAsia="Microsoft YaHei" w:cs="Microsoft YaHei"/>
        </w:rPr>
        <w:t>我们所必须宣告的</w:t>
      </w:r>
      <w:r>
        <w:rPr>
          <w:rFonts w:ascii="Times New Roman" w:hAnsi="Times New Roman" w:eastAsia="Times New Roman" w:cs="Times New Roman"/>
        </w:rPr>
        <w:t>,</w:t>
      </w:r>
      <w:r>
        <w:rPr>
          <w:rFonts w:ascii="Microsoft YaHei" w:hAnsi="Microsoft YaHei" w:eastAsia="Microsoft YaHei" w:cs="Microsoft YaHei"/>
        </w:rPr>
        <w:t>乃是一个确定的警告</w:t>
      </w:r>
      <w:r>
        <w:rPr>
          <w:rFonts w:ascii="Times New Roman" w:hAnsi="Times New Roman" w:eastAsia="Times New Roman" w:cs="Times New Roman"/>
        </w:rPr>
        <w:t>.</w:t>
      </w:r>
      <w:r>
        <w:rPr>
          <w:rFonts w:ascii="Microsoft YaHei" w:hAnsi="Microsoft YaHei" w:eastAsia="Microsoft YaHei" w:cs="Microsoft YaHei"/>
        </w:rPr>
        <w:t>上帝吩咐祂的仆人说：</w:t>
      </w:r>
      <w:r>
        <w:rPr>
          <w:rFonts w:ascii="Times New Roman" w:hAnsi="Times New Roman" w:eastAsia="Times New Roman" w:cs="Times New Roman"/>
        </w:rPr>
        <w:t>‘</w:t>
      </w:r>
      <w:r>
        <w:rPr>
          <w:rFonts w:ascii="Microsoft YaHei" w:hAnsi="Microsoft YaHei" w:eastAsia="Microsoft YaHei" w:cs="Microsoft YaHei"/>
        </w:rPr>
        <w:t>你要大声喊叫</w:t>
      </w:r>
      <w:r>
        <w:rPr>
          <w:rFonts w:ascii="Times New Roman" w:hAnsi="Times New Roman" w:eastAsia="Times New Roman" w:cs="Times New Roman"/>
        </w:rPr>
        <w:t>,</w:t>
      </w:r>
      <w:r>
        <w:rPr>
          <w:rFonts w:ascii="Microsoft YaHei" w:hAnsi="Microsoft YaHei" w:eastAsia="Microsoft YaHei" w:cs="Microsoft YaHei"/>
        </w:rPr>
        <w:t>不可止息</w:t>
      </w:r>
      <w:r>
        <w:rPr>
          <w:rFonts w:ascii="Times New Roman" w:hAnsi="Times New Roman" w:eastAsia="Times New Roman" w:cs="Times New Roman"/>
        </w:rPr>
        <w:t>;</w:t>
      </w:r>
      <w:r>
        <w:rPr>
          <w:rFonts w:ascii="Microsoft YaHei" w:hAnsi="Microsoft YaHei" w:eastAsia="Microsoft YaHei" w:cs="Microsoft YaHei"/>
        </w:rPr>
        <w:t>扬起声来</w:t>
      </w:r>
      <w:r>
        <w:rPr>
          <w:rFonts w:ascii="Times New Roman" w:hAnsi="Times New Roman" w:eastAsia="Times New Roman" w:cs="Times New Roman"/>
        </w:rPr>
        <w:t>,</w:t>
      </w:r>
      <w:r>
        <w:rPr>
          <w:rFonts w:ascii="Microsoft YaHei" w:hAnsi="Microsoft YaHei" w:eastAsia="Microsoft YaHei" w:cs="Microsoft YaHei"/>
        </w:rPr>
        <w:t>好像吹角</w:t>
      </w:r>
      <w:r>
        <w:rPr>
          <w:rFonts w:ascii="Times New Roman" w:hAnsi="Times New Roman" w:eastAsia="Times New Roman" w:cs="Times New Roman"/>
        </w:rPr>
        <w:t>,</w:t>
      </w:r>
      <w:r>
        <w:rPr>
          <w:rFonts w:ascii="Microsoft YaHei" w:hAnsi="Microsoft YaHei" w:eastAsia="Microsoft YaHei" w:cs="Microsoft YaHei"/>
        </w:rPr>
        <w:t>向我百姓说明他们的过犯</w:t>
      </w:r>
      <w:r>
        <w:rPr>
          <w:rFonts w:ascii="Times New Roman" w:hAnsi="Times New Roman" w:eastAsia="Times New Roman" w:cs="Times New Roman"/>
        </w:rPr>
        <w:t>,</w:t>
      </w:r>
      <w:r>
        <w:rPr>
          <w:rFonts w:ascii="Microsoft YaHei" w:hAnsi="Microsoft YaHei" w:eastAsia="Microsoft YaHei" w:cs="Microsoft YaHei"/>
        </w:rPr>
        <w:t>向雅各家说明他们的罪恶</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 xml:space="preserve"> 58:1</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必须引起百姓的注意</w:t>
      </w:r>
      <w:r>
        <w:rPr>
          <w:rFonts w:ascii="Times New Roman" w:hAnsi="Times New Roman" w:eastAsia="Times New Roman" w:cs="Times New Roman"/>
        </w:rPr>
        <w:t>;</w:t>
      </w:r>
      <w:r>
        <w:rPr>
          <w:rFonts w:ascii="Microsoft YaHei" w:hAnsi="Microsoft YaHei" w:eastAsia="Microsoft YaHei" w:cs="Microsoft YaHei"/>
        </w:rPr>
        <w:t>若不能做到这一点</w:t>
      </w:r>
      <w:r>
        <w:rPr>
          <w:rFonts w:ascii="Times New Roman" w:hAnsi="Times New Roman" w:eastAsia="Times New Roman" w:cs="Times New Roman"/>
        </w:rPr>
        <w:t>,</w:t>
      </w:r>
      <w:r>
        <w:rPr>
          <w:rFonts w:ascii="Microsoft YaHei" w:hAnsi="Microsoft YaHei" w:eastAsia="Microsoft YaHei" w:cs="Microsoft YaHei"/>
        </w:rPr>
        <w:t>一切努力都是徒然</w:t>
      </w:r>
      <w:r>
        <w:rPr>
          <w:rFonts w:ascii="Times New Roman" w:hAnsi="Times New Roman" w:eastAsia="Times New Roman" w:cs="Times New Roman"/>
        </w:rPr>
        <w:t>;</w:t>
      </w:r>
      <w:r>
        <w:rPr>
          <w:rFonts w:ascii="Microsoft YaHei" w:hAnsi="Microsoft YaHei" w:eastAsia="Microsoft YaHei" w:cs="Microsoft YaHei"/>
        </w:rPr>
        <w:t>即使有一位天使从天降下对他们说话</w:t>
      </w:r>
      <w:r>
        <w:rPr>
          <w:rFonts w:ascii="Times New Roman" w:hAnsi="Times New Roman" w:eastAsia="Times New Roman" w:cs="Times New Roman"/>
        </w:rPr>
        <w:t>,</w:t>
      </w:r>
      <w:r>
        <w:rPr>
          <w:rFonts w:ascii="Microsoft YaHei" w:hAnsi="Microsoft YaHei" w:eastAsia="Microsoft YaHei" w:cs="Microsoft YaHei"/>
        </w:rPr>
        <w:t>他的话也不会比对着死亡冰冷的耳朵讲话更有益处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일어나</w:t>
      </w:r>
      <w:r>
        <w:rPr>
          <w:rFonts w:ascii="Times New Roman" w:hAnsi="Times New Roman" w:eastAsia="Times New Roman" w:cs="Times New Roman"/>
        </w:rPr>
        <w:t xml:space="preserve"> </w:t>
      </w:r>
      <w:r>
        <w:rPr>
          <w:rFonts w:ascii="Malgun Gothic" w:hAnsi="Malgun Gothic" w:eastAsia="Malgun Gothic" w:cs="Malgun Gothic"/>
        </w:rPr>
        <w:t>행동해야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영께서는</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길을</w:t>
      </w:r>
      <w:r>
        <w:rPr>
          <w:rFonts w:ascii="Times New Roman" w:hAnsi="Times New Roman" w:eastAsia="Times New Roman" w:cs="Times New Roman"/>
        </w:rPr>
        <w:t xml:space="preserve"> </w:t>
      </w:r>
      <w:r>
        <w:rPr>
          <w:rFonts w:ascii="Malgun Gothic" w:hAnsi="Malgun Gothic" w:eastAsia="Malgun Gothic" w:cs="Malgun Gothic"/>
        </w:rPr>
        <w:t>예비하기까지</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임하실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진지한</w:t>
      </w:r>
      <w:r>
        <w:rPr>
          <w:rFonts w:ascii="Times New Roman" w:hAnsi="Times New Roman" w:eastAsia="Times New Roman" w:cs="Times New Roman"/>
        </w:rPr>
        <w:t xml:space="preserve"> </w:t>
      </w:r>
      <w:r>
        <w:rPr>
          <w:rFonts w:ascii="Malgun Gothic" w:hAnsi="Malgun Gothic" w:eastAsia="Malgun Gothic" w:cs="Malgun Gothic"/>
        </w:rPr>
        <w:t>마음의</w:t>
      </w:r>
      <w:r>
        <w:rPr>
          <w:rFonts w:ascii="Times New Roman" w:hAnsi="Times New Roman" w:eastAsia="Times New Roman" w:cs="Times New Roman"/>
        </w:rPr>
        <w:t xml:space="preserve"> </w:t>
      </w:r>
      <w:r>
        <w:rPr>
          <w:rFonts w:ascii="Malgun Gothic" w:hAnsi="Malgun Gothic" w:eastAsia="Malgun Gothic" w:cs="Malgun Gothic"/>
        </w:rPr>
        <w:t>살핌이</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연합되고</w:t>
      </w:r>
      <w:r>
        <w:rPr>
          <w:rFonts w:ascii="Times New Roman" w:hAnsi="Times New Roman" w:eastAsia="Times New Roman" w:cs="Times New Roman"/>
        </w:rPr>
        <w:t xml:space="preserve"> </w:t>
      </w:r>
      <w:r>
        <w:rPr>
          <w:rFonts w:ascii="Malgun Gothic" w:hAnsi="Malgun Gothic" w:eastAsia="Malgun Gothic" w:cs="Malgun Gothic"/>
        </w:rPr>
        <w:t>끈기</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기도가</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믿음으로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약속을</w:t>
      </w:r>
      <w:r>
        <w:rPr>
          <w:rFonts w:ascii="Times New Roman" w:hAnsi="Times New Roman" w:eastAsia="Times New Roman" w:cs="Times New Roman"/>
        </w:rPr>
        <w:t xml:space="preserve"> </w:t>
      </w:r>
      <w:r>
        <w:rPr>
          <w:rFonts w:ascii="Malgun Gothic" w:hAnsi="Malgun Gothic" w:eastAsia="Malgun Gothic" w:cs="Malgun Gothic"/>
        </w:rPr>
        <w:t>붙들어야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시대처럼</w:t>
      </w:r>
      <w:r>
        <w:rPr>
          <w:rFonts w:ascii="Times New Roman" w:hAnsi="Times New Roman" w:eastAsia="Times New Roman" w:cs="Times New Roman"/>
        </w:rPr>
        <w:t xml:space="preserve"> </w:t>
      </w:r>
      <w:r>
        <w:rPr>
          <w:rFonts w:ascii="Malgun Gothic" w:hAnsi="Malgun Gothic" w:eastAsia="Malgun Gothic" w:cs="Malgun Gothic"/>
        </w:rPr>
        <w:t>몸에</w:t>
      </w:r>
      <w:r>
        <w:rPr>
          <w:rFonts w:ascii="Times New Roman" w:hAnsi="Times New Roman" w:eastAsia="Times New Roman" w:cs="Times New Roman"/>
        </w:rPr>
        <w:t xml:space="preserve"> </w:t>
      </w:r>
      <w:r>
        <w:rPr>
          <w:rFonts w:ascii="Malgun Gothic" w:hAnsi="Malgun Gothic" w:eastAsia="Malgun Gothic" w:cs="Malgun Gothic"/>
        </w:rPr>
        <w:t>굵은</w:t>
      </w:r>
      <w:r>
        <w:rPr>
          <w:rFonts w:ascii="Times New Roman" w:hAnsi="Times New Roman" w:eastAsia="Times New Roman" w:cs="Times New Roman"/>
        </w:rPr>
        <w:t xml:space="preserve"> </w:t>
      </w:r>
      <w:r>
        <w:rPr>
          <w:rFonts w:ascii="Malgun Gothic" w:hAnsi="Malgun Gothic" w:eastAsia="Malgun Gothic" w:cs="Malgun Gothic"/>
        </w:rPr>
        <w:t>베옷을</w:t>
      </w:r>
      <w:r>
        <w:rPr>
          <w:rFonts w:ascii="Times New Roman" w:hAnsi="Times New Roman" w:eastAsia="Times New Roman" w:cs="Times New Roman"/>
        </w:rPr>
        <w:t xml:space="preserve"> </w:t>
      </w:r>
      <w:r>
        <w:rPr>
          <w:rFonts w:ascii="Malgun Gothic" w:hAnsi="Malgun Gothic" w:eastAsia="Malgun Gothic" w:cs="Malgun Gothic"/>
        </w:rPr>
        <w:t>입는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영혼의</w:t>
      </w:r>
      <w:r>
        <w:rPr>
          <w:rFonts w:ascii="Times New Roman" w:hAnsi="Times New Roman" w:eastAsia="Times New Roman" w:cs="Times New Roman"/>
        </w:rPr>
        <w:t xml:space="preserve"> </w:t>
      </w:r>
      <w:r>
        <w:rPr>
          <w:rFonts w:ascii="Malgun Gothic" w:hAnsi="Malgun Gothic" w:eastAsia="Malgun Gothic" w:cs="Malgun Gothic"/>
        </w:rPr>
        <w:t>깊은</w:t>
      </w:r>
      <w:r>
        <w:rPr>
          <w:rFonts w:ascii="Times New Roman" w:hAnsi="Times New Roman" w:eastAsia="Times New Roman" w:cs="Times New Roman"/>
        </w:rPr>
        <w:t xml:space="preserve"> </w:t>
      </w:r>
      <w:r>
        <w:rPr>
          <w:rFonts w:ascii="Malgun Gothic" w:hAnsi="Malgun Gothic" w:eastAsia="Malgun Gothic" w:cs="Malgun Gothic"/>
        </w:rPr>
        <w:t>겸비가</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우리에게는</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축하와</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높임을</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하등의</w:t>
      </w:r>
      <w:r>
        <w:rPr>
          <w:rFonts w:ascii="Times New Roman" w:hAnsi="Times New Roman" w:eastAsia="Times New Roman" w:cs="Times New Roman"/>
        </w:rPr>
        <w:t xml:space="preserve"> </w:t>
      </w:r>
      <w:r>
        <w:rPr>
          <w:rFonts w:ascii="Malgun Gothic" w:hAnsi="Malgun Gothic" w:eastAsia="Malgun Gothic" w:cs="Malgun Gothic"/>
        </w:rPr>
        <w:t>이유도</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능하신</w:t>
      </w:r>
      <w:r>
        <w:rPr>
          <w:rFonts w:ascii="Times New Roman" w:hAnsi="Times New Roman" w:eastAsia="Times New Roman" w:cs="Times New Roman"/>
        </w:rPr>
        <w:t xml:space="preserve"> </w:t>
      </w:r>
      <w:r>
        <w:rPr>
          <w:rFonts w:ascii="Malgun Gothic" w:hAnsi="Malgun Gothic" w:eastAsia="Malgun Gothic" w:cs="Malgun Gothic"/>
        </w:rPr>
        <w:t>손</w:t>
      </w:r>
      <w:r>
        <w:rPr>
          <w:rFonts w:ascii="Times New Roman" w:hAnsi="Times New Roman" w:eastAsia="Times New Roman" w:cs="Times New Roman"/>
        </w:rPr>
        <w:t xml:space="preserve"> </w:t>
      </w:r>
      <w:r>
        <w:rPr>
          <w:rFonts w:ascii="Malgun Gothic" w:hAnsi="Malgun Gothic" w:eastAsia="Malgun Gothic" w:cs="Malgun Gothic"/>
        </w:rPr>
        <w:t>아래에서</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낮추어야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그리하면</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구도자들을</w:t>
      </w:r>
      <w:r>
        <w:rPr>
          <w:rFonts w:ascii="Times New Roman" w:hAnsi="Times New Roman" w:eastAsia="Times New Roman" w:cs="Times New Roman"/>
        </w:rPr>
        <w:t xml:space="preserve"> </w:t>
      </w:r>
      <w:r>
        <w:rPr>
          <w:rFonts w:ascii="Malgun Gothic" w:hAnsi="Malgun Gothic" w:eastAsia="Malgun Gothic" w:cs="Malgun Gothic"/>
        </w:rPr>
        <w:t>위로하시고</w:t>
      </w:r>
      <w:r>
        <w:rPr>
          <w:rFonts w:ascii="Times New Roman" w:hAnsi="Times New Roman" w:eastAsia="Times New Roman" w:cs="Times New Roman"/>
        </w:rPr>
        <w:t xml:space="preserve"> </w:t>
      </w:r>
      <w:r>
        <w:rPr>
          <w:rFonts w:ascii="Malgun Gothic" w:hAnsi="Malgun Gothic" w:eastAsia="Malgun Gothic" w:cs="Malgun Gothic"/>
        </w:rPr>
        <w:t>복</w:t>
      </w:r>
      <w:r>
        <w:rPr>
          <w:rFonts w:ascii="Times New Roman" w:hAnsi="Times New Roman" w:eastAsia="Times New Roman" w:cs="Times New Roman"/>
        </w:rPr>
        <w:t xml:space="preserve"> </w:t>
      </w:r>
      <w:r>
        <w:rPr>
          <w:rFonts w:ascii="Malgun Gothic" w:hAnsi="Malgun Gothic" w:eastAsia="Malgun Gothic" w:cs="Malgun Gothic"/>
        </w:rPr>
        <w:t>주시기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xml:space="preserve"> </w:t>
      </w:r>
      <w:r>
        <w:rPr>
          <w:rFonts w:ascii="Malgun Gothic" w:hAnsi="Malgun Gothic" w:eastAsia="Malgun Gothic" w:cs="Malgun Gothic"/>
        </w:rPr>
        <w:t>나타나실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Nomoro pitumpu</dc:title>
  <dc:subject>Дар ҷараёни сафари аҳд: аз лавҳаҳои бостонӣ то масъулиятҳои муосир</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