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soixante-douze</w:t>
      </w:r>
    </w:p>
    <w:p>
      <w:pPr>
        <w:pStyle w:val="ArticleSubtitle"/>
        <w:jc w:val="left"/>
      </w:pPr>
      <w:r>
        <w:rPr>
          <w:rFonts w:ascii="Arial" w:hAnsi="Arial" w:eastAsia="Arial" w:cs="Arial"/>
        </w:rPr>
        <w:t>L’union prophétique : de la division de l’ancien Israël à la fin des États-Unis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2024-02-05</w:t>
      </w:r>
    </w:p>
    <w:p>
      <w:pPr>
        <w:pStyle w:val="ArticleBody"/>
        <w:jc w:val="left"/>
      </w:pPr>
      <w:r>
        <w:rPr>
          <w:rFonts w:ascii="Times New Roman" w:hAnsi="Times New Roman" w:eastAsia="Times New Roman" w:cs="Times New Roman"/>
        </w:rPr>
        <w:t>Icyemezo cy’ubwigomeke bwa Yerobowamu ni na cyo mateka yo kugabanyuka kwa Isirayeli ya kera mo amahanga abiri. Ubwami bwo mu majyaruguru, bugizwe n’imiryango icumi, bwitwaga Isirayeli, cyangwa rimwe na rimwe Efurayimu; naho ubwami bwo mu majyepfo bwitwaga Yuda. Mu gihe cya Ezekiyeli, ubwo bwami bwari bumaze imyaka myinshi bwarabaye ubwami bubiri, kandi mu gice cya mirongo itatu na karindwi, Ezekiyeli yahawe ubuhanuzi bugaragaza ko ubwo bwami bubiri bwari kuzongera kuba ishyanga rimwe. Ubwo buhanuzi bwasohoye mu mateka ya mbere y’inyamaswa iva mu isi (Leta Zunze Ubumwe za Amerika), kandi busohora ku ncuro ya nyuma ku iherezo rya Leta Zunze Ubumwe za Amerika, kuko Yesu buri gihe yerekana iherezo ry’ikintu akoresheje intangiriro yacyo.</w:t>
      </w:r>
    </w:p>
    <w:p>
      <w:pPr>
        <w:pStyle w:val="ArticleBody"/>
        <w:jc w:val="left"/>
      </w:pPr>
      <w:r>
        <w:rPr>
          <w:rFonts w:ascii="Times New Roman" w:hAnsi="Times New Roman" w:eastAsia="Times New Roman" w:cs="Times New Roman"/>
        </w:rPr>
        <w:t>Iṣẹ̀tẹ̀ Jeroboamu ní àkókò tí a pín Ísírẹ́lì sí ìjọba méjì, dúró fún ìṣẹ̀tẹ̀ kan ní ìbẹ̀rẹ̀ Orílẹ̀-èdè Amẹ́ríkà, bẹ́ẹ̀ sì tún dúró fún un ní òpin Orílẹ̀-èdè Amẹ́ríkà. Ìṣẹ̀tẹ̀ tí ó wà ní ìbẹ̀rẹ̀ àti ní òpin Orílẹ̀-èdè Amẹ́ríkà ní ìdarapọ̀ ìjọba méjì nínú. Ìfihàn orí kejìdínlógún, gẹ́gẹ́ bí a ti ń tọ́ka sí i léraléra láti inú àwọn ìkọ̀wé Sister White nínú àwọn àpilẹ̀kọ wọ̀nyí, dúró fún àwọn ìpè méjì sí àwọn ìjọ. Àwọn orílẹ̀-èdè méjì tí a so pọ̀ ní àkókò wákàtí ìṣòro òfin Ọjọ́ Àìkú, ni ẹgbẹ̀rún kan ó lé mẹ́rìnlélógójì [144,000], àti agbo míràn ti Ọlọ́run tí wọ́n ṣì wà ní Bábílónì.</w:t>
      </w:r>
    </w:p>
    <w:p>
      <w:pPr>
        <w:pStyle w:val="ArticleBody"/>
        <w:jc w:val="left"/>
      </w:pPr>
      <w:r>
        <w:rPr>
          <w:rFonts w:ascii="Times New Roman" w:hAnsi="Times New Roman" w:eastAsia="Times New Roman" w:cs="Times New Roman"/>
        </w:rPr>
        <w:t>The two nations that were joined in the Millerite history were Judah and Ephraim. They were joined when the individual indignations against the two kingdoms respectively ended in 1798 and then in 1844. The word “moreover” in Ezekiel chapter thirty-seven, allows us to be certain of this application. The word “moreover” means to place the message that follows “moreover,” over the message that preceded the word “moreover.”</w:t>
      </w:r>
    </w:p>
    <w:p>
      <w:pPr>
        <w:pStyle w:val="ArticleScripture"/>
        <w:jc w:val="left"/>
      </w:pPr>
      <w:r>
        <w:rPr>
          <w:rFonts w:ascii="Times New Roman" w:hAnsi="Times New Roman" w:eastAsia="Times New Roman" w:cs="Times New Roman"/>
        </w:rPr>
        <w:t>La parole de l’Éternel me fut adressée de nouveau, en ces mots : Et toi, fils de l’homme, prends une pièce de bois, et écris dessus : Pour Juda et pour les enfants d’Israël qui lui sont associés. Puis prends une autre pièce de bois, et écris dessus : Pour Joseph, le bois d’Éphraïm, et pour toute la maison d’Israël qui lui est associée. Rapproche-les l’une de l’autre pour en faire une seule pièce de bois, et elles deviendront une dans ta main. Ézéchiel 37:15–17.</w:t>
      </w:r>
    </w:p>
    <w:p>
      <w:pPr>
        <w:pStyle w:val="ArticleBody"/>
        <w:jc w:val="left"/>
      </w:pPr>
      <w:r>
        <w:rPr>
          <w:rFonts w:ascii="Nirmala UI" w:hAnsi="Nirmala UI" w:eastAsia="Nirmala UI" w:cs="Nirmala UI"/>
        </w:rPr>
        <w:t>ఎజెకియేలు</w:t>
      </w:r>
      <w:r>
        <w:rPr>
          <w:rFonts w:ascii="Times New Roman" w:hAnsi="Times New Roman" w:eastAsia="Times New Roman" w:cs="Times New Roman"/>
        </w:rPr>
        <w:t xml:space="preserve"> “</w:t>
      </w:r>
      <w:r>
        <w:rPr>
          <w:rFonts w:ascii="Nirmala UI" w:hAnsi="Nirmala UI" w:eastAsia="Nirmala UI" w:cs="Nirmala UI"/>
        </w:rPr>
        <w:t>అంతేకాక</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చెప్పినప్పుడు</w:t>
      </w:r>
      <w:r>
        <w:rPr>
          <w:rFonts w:ascii="Times New Roman" w:hAnsi="Times New Roman" w:eastAsia="Times New Roman" w:cs="Times New Roman"/>
        </w:rPr>
        <w:t xml:space="preserve"> </w:t>
      </w:r>
      <w:r>
        <w:rPr>
          <w:rFonts w:ascii="Nirmala UI" w:hAnsi="Nirmala UI" w:eastAsia="Nirmala UI" w:cs="Nirmala UI"/>
        </w:rPr>
        <w:t>పునరావృతం</w:t>
      </w:r>
      <w:r>
        <w:rPr>
          <w:rFonts w:ascii="Times New Roman" w:hAnsi="Times New Roman" w:eastAsia="Times New Roman" w:cs="Times New Roman"/>
        </w:rPr>
        <w:t xml:space="preserve"> </w:t>
      </w:r>
      <w:r>
        <w:rPr>
          <w:rFonts w:ascii="Nirmala UI" w:hAnsi="Nirmala UI" w:eastAsia="Nirmala UI" w:cs="Nirmala UI"/>
        </w:rPr>
        <w:t>చేసి</w:t>
      </w:r>
      <w:r>
        <w:rPr>
          <w:rFonts w:ascii="Times New Roman" w:hAnsi="Times New Roman" w:eastAsia="Times New Roman" w:cs="Times New Roman"/>
        </w:rPr>
        <w:t xml:space="preserve"> </w:t>
      </w:r>
      <w:r>
        <w:rPr>
          <w:rFonts w:ascii="Nirmala UI" w:hAnsi="Nirmala UI" w:eastAsia="Nirmala UI" w:cs="Nirmala UI"/>
        </w:rPr>
        <w:t>విస్తరించు</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సూత్రాన్ని</w:t>
      </w:r>
      <w:r>
        <w:rPr>
          <w:rFonts w:ascii="Times New Roman" w:hAnsi="Times New Roman" w:eastAsia="Times New Roman" w:cs="Times New Roman"/>
        </w:rPr>
        <w:t xml:space="preserve"> </w:t>
      </w:r>
      <w:r>
        <w:rPr>
          <w:rFonts w:ascii="Nirmala UI" w:hAnsi="Nirmala UI" w:eastAsia="Nirmala UI" w:cs="Nirmala UI"/>
        </w:rPr>
        <w:t>ప్రయోగిస్తున్నాడు</w:t>
      </w:r>
      <w:r>
        <w:rPr>
          <w:rFonts w:ascii="Times New Roman" w:hAnsi="Times New Roman" w:eastAsia="Times New Roman" w:cs="Times New Roman"/>
        </w:rPr>
        <w:t xml:space="preserve">. </w:t>
      </w:r>
      <w:r>
        <w:rPr>
          <w:rFonts w:ascii="Nirmala UI" w:hAnsi="Nirmala UI" w:eastAsia="Nirmala UI" w:cs="Nirmala UI"/>
        </w:rPr>
        <w:t>ఎజెకియేలు</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కఠినములను</w:t>
      </w:r>
      <w:r>
        <w:rPr>
          <w:rFonts w:ascii="Times New Roman" w:hAnsi="Times New Roman" w:eastAsia="Times New Roman" w:cs="Times New Roman"/>
        </w:rPr>
        <w:t xml:space="preserve"> </w:t>
      </w:r>
      <w:r>
        <w:rPr>
          <w:rFonts w:ascii="Nirmala UI" w:hAnsi="Nirmala UI" w:eastAsia="Nirmala UI" w:cs="Nirmala UI"/>
        </w:rPr>
        <w:t>తీసుకోవలెను</w:t>
      </w:r>
      <w:r>
        <w:rPr>
          <w:rFonts w:ascii="Times New Roman" w:hAnsi="Times New Roman" w:eastAsia="Times New Roman" w:cs="Times New Roman"/>
        </w:rPr>
        <w:t>—</w:t>
      </w:r>
      <w:r>
        <w:rPr>
          <w:rFonts w:ascii="Nirmala UI" w:hAnsi="Nirmala UI" w:eastAsia="Nirmala UI" w:cs="Nirmala UI"/>
        </w:rPr>
        <w:t>ఒకటి</w:t>
      </w:r>
      <w:r>
        <w:rPr>
          <w:rFonts w:ascii="Times New Roman" w:hAnsi="Times New Roman" w:eastAsia="Times New Roman" w:cs="Times New Roman"/>
        </w:rPr>
        <w:t xml:space="preserve"> </w:t>
      </w:r>
      <w:r>
        <w:rPr>
          <w:rFonts w:ascii="Nirmala UI" w:hAnsi="Nirmala UI" w:eastAsia="Nirmala UI" w:cs="Nirmala UI"/>
        </w:rPr>
        <w:t>యూదాకు</w:t>
      </w:r>
      <w:r>
        <w:rPr>
          <w:rFonts w:ascii="Times New Roman" w:hAnsi="Times New Roman" w:eastAsia="Times New Roman" w:cs="Times New Roman"/>
        </w:rPr>
        <w:t xml:space="preserve">, </w:t>
      </w:r>
      <w:r>
        <w:rPr>
          <w:rFonts w:ascii="Nirmala UI" w:hAnsi="Nirmala UI" w:eastAsia="Nirmala UI" w:cs="Nirmala UI"/>
        </w:rPr>
        <w:t>మరొకటి</w:t>
      </w:r>
      <w:r>
        <w:rPr>
          <w:rFonts w:ascii="Times New Roman" w:hAnsi="Times New Roman" w:eastAsia="Times New Roman" w:cs="Times New Roman"/>
        </w:rPr>
        <w:t xml:space="preserve"> </w:t>
      </w:r>
      <w:r>
        <w:rPr>
          <w:rFonts w:ascii="Nirmala UI" w:hAnsi="Nirmala UI" w:eastAsia="Nirmala UI" w:cs="Nirmala UI"/>
        </w:rPr>
        <w:t>ఎఫ్రాయిముకు</w:t>
      </w:r>
      <w:r>
        <w:rPr>
          <w:rFonts w:ascii="Times New Roman" w:hAnsi="Times New Roman" w:eastAsia="Times New Roman" w:cs="Times New Roman"/>
        </w:rPr>
        <w:t>—</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కఠినములతో</w:t>
      </w:r>
      <w:r>
        <w:rPr>
          <w:rFonts w:ascii="Times New Roman" w:hAnsi="Times New Roman" w:eastAsia="Times New Roman" w:cs="Times New Roman"/>
        </w:rPr>
        <w:t xml:space="preserve"> </w:t>
      </w:r>
      <w:r>
        <w:rPr>
          <w:rFonts w:ascii="Nirmala UI" w:hAnsi="Nirmala UI" w:eastAsia="Nirmala UI" w:cs="Nirmala UI"/>
        </w:rPr>
        <w:t>చూపబడిన</w:t>
      </w:r>
      <w:r>
        <w:rPr>
          <w:rFonts w:ascii="Times New Roman" w:hAnsi="Times New Roman" w:eastAsia="Times New Roman" w:cs="Times New Roman"/>
        </w:rPr>
        <w:t xml:space="preserve"> </w:t>
      </w:r>
      <w:r>
        <w:rPr>
          <w:rFonts w:ascii="Nirmala UI" w:hAnsi="Nirmala UI" w:eastAsia="Nirmala UI" w:cs="Nirmala UI"/>
        </w:rPr>
        <w:t>ప్రవచనాన్ని</w:t>
      </w:r>
      <w:r>
        <w:rPr>
          <w:rFonts w:ascii="Times New Roman" w:hAnsi="Times New Roman" w:eastAsia="Times New Roman" w:cs="Times New Roman"/>
        </w:rPr>
        <w:t xml:space="preserve"> </w:t>
      </w:r>
      <w:r>
        <w:rPr>
          <w:rFonts w:ascii="Nirmala UI" w:hAnsi="Nirmala UI" w:eastAsia="Nirmala UI" w:cs="Nirmala UI"/>
        </w:rPr>
        <w:t>మునుపటి</w:t>
      </w:r>
      <w:r>
        <w:rPr>
          <w:rFonts w:ascii="Times New Roman" w:hAnsi="Times New Roman" w:eastAsia="Times New Roman" w:cs="Times New Roman"/>
        </w:rPr>
        <w:t xml:space="preserve"> </w:t>
      </w:r>
      <w:r>
        <w:rPr>
          <w:rFonts w:ascii="Nirmala UI" w:hAnsi="Nirmala UI" w:eastAsia="Nirmala UI" w:cs="Nirmala UI"/>
        </w:rPr>
        <w:t>ప్రవచనంపై</w:t>
      </w:r>
      <w:r>
        <w:rPr>
          <w:rFonts w:ascii="Times New Roman" w:hAnsi="Times New Roman" w:eastAsia="Times New Roman" w:cs="Times New Roman"/>
        </w:rPr>
        <w:t xml:space="preserve"> </w:t>
      </w:r>
      <w:r>
        <w:rPr>
          <w:rFonts w:ascii="Nirmala UI" w:hAnsi="Nirmala UI" w:eastAsia="Nirmala UI" w:cs="Nirmala UI"/>
        </w:rPr>
        <w:t>ఉంచవలెను</w:t>
      </w:r>
      <w:r>
        <w:rPr>
          <w:rFonts w:ascii="Times New Roman" w:hAnsi="Times New Roman" w:eastAsia="Times New Roman" w:cs="Times New Roman"/>
        </w:rPr>
        <w:t xml:space="preserve">. </w:t>
      </w:r>
      <w:r>
        <w:rPr>
          <w:rFonts w:ascii="Nirmala UI" w:hAnsi="Nirmala UI" w:eastAsia="Nirmala UI" w:cs="Nirmala UI"/>
        </w:rPr>
        <w:t>మునుపటి</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దృష్టాంతము</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వచనంలో</w:t>
      </w:r>
      <w:r>
        <w:rPr>
          <w:rFonts w:ascii="Times New Roman" w:hAnsi="Times New Roman" w:eastAsia="Times New Roman" w:cs="Times New Roman"/>
        </w:rPr>
        <w:t xml:space="preserve"> </w:t>
      </w:r>
      <w:r>
        <w:rPr>
          <w:rFonts w:ascii="Nirmala UI" w:hAnsi="Nirmala UI" w:eastAsia="Nirmala UI" w:cs="Nirmala UI"/>
        </w:rPr>
        <w:t>ప్రారంభమైంది</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ఎజెకియేలు</w:t>
      </w:r>
      <w:r>
        <w:rPr>
          <w:rFonts w:ascii="Times New Roman" w:hAnsi="Times New Roman" w:eastAsia="Times New Roman" w:cs="Times New Roman"/>
        </w:rPr>
        <w:t xml:space="preserve"> </w:t>
      </w:r>
      <w:r>
        <w:rPr>
          <w:rFonts w:ascii="Nirmala UI" w:hAnsi="Nirmala UI" w:eastAsia="Nirmala UI" w:cs="Nirmala UI"/>
        </w:rPr>
        <w:t>చనిపోయిన</w:t>
      </w:r>
      <w:r>
        <w:rPr>
          <w:rFonts w:ascii="Times New Roman" w:hAnsi="Times New Roman" w:eastAsia="Times New Roman" w:cs="Times New Roman"/>
        </w:rPr>
        <w:t xml:space="preserve"> </w:t>
      </w:r>
      <w:r>
        <w:rPr>
          <w:rFonts w:ascii="Nirmala UI" w:hAnsi="Nirmala UI" w:eastAsia="Nirmala UI" w:cs="Nirmala UI"/>
        </w:rPr>
        <w:t>ఎండిన</w:t>
      </w:r>
      <w:r>
        <w:rPr>
          <w:rFonts w:ascii="Times New Roman" w:hAnsi="Times New Roman" w:eastAsia="Times New Roman" w:cs="Times New Roman"/>
        </w:rPr>
        <w:t xml:space="preserve"> </w:t>
      </w:r>
      <w:r>
        <w:rPr>
          <w:rFonts w:ascii="Nirmala UI" w:hAnsi="Nirmala UI" w:eastAsia="Nirmala UI" w:cs="Nirmala UI"/>
        </w:rPr>
        <w:t>ఎముకల</w:t>
      </w:r>
      <w:r>
        <w:rPr>
          <w:rFonts w:ascii="Times New Roman" w:hAnsi="Times New Roman" w:eastAsia="Times New Roman" w:cs="Times New Roman"/>
        </w:rPr>
        <w:t xml:space="preserve"> </w:t>
      </w:r>
      <w:r>
        <w:rPr>
          <w:rFonts w:ascii="Nirmala UI" w:hAnsi="Nirmala UI" w:eastAsia="Nirmala UI" w:cs="Nirmala UI"/>
        </w:rPr>
        <w:t>లోయకు</w:t>
      </w:r>
      <w:r>
        <w:rPr>
          <w:rFonts w:ascii="Times New Roman" w:hAnsi="Times New Roman" w:eastAsia="Times New Roman" w:cs="Times New Roman"/>
        </w:rPr>
        <w:t xml:space="preserve"> </w:t>
      </w:r>
      <w:r>
        <w:rPr>
          <w:rFonts w:ascii="Nirmala UI" w:hAnsi="Nirmala UI" w:eastAsia="Nirmala UI" w:cs="Nirmala UI"/>
        </w:rPr>
        <w:t>తీసికొనిపోబడ్డాడు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 re a Morena a ne a le godimo ga ka, gomme a nkiša ka Moya wa Morena, a mpea gare ga moedi, wo o bego o tletše marapo. A dira gore ke fete kgauswi le wona go a dikologa; gomme, bonang, a be a le a mantši kudu mo moeding o bulegilego; gomme, bonang, a be a omeletše kudu. Gomme a re go nna: Morwa wa motho, na marapo a a ka phela? Ka fetola ka re: O Morena Modimo, ke wena o tsebago. A buša a re go nna: Porofeta godimo ga marapo a, o re go wona: Lena marapo a omilego, kwang lentšu la Morena. Morena Modimo o bolela bjalo le marapo a: Bonang, ke tla dira gore moya o tsene go lena, gomme le tla phela. Ke tla bea mešifa godimo ga lena, ka godiša nama godimo ga lena, ka le khupetša ka letlalo, ka bea moya go lena, gomme le tla phela; gomme le tla tseba gore ke nna Morena. Ka gona ka porofeta bjalo ka ge ke laetšwe; gomme ge ke sa porofeta, gwa ba le modumo, gomme, bonang, gwa ba le go šišinyega, marapo a kgobokana, lerapo le lerapo la lona. Gomme ge ke lebelela, bonang, mešifa le nama tša hloga godimo ga wona, gomme letlalo la a khupetša godimo: eupša go be go se na moya go wona. Ke moka a re go nna: Porofeta go phefo, porofeta, morwa wa motho, o re go phefo: Morena Modimo o bolela bjalo; Etla o etšwa diphefong tše nne, wena moya, o hemela ba ba bolailwego, gore ba phele. Ka gona ka porofeta bjalo ka ge a ntaetše, gomme moya wa tsena go bona, ba phela, ba ema ka dinaong tša bona, e le madira a magolo kudu. Ke moka a re go nna: Morwa wa motho, marapo a ke ba ntlo ka moka ya Israele: bonang, ba re: Marapo a rena a omeletše, kholofelo ya rena e timetše: re kgaotšwe ka ge e le karolo tša rena. Ka baka leo porofeta, o re go bona: Morena Modimo o bolela bjalo; Bonang, lena setšhaba sa ka, ke tla bula mabitla a lena, ka dira gore le rotoge mabitleng a lena, ka le tliša nageng ya Israele. Gomme le tla tseba gore ke nna Morena, ge ke butše mabitla a lena, lena setšhaba sa ka, ka ba ka le rotoša mabitleng a lena, Gomme ka bea Moya wa ka go lena, gomme le tla phela, ka ba ka le hloma nageng ya lena ka noši: ke moka le tla tseba gore nna Morena ke boletše, ka ba ka se phetha, go realo Morena. Hesekiele 37:1–14.</w:t>
      </w:r>
    </w:p>
    <w:p>
      <w:pPr>
        <w:pStyle w:val="ArticleBody"/>
        <w:jc w:val="left"/>
      </w:pPr>
      <w:r>
        <w:rPr>
          <w:rFonts w:ascii="Times New Roman" w:hAnsi="Times New Roman" w:eastAsia="Times New Roman" w:cs="Times New Roman"/>
        </w:rPr>
        <w:t>Dès le tout début de ces articles, nous avons montré que la vallée des ossements desséchés représente le peuple de Dieu dans les derniers jours, et que le message des quatre vents, qui les fait se tenir sur leurs pieds comme une armée puissante, est le message du Cri de Minuit identifiant l’islam du troisième Malheur. Sœur White identifie les ossements comme étant le peuple de Dieu.</w:t>
      </w:r>
    </w:p>
    <w:p>
      <w:pPr>
        <w:pStyle w:val="ArticleScripture"/>
        <w:jc w:val="left"/>
      </w:pPr>
      <w:r>
        <w:rPr>
          <w:rFonts w:ascii="Times New Roman" w:hAnsi="Times New Roman" w:eastAsia="Times New Roman" w:cs="Times New Roman"/>
        </w:rPr>
        <w:t>« Je dépose ma plume et j’élève mon âme dans la prière, afin que le Seigneur souffle sur son peuple infidèle, qui est comme des ossements desséchés, afin qu’il revive. » General Conference Bulletin, 4 février 1893.</w:t>
      </w:r>
    </w:p>
    <w:p>
      <w:pPr>
        <w:pStyle w:val="ArticleBody"/>
        <w:jc w:val="left"/>
      </w:pPr>
      <w:r>
        <w:rPr>
          <w:rFonts w:ascii="Times New Roman" w:hAnsi="Times New Roman" w:eastAsia="Times New Roman" w:cs="Times New Roman"/>
        </w:rPr>
        <w:t>Tá sé léirithe againn in ailt roimhe seo go raibh an teachtaireacht fháidhiúil a d’aithin an 18 Iúil 2020 earráideach, agus gur chuir an fógra bréagach sin teacht an chéad díomá agus aimsir an fhanachta in iúl i bparabal na ndeich maighdean. Cé go raibh fógairt ama dleathach i dtréimhse na Míléarach, tar éis 1844 ní raibh aon teachtaireacht eile le crochadh ar am go deo arís. Nuair a rinne Future for America fógairt an 18 Iúil 2020, shleamhnaigh siad ar ais chuig stair inar ghlacthaí le fógairt ama, agus trí sin a dhéanamh pheacaigh siad, agus maraíodh iad ar shráid chathair mhóir chaibidil a haon déag de Leabhar an Taispeántais. Marbh ar an tsráid dóibh, b’éigean ansin iad a aiséirí, mar a tharla don bheirt fhinnéithe tar éis trí lá go leith.</w:t>
      </w:r>
    </w:p>
    <w:p>
      <w:pPr>
        <w:pStyle w:val="ArticleScripture"/>
        <w:jc w:val="left"/>
      </w:pPr>
      <w:r>
        <w:rPr>
          <w:rFonts w:ascii="Times New Roman" w:hAnsi="Times New Roman" w:eastAsia="Times New Roman" w:cs="Times New Roman"/>
        </w:rPr>
        <w:t>«کهولت‌زدگانِ خشکیده نیاز دارند که روح‌القدسِ خدا بر ایشان دمیده شود، تا به حرکت درآیند، چنان‌که گویی با رستاخیزی از مردگان.» Bible Training School، 1 دسامبر 1903.</w:t>
      </w:r>
    </w:p>
    <w:p>
      <w:pPr>
        <w:pStyle w:val="ArticleBody"/>
        <w:jc w:val="left"/>
      </w:pPr>
      <w:r>
        <w:rPr>
          <w:rFonts w:ascii="Times New Roman" w:hAnsi="Times New Roman" w:eastAsia="Times New Roman" w:cs="Times New Roman"/>
        </w:rPr>
        <w:t>Mu binyamakuru byabanje twerekanye yuko ubutumwa bw’imiyaga ine buzura ubuzima muri ba bagabo babiri b’abahamya, ari bwo butumwa bwa Isilamu bw’Ishyano rya gatatu, kandi ko ubwo butumwa ari ubutumwa bw’Imborogo yo mu Gicuku yo mu minsi y’imperuka. Ezekiyeli aravuga ati: “byongeye kandi,” kandi muri ubwo buryo agaragaza ko mu mateka ashushanya itangazwa ry’Imborogo yo mu Gicuku, inkoni ebyiri, imwe ihagarariwe nka Efurayimu indi nk’iy’u Buyuda, zagombaga guhurizwa hamwe zikaba ishyanga rimwe. Umugani w’abakobwa cumi usohorerwa mu minsi y’imperuka, “uko inyuguti iri,” nk’uko wasohoye mu mateka y’Abamilerite. Mu gihe Imborogo yo mu Gicuku yasohoraga mu mateka y’Abamilerite, kandi nanone mu isohora ryo mu minsi y’imperuka, “inkoni ebyiri” zarahujwe kandi zizahuzwa hamwe.</w:t>
      </w:r>
    </w:p>
    <w:p>
      <w:pPr>
        <w:pStyle w:val="ArticleBody"/>
        <w:jc w:val="left"/>
      </w:pPr>
      <w:r>
        <w:rPr>
          <w:rFonts w:ascii="Times New Roman" w:hAnsi="Times New Roman" w:eastAsia="Times New Roman" w:cs="Times New Roman"/>
        </w:rPr>
        <w:t>De två stavarna representerade det forntida Israels norra rike (Efraim) och södra rike (Juda). Vi har också visat att William Miller var förebildad av Elia, och att Elia under de tre och ett halvt år av torka hade gått till änkan i Sarefat.</w:t>
      </w:r>
    </w:p>
    <w:p>
      <w:pPr>
        <w:pStyle w:val="ArticleScripture"/>
        <w:jc w:val="left"/>
      </w:pPr>
      <w:r>
        <w:rPr>
          <w:rFonts w:ascii="Times New Roman" w:hAnsi="Times New Roman" w:eastAsia="Times New Roman" w:cs="Times New Roman"/>
        </w:rPr>
        <w:t>Et la parole de l’Éternel lui fut adressée, en ces termes : Lève-toi, va à Sarepta, qui appartient à Sidon, et demeure là ; voici, j’y ai ordonné à une veuve de pourvoir à ta subsistance. Il se leva donc et s’en alla à Sarepta. Lorsqu’il arriva à la porte de la ville, voici, une veuve s’y trouvait, ramassant du bois ; il l’appela et dit : Va me chercher, je te prie, un peu d’eau dans un vase, afin que je boive. Et comme elle allait en chercher, il l’appela de nouveau et dit : Apporte-moi aussi, je te prie, un morceau de pain dans ta main. Elle répondit : L’Éternel, ton Dieu, est vivant ! je n’ai pas un gâteau, mais seulement une poignée de farine dans un pot, et un peu d’huile dans une cruche ; et voici, je ramasse deux morceaux de bois, puis je rentrerai pour préparer cela pour moi et pour mon fils, afin que nous le mangions, puis que nous mourions. Élie lui dit : Ne crains point ; va, fais comme tu l’as dit ; seulement, fais-m’en d’abord un petit gâteau, et apporte-le-moi ; ensuite, tu en feras pour toi et pour ton fils. Car ainsi parle l’Éternel, le Dieu d’Israël : Le pot de farine ne s’épuisera point, et la cruche d’huile ne manquera point, jusqu’au jour où l’Éternel fera tomber de la pluie sur la face de la terre. Elle alla, et fit selon la parole d’Élie ; et elle, lui, et sa maison, eurent à manger pendant longtemps. 1 Rois 17:8–15.</w:t>
      </w:r>
    </w:p>
    <w:p>
      <w:pPr>
        <w:pStyle w:val="ArticleBody"/>
        <w:jc w:val="left"/>
      </w:pPr>
      <w:r>
        <w:rPr>
          <w:rFonts w:ascii="Times New Roman" w:hAnsi="Times New Roman" w:eastAsia="Times New Roman" w:cs="Times New Roman"/>
        </w:rPr>
        <w:t>In die betrokke gedeelte is die “baie dae” die drie en ’n half jaar waartydens Agab na Elía gesoek het, en dit het die twaalfhonderd-en-sestig jaar van pouslike vervolging voorgestel. Aangaande die “baie dae” van pouslike vervolging het Jesus gesê:</w:t>
      </w:r>
    </w:p>
    <w:p>
      <w:pPr>
        <w:pStyle w:val="ArticleScripture"/>
        <w:jc w:val="left"/>
      </w:pPr>
      <w:r>
        <w:rPr>
          <w:rFonts w:ascii="Times New Roman" w:hAnsi="Times New Roman" w:eastAsia="Times New Roman" w:cs="Times New Roman"/>
        </w:rPr>
        <w:t>Ac ma tigeadh nach biodh na làithean sin air an giorrachadh, cha bhiodh feòil sam bith air a slànachadh; ach air sgàth nan daoine taghte, giorraichear na làithean sin. Mata 24:22.</w:t>
      </w:r>
    </w:p>
    <w:p>
      <w:pPr>
        <w:pStyle w:val="ArticleBody"/>
        <w:jc w:val="left"/>
      </w:pPr>
      <w:r>
        <w:rPr>
          <w:rFonts w:ascii="Times New Roman" w:hAnsi="Times New Roman" w:eastAsia="Times New Roman" w:cs="Times New Roman"/>
        </w:rPr>
        <w:t>Sister White identifie directement la déclaration de Jésus concernant « ces jours » comme désignant la période de la persécution papale.</w:t>
      </w:r>
    </w:p>
    <w:p>
      <w:pPr>
        <w:pStyle w:val="ArticleScripture"/>
        <w:jc w:val="left"/>
      </w:pPr>
      <w:r>
        <w:rPr>
          <w:rFonts w:ascii="Times New Roman" w:hAnsi="Times New Roman" w:eastAsia="Times New Roman" w:cs="Times New Roman"/>
        </w:rPr>
        <w:t>“Lẹẹsìn sí ìjọ kò tẹ̀síwájú jálẹ̀ gbogbo àkókò ọdún 1260 náà. Ọlọ́run, nínú àánú Rẹ̀ sí àwọn ènìyàn Rẹ̀, dín àkókò ìdánwò iná wọn kù. Nígbà tí Olùgbàlà ń sọ tẹ́lẹ̀ nípa ‘ìpọ́njú ńlá’ tí yóò dé bá ìjọ, Ó ní: ‘Àfi kí a kúrú ọjọ́ wọ̀nyí, kò sí ẹ̀dá kankan tí yóò là: ṣùgbọ́n nítorí àwọn àyànfẹ́, ọjọ́ wọ̀nyí ni a ó kúrú sí.’ Matteu 24:22. Nípasẹ̀ agbára Ìtúnṣe, a mú inúnibíni náà wá sí òpin kí ọdún 1798 tó dé.” The Great Controversy, 266, 267.</w:t>
      </w:r>
    </w:p>
    <w:p>
      <w:pPr>
        <w:pStyle w:val="ArticleBody"/>
        <w:jc w:val="left"/>
      </w:pPr>
      <w:r>
        <w:rPr>
          <w:rFonts w:ascii="Times New Roman" w:hAnsi="Times New Roman" w:eastAsia="Times New Roman" w:cs="Times New Roman"/>
        </w:rPr>
        <w:t>Les « nombreux jours » durant lesquels Élie fut soutenu par la veuve furent aussi les « nombreux jours » de la persécution papale désignés par Daniel.</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तलवार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ज्वाला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बन्धुआई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गिराए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गिराए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मिलेगी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चापलूसियों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गिराए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11:33–35.</w:t>
      </w:r>
    </w:p>
    <w:p>
      <w:pPr>
        <w:pStyle w:val="ArticleBody"/>
        <w:jc w:val="left"/>
      </w:pPr>
      <w:r>
        <w:rPr>
          <w:rFonts w:ascii="Times New Roman" w:hAnsi="Times New Roman" w:eastAsia="Times New Roman" w:cs="Times New Roman"/>
        </w:rPr>
        <w:t>Le « temps de la fin », qui est aussi le « temps fixé » dans ces versets, fut 1798, et il marqua la fin de la persécution papale, comme l’avait préfiguré le temps qu’Élie passa avec la veuve de Sarepta. Dans cette histoire, la veuve, représentant une Église non mariée, était identifiée comme l’Église dans le désert au chapitre douze du livre de l’Apocalypse. Elle ramassait deux morceaux de bois, non un morceau de bois ni dix morceaux de bois, mais deux morceaux de bois. Ézéchiel devait prendre deux morceaux de bois, l’un pour le royaume du nord d’Israël et l’autre pour le royaume du sud d’Israël, et les joindre ensemble pour n’en faire qu’un seul morceau de bois. Ces deux royaumes avaient tous deux été dispersés pendant deux mille cinq cent vingt ans, mais la promesse de Dieu était qu’Il les rassemblerait. La femme ramassait les deux morceaux de bois qui devaient être joints ensemble, et elle le faisait « jusqu’au jour où le Seigneur enverra de la pluie sur la terre ».</w:t>
      </w:r>
    </w:p>
    <w:p>
      <w:pPr>
        <w:pStyle w:val="ArticleBody"/>
        <w:jc w:val="left"/>
      </w:pPr>
      <w:r>
        <w:rPr>
          <w:rFonts w:ascii="Times New Roman" w:hAnsi="Times New Roman" w:eastAsia="Times New Roman" w:cs="Times New Roman"/>
        </w:rPr>
        <w:t>Xa mṹəŋa ŋwɛn á nɔ́ “mbɛ̄” nyè, a ná kɛ́tɛdɛlɛ Ŋkàgà Ŋwɛn ŋgí-Midnight Cry nɛ mɔɔ́rɔ Millerite, nɛ a yí nɔ́ kɛ́tɛdɛlɛ bɛnɔ́ October 22, 1844, m̀bá Mɛsɛ́njɛr nɔ́ Covenant a yì ndá nɔ́ temple nɛ ŋwɛn a tɛ́rɛ́k tɔ́ 1798 (kɛ́tɛdɛlɛ nɔ́ first indignation), kɛ ŋgɔ́ɔ October 22, 1844 (kɛ́tɛdɛlɛ nɔ́ last indignation). Nɔ́ mbɛn m̀bɔɔ nɛ tɔ́, mɛsɛ́j nɔ́ Midnight Cry, nɛ a yì kɛ́tɛdɛlɛ nɔ́ illustration Ezekiel nɔ́ valley of bones, a yí fulfilled, m̀bá the two sticks nɔ́ northern and southern kingdoms a yì joined tɔ́ form one nation, with one king, nɔ́ m̀bá nɔ́ October 22, 1844, Christ a yì came before the Father and received a kingdom.</w:t>
      </w:r>
    </w:p>
    <w:p>
      <w:pPr>
        <w:pStyle w:val="ArticleScripture"/>
        <w:jc w:val="left"/>
      </w:pPr>
      <w:r>
        <w:rPr>
          <w:rFonts w:ascii="Times New Roman" w:hAnsi="Times New Roman" w:eastAsia="Times New Roman" w:cs="Times New Roman"/>
        </w:rPr>
        <w:t>„Ujio wa Kristo kama Kuhani wetu Mkuu katika Patakatifu pa Patakatifu, kwa ajili ya kutakaswa kwa patakatifu, kama ulivyoonyeshwa katika Danieli 8:14; ujio wa Mwana wa Adamu kwa Mzee wa Siku, kama ulivyowasilishwa katika Danieli 7:13; na ujio wa Bwana katika hekalu Lake, kama ulivyotabiriwa na Malaki, ni maelezo ya tukio lilelile; na hili pia linawakilishwa na ujio wa bwana-arusi kwenye arusi, kama alivyoueleza Kristo katika mfano wa wanawali kumi, wa Mathayo 25.” Pambano Kuu, 426.</w:t>
      </w:r>
    </w:p>
    <w:p>
      <w:pPr>
        <w:pStyle w:val="ArticleBody"/>
        <w:jc w:val="left"/>
      </w:pPr>
      <w:r>
        <w:rPr>
          <w:rFonts w:ascii="Times New Roman" w:hAnsi="Times New Roman" w:eastAsia="Times New Roman" w:cs="Times New Roman"/>
        </w:rPr>
        <w:t>Christ a reçu un royaume le 22 octobre 1844, comme l’indique Daniel.</w:t>
      </w:r>
    </w:p>
    <w:p>
      <w:pPr>
        <w:pStyle w:val="ArticleScripture"/>
        <w:jc w:val="left"/>
      </w:pPr>
      <w:r>
        <w:rPr>
          <w:rFonts w:ascii="Times New Roman" w:hAnsi="Times New Roman" w:eastAsia="Times New Roman" w:cs="Times New Roman"/>
        </w:rPr>
        <w:t>Am na scananna oíche chonaic mé, agus, féach, tháinig duine amhail Mac an Duine le scamaill na bhflaitheas, agus tháinig sé go dtí an tSeanlaethach, agus tugadh ina láthair é. Agus tugadh dó ceannas, agus glóir, agus ríocht, ionas go ndéanfadh gach pobal, náisiún, agus teanga seirbhís dó: is ceannas síoraí a cheannas, nach rachaidh thar ceal, agus a ríocht féin nach scriosfar. Daniel 7:13, 14.</w:t>
      </w:r>
    </w:p>
    <w:p>
      <w:pPr>
        <w:pStyle w:val="ArticleBody"/>
        <w:jc w:val="left"/>
      </w:pPr>
      <w:r>
        <w:rPr>
          <w:rFonts w:ascii="Times New Roman" w:hAnsi="Times New Roman" w:eastAsia="Times New Roman" w:cs="Times New Roman"/>
        </w:rPr>
        <w:t>Lorsque les deux bâtons d’Ézéchiel sont réunis, ils ont un seul roi sur eux.</w:t>
      </w:r>
    </w:p>
    <w:p>
      <w:pPr>
        <w:pStyle w:val="ArticleScripture"/>
        <w:jc w:val="left"/>
      </w:pPr>
      <w:r>
        <w:rPr>
          <w:rFonts w:ascii="Times New Roman" w:hAnsi="Times New Roman" w:eastAsia="Times New Roman" w:cs="Times New Roman"/>
        </w:rPr>
        <w:t>Na Daudi mtumishi wangu atakuwa mfalme juu yao; nao wote watakuwa na mchungaji mmoja; nao pia watakwenda katika hukumu zangu, na kuzishika amri zangu, na kuzitenda. Nao watakaa katika nchi niliyompa Yakobo mtumishi wangu, ambayo baba zenu walikaa ndani yake; nao watakaa humo, wao wenyewe, na watoto wao, na watoto wa watoto wao milele; na Daudi mtumishi wangu atakuwa mkuu wao milele. Ezekieli 37:24, 25.</w:t>
      </w:r>
    </w:p>
    <w:p>
      <w:pPr>
        <w:pStyle w:val="ArticleBody"/>
        <w:jc w:val="left"/>
      </w:pPr>
      <w:r>
        <w:rPr>
          <w:rFonts w:ascii="Times New Roman" w:hAnsi="Times New Roman" w:eastAsia="Times New Roman" w:cs="Times New Roman"/>
        </w:rPr>
        <w:t>Tous les prophètes s’accordent les uns avec les autres, et le roi David est le Christ, qui vint devant le Père le 22 octobre 1844 et reçut un royaume qui avait été rassemblé à partir des deux bâtons d’Israël (le royaume du nord) et de Juda (le royaume du sud). La dispersion des deux royaumes prit fin au cours des quarante-six années allant de 1798 à 1844, lorsque le Christ releva un temple qui avait été désolé et foulé aux pieds. Lorsqu’Il releva le temple, Il vint alors soudainement à Son temple comme le Messager de l’Alliance, en accomplissement de Malachie, chapitre trois. Ézéchiel s’accorde avec ce fait, car tous les prophètes s’accordent les uns avec les autres.</w:t>
      </w:r>
    </w:p>
    <w:p>
      <w:pPr>
        <w:pStyle w:val="ArticleScripture"/>
        <w:jc w:val="left"/>
      </w:pPr>
      <w:r>
        <w:rPr>
          <w:rFonts w:ascii="Times New Roman" w:hAnsi="Times New Roman" w:eastAsia="Times New Roman" w:cs="Times New Roman"/>
        </w:rPr>
        <w:t>Basi Dauda, mtumishi wangu, atakuwa mfalme juu yao; nao wote watakuwa na mchungaji mmoja; nao watatembea katika hukumu zangu, na kuzishika amri zangu, na kuzitenda. Nao watakaa katika nchi niliyompa Yakobo mtumishi wangu, ambayo ndani yake baba zenu walikaa; nao watakaa humo, yaani wao, na watoto wao, na watoto wa watoto wao milele; naye Dauda mtumishi wangu atakuwa mkuu wao milele. Tena nitafanya nao agano la amani; litakuwa agano la milele pamoja nao; nami nitawaweka, na kuwazidisha, nami nitaweka patakatifu pangu katikati yao milele. Tena maskani yangu itakuwa pamoja nao; naam, mimi nitakuwa Mungu wao, nao watakuwa watu wangu. Ezekieli 37:24–27.</w:t>
      </w:r>
    </w:p>
    <w:p>
      <w:pPr>
        <w:pStyle w:val="ArticleBody"/>
        <w:jc w:val="left"/>
      </w:pPr>
      <w:r>
        <w:rPr>
          <w:rFonts w:ascii="Times New Roman" w:hAnsi="Times New Roman" w:eastAsia="Times New Roman" w:cs="Times New Roman"/>
        </w:rPr>
        <w:t>C’est le Christ qui édifie le temple.</w:t>
      </w:r>
    </w:p>
    <w:p>
      <w:pPr>
        <w:pStyle w:val="ArticleScripture"/>
        <w:jc w:val="left"/>
      </w:pPr>
      <w:r>
        <w:rPr>
          <w:rFonts w:ascii="Times New Roman" w:hAnsi="Times New Roman" w:eastAsia="Times New Roman" w:cs="Times New Roman"/>
        </w:rPr>
        <w:t>فَكَلِّمْهُ قَائِلًا: هكَذَا يَقُولُ رَبُّ الْجُنُودِ: هُوَذَا الرَّجُلُ، ٱسْمُهُ الْغُصْنُ، وَمِنْ مَوْضِعِهِ يَنْبُتُ، وَهُوَ يَبْنِي هَيْكَلَ الرَّبِّ. نَعَمْ، هُوَ يَبْنِي هَيْكَلَ الرَّبِّ، وَهُوَ يَحْمِلُ الْمَجْدَ، وَيَجْلِسُ وَيَتَسَلَّطُ عَلَى كُرْسِيِّهِ، وَيَكُونُ كَاهِنًا عَلَى كُرْسِيِّهِ، وَتَكُونُ مَشُورَةُ السَّلَامِ بَيْنَهُمَا كِلَيْهِمَا. وَتَكُونُ ٱلتِّيجَانُ لِحَالِمَ وَلِطُوبِيَّا وَلِيَدَعْيَا وَلِحِينَ بْنِ صَفَنْيَا، تَذْكَارًا فِي هَيْكَلِ الرَّبِّ. وَٱلَّذِينَ هُمْ بَعِيدُونَ يَأْتُونَ وَيَبْنُونَ فِي هَيْكَلِ الرَّبِّ، فَتَعْلَمُونَ أَنَّ رَبَّ الْجُنُودِ قَدْ أَرْسَلَنِي إِلَيْكُمْ. وَيَكُونُ هذَا إِنْ سَمِعْتُمْ سَمْعًا لِصَوْتِ الرَّبِّ إِلهِكُمْ. زكريا 6: 12–15.</w:t>
      </w:r>
    </w:p>
    <w:p>
      <w:pPr>
        <w:pStyle w:val="ArticleBody"/>
        <w:jc w:val="left"/>
      </w:pPr>
      <w:r>
        <w:rPr>
          <w:rFonts w:ascii="Times New Roman" w:hAnsi="Times New Roman" w:eastAsia="Times New Roman" w:cs="Times New Roman"/>
        </w:rPr>
        <w:t>Christ est le BRANCHE, et Il déclara que, s’ils détruisaient Son temple, Il le relèverait en trois jours, ce à quoi les Juifs répondirent qu’il avait fallu quarante-six ans pour bâtir le temple.</w:t>
      </w:r>
    </w:p>
    <w:p>
      <w:pPr>
        <w:pStyle w:val="ArticleScripture"/>
        <w:jc w:val="left"/>
      </w:pPr>
      <w:r>
        <w:rPr>
          <w:rFonts w:ascii="Times New Roman" w:hAnsi="Times New Roman" w:eastAsia="Times New Roman" w:cs="Times New Roman"/>
        </w:rPr>
        <w:t>Yahudiylar unga javob berib dedilar: “Bu ishlarni qilayotganingga ko‘ra, bizga qanday alomat ko‘rsatasan?” Iso ularga javob berib dedi: “Bu ma’badni buzib tashlanglar, Men uni uch kunda qayta tiklayman.” Shunda yahudiylar dedilar: “Bu ma’bad qirq olti yil davomida qurildi, Sen esa uni uch kunda qayta tiklamoqchimisan?” Yuhanno 2:18–20.</w:t>
      </w:r>
    </w:p>
    <w:p>
      <w:pPr>
        <w:pStyle w:val="ArticleBody"/>
        <w:jc w:val="left"/>
      </w:pPr>
      <w:r>
        <w:rPr>
          <w:rFonts w:ascii="Times New Roman" w:hAnsi="Times New Roman" w:eastAsia="Times New Roman" w:cs="Times New Roman"/>
        </w:rPr>
        <w:t>Krisito yavugaga iby’umubiri We muri uwo murongo, ariko abahanuzi bose bavuga cyane kurushaho iby’iminsi y’imperuka kuruta iminsi babayemo. Izuka rya Kristo ku munsi wa gatatu ryashushanyaga izuka ry’amagufwa yumye mu gihe cyo gusukwa kwa Mwuka Wera mu Muborogo wo mu Gicuku. Imvura ari yo ngingo y’ubuhamya bwa Eliya, yagaragariye mu iherezo ry’ukwigiza nkana kwe n’abahanuzi ba Bali na Asitaroti. Ni ho herekanywe ko Imana ya Eliya ari yo Mana y’ukuri, kandi ko na Eliya ari we muhanuzi w’ukuri.</w:t>
      </w:r>
    </w:p>
    <w:p>
      <w:pPr>
        <w:pStyle w:val="ArticleBody"/>
        <w:jc w:val="left"/>
      </w:pPr>
      <w:r>
        <w:rPr>
          <w:rFonts w:ascii="Times New Roman" w:hAnsi="Times New Roman" w:eastAsia="Times New Roman" w:cs="Times New Roman"/>
        </w:rPr>
        <w:t>Sa pag-abot han siyahan nga kapakyasan, iginpakita nga an mga Protestante nagin buwaon nga mga manaragna, sugad han iginhulagway han mga manaragna ni Baal ngan ni Ashtaroth. Katapos hito, nagtikang an panahon han paghulat, ngan nagdara ito ngadto ha mensahe han Paghilak ha Tunga han Gabi-i, nga nagdara ngadto ha tigda nga pagkanhi ni Cristo ngadto ha Iya templo. An Paghilak ha Tunga han Gabi-i iginrerepresentar han mensahe ni Ezekiel nga nagpapabangon han mga tul-an sugad hin makusog nga kasundalohan. Dugang pa, durante hito nga panahon (kap-atan kag unom ka tuig), an duha nga mga baston kinahanglan pagdugtungon nga magin usa, basi makaghimo hin usa nga nasud, nga may usa nga hadi.</w:t>
      </w:r>
    </w:p>
    <w:p>
      <w:pPr>
        <w:pStyle w:val="ArticleScripture"/>
        <w:jc w:val="left"/>
      </w:pPr>
      <w:r>
        <w:rPr>
          <w:rFonts w:ascii="Times New Roman" w:hAnsi="Times New Roman" w:eastAsia="Times New Roman" w:cs="Times New Roman"/>
        </w:rPr>
        <w:t>Atua no Ano asɛm baa me bio sɛ, Na wo, onipa ba, fa dua baako, na kyerɛw gu so sɛ: Yuda ne Israel mma a wɔka ne ho; afei fa dua foforo, na kyerɛw gu so sɛ: Yosef, Efraim dua, ne Israel fi nyinaa a wɔka ne ho. Na fa no bom, baako ne baako, ma ɛnyɛ dua baako; na ɛbɛyɛ baako wɔ wo nsam. Na sɛ wo man mma ka kyerɛ wo sɛ: Worennkyerɛ yɛn nea eyinom kyerɛ anaa? ka kyerɛ wɔn sɛ: Sɛɛ na Awurade Nyankopɔn se; Hwɛ, mɛfa Yosef dua a ɛwɔ Efraim nsam, ne Israel mmusuakuw a wɔyɛ ne mfɛfo, na mede wɔn bɛka no ho, Yuda dua no ho mpo, na mayɛ wɔn dua baako, na wɔbɛyɛ baako wɔ me nsam. Na nnua a wokyerɛw gu so no bɛtena wo nsam wɔ wɔn ani so. Na ka kyerɛ wɔn sɛ: Sɛɛ na Awurade Nyankopɔn se; Hwɛ, me de, mɛfa Israel mma no afi amanaman no mu, baabiara a wɔakɔ no, na maboa wɔn afã nyinaa, na mede wɔn aba wɔn ankasa asase so. Na mɛyɛ wɔn ɔman baako wɔ asase no so, Israel mmepɔw no so; na ɔhene baako na ɔbɛyɛ wɔn nyinaa hene; na wɔrennyɛ aman abien bio, na wɔremmɛkyekyɛ wɔn mu nyɛ ahenni abien bio da: na wɔrenhohoro wɔn ho bio wɔ wɔn ahoni mu, anaa wɔn akyiwade mu, anaa wɔn mmarato biara mu; na megye wɔn afi wɔn tenabea nyinaa mu, nea wɔayɛ bɔne wom no, na metew wɔn ho; na saa na wɔbɛyɛ me man, na me nso mayɛ wɔn Nyankopɔn. Hesekiel 37:15–23.</w:t>
      </w:r>
    </w:p>
    <w:p>
      <w:pPr>
        <w:pStyle w:val="ArticleBody"/>
        <w:jc w:val="left"/>
      </w:pPr>
      <w:r>
        <w:rPr>
          <w:rFonts w:ascii="Times New Roman" w:hAnsi="Times New Roman" w:eastAsia="Times New Roman" w:cs="Times New Roman"/>
        </w:rPr>
        <w:t>Les deux bâtons que la veuve ramassait en préparation de la pluie d’Élie, au Cri de Minuit, étaient les royaumes du nord et du sud d’Israël, qui avaient été dispersés et devaient être rassemblés en une seule nation le 22 octobre 1844, lorsque commença le Jour antitypique des Expiations, car la promesse était qu’en ce temps-là Dieu « les purifiera ». La purification, représentant le Jugement d’instruction, commença alors. Ce rassemblement des deux bâtons doit être compris correctement, car Dieu illustre toujours la fin d’une chose par le commencement d’une chose.</w:t>
      </w:r>
    </w:p>
    <w:p>
      <w:pPr>
        <w:pStyle w:val="ArticleBody"/>
        <w:jc w:val="left"/>
      </w:pPr>
      <w:r>
        <w:rPr>
          <w:rFonts w:ascii="Times New Roman" w:hAnsi="Times New Roman" w:eastAsia="Times New Roman" w:cs="Times New Roman"/>
        </w:rPr>
        <w:t>1844 var enden på Israels to riger, for de var da blevet ét rige, det åndelige Israel, og fra det tidspunkt skulle de kun være én nation. Denne historie blev illustreret ved den indledende historie, da de var blevet to nationer, hvilket er historien om Jeroboams oprør.</w:t>
      </w:r>
    </w:p>
    <w:p>
      <w:pPr>
        <w:pStyle w:val="ArticleBody"/>
        <w:jc w:val="left"/>
      </w:pPr>
      <w:r>
        <w:rPr>
          <w:rFonts w:ascii="Times New Roman" w:hAnsi="Times New Roman" w:eastAsia="Times New Roman" w:cs="Times New Roman"/>
        </w:rPr>
        <w:t>L’historique du système contrefait d’adoration de Jéroboam doit aussi être illustré à la fin de son royaume. La rébellion d’Aaron au commencement de l’ancien Israël et la rébellion de Jéroboam au commencement du royaume du nord représentent la rébellion de 1863, et 1863 n’est clairement compris que lorsque la fin du royaume de Jéroboam, telle qu’elle est représentée par la réunion des deux bâtons, est également superposée à 1863. C’est alors que 1863 est clairement vu comme étant représenté par une génération qui a érigé une image de jalousie.</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“Lakini si kwamba mfano huu wa mifupa mikavu unahusu ulimwengu pekee; bali pia unawahusu wale ambao wamebarikiwa kwa nuru kuu; kwa maana wao nao ni kama mifupa ya bonde. Wana umbo la wanadamu, muundo wa mwili; lakini hawana uzima wa kiroho. Lakini mfano huo hauachi mifupa mikavu ikiwa imeunganishwa tu kuwa maumbo ya wanadamu; kwa kuwa haitoshi kwamba kuwepo ulinganifu wa viungo na sura. Pumzi ya uzima lazima ivitie miili hiyo uhai, ili iweze kusimama wima, na kuingia katika utendaji. Mifupa hii inawakilisha nyumba ya Israeli, kanisa la Mungu, na tumaini la kanisa ni uvuvio uletao uhai wa Roho Mtakatifu. Bwana lazima apulize juu ya mifupa mikavu, ili ipate kuishi.”</w:t>
      </w:r>
    </w:p>
    <w:p>
      <w:pPr>
        <w:pStyle w:val="ArticleScripture"/>
        <w:jc w:val="left"/>
      </w:pPr>
      <w:r>
        <w:rPr>
          <w:rFonts w:ascii="Times New Roman" w:hAnsi="Times New Roman" w:eastAsia="Times New Roman" w:cs="Times New Roman"/>
        </w:rPr>
        <w:t>“Ruach Elohim, pamoja na uwezo wake unaohuisha, sharti awe ndani ya kila chombo cha kibinadamu, ili kila msuli na kila kano la kiroho viwe katika utendaji. Bila Roho Mtakatifu, bila pumzi ya Mungu, kunakuwa na uzito wa dhamiri, na kupotea kwa uzima wa kiroho. Wengi wasio na uzima wa kiroho majina yao yamo katika kumbukumbu za kanisa, lakini hawajaandikwa katika kitabu cha uzima cha Mwana-Kondoo. Huenda wakaunganishwa na kanisa, lakini hawajaunganishwa na Bwana. Huenda wakawa wenye bidii katika kutekeleza mkusanyo fulani wa wajibu, na wakaonwa kuwa watu walio hai; lakini wengi wamo miongoni mwa wale walio na ‘jina ya kuwa uko hai, nawe umekufa.’”</w:t>
      </w:r>
    </w:p>
    <w:p>
      <w:pPr>
        <w:pStyle w:val="ArticleScripture"/>
        <w:jc w:val="left"/>
      </w:pPr>
      <w:r>
        <w:rPr>
          <w:rFonts w:ascii="Times New Roman" w:hAnsi="Times New Roman" w:eastAsia="Times New Roman" w:cs="Times New Roman"/>
        </w:rPr>
        <w:t>“Ngaphandle kokuba kubekho ukuguquka kweqiniso komphefumulo kuNkulunkulu; ngaphandle kokuba umoya ophilisayo kaNkulunkulu uphilise umphefumulo ekuphileni kukamoya; ngaphandle kokuba abazishoyo ukuthi bangabafundisi beqiniso baqondiswe ngumgomo ozalwe yizulu, abazalwanga yileyo nzalo engenakonakala ephilayo nehlala kuze kube phakade. Ngaphandle kokuba bethembele ekulungeni kukaKristu njengokuphela kwesivikelo sabo; ngaphandle kokuba balingise isimilo saKhe, basebenze ngomoya waKhe, banqunu, abagqokile ingubo yokulunga kwaKhe. Abafileyo bavame ukwenziwa badlule njengabaphilayo; ngokuba labo abasebenzela lokho abakubiza ngokuthi insindiso ngokwemibono yabo siqu, abanaye uNkulunkulu osebenza kubo kokubili ukuthanda nokwenza ngokwentokozo yaKhe enhle.”</w:t>
      </w:r>
    </w:p>
    <w:p>
      <w:pPr>
        <w:pStyle w:val="ArticleScripture"/>
        <w:jc w:val="left"/>
      </w:pPr>
      <w:r>
        <w:rPr>
          <w:rFonts w:ascii="Times New Roman" w:hAnsi="Times New Roman" w:eastAsia="Times New Roman" w:cs="Times New Roman"/>
        </w:rPr>
        <w:t>«کلاس دا د وچو هډوکو په دره کې ښه استازیتوب شوی دی چې حزقیال یې په رؤیا کې ولیده.»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soixante-douze</dc:title>
  <dc:subject>L’union prophétique : de la division de l’ancien Israël à la fin des États-Unis</dc:subject>
  <dc:creator>Jeff Pippenger</dc:creator>
  <cp:keywords/>
  <dc:description>Generated by ArticleDigger from daniel\72_daniel.json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