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 ایل — نمبر تہتر</w:t>
      </w:r>
    </w:p>
    <w:p>
      <w:pPr>
        <w:pStyle w:val="ArticleSubtitle"/>
        <w:jc w:val="left"/>
      </w:pPr>
      <w:r>
        <w:rPr>
          <w:rFonts w:ascii="Arial" w:hAnsi="Arial" w:eastAsia="Arial" w:cs="Arial"/>
        </w:rPr>
        <w:t>Svelare i paralleli storici: l’inganno di Geroboamo e la prova di fede del movimento avventista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2024-02-06</w:t>
      </w:r>
    </w:p>
    <w:p>
      <w:pPr>
        <w:pStyle w:val="ArticleBody"/>
        <w:jc w:val="left"/>
      </w:pPr>
      <w:r>
        <w:rPr>
          <w:rFonts w:ascii="Times New Roman" w:hAnsi="Times New Roman" w:eastAsia="Times New Roman" w:cs="Times New Roman"/>
        </w:rPr>
        <w:t>Peyi Wa Nò a ak peyi Wa Sid la te gaye anba kòlè Bondye pandan de mil senk san ven ane, kòm akonplisman alyans ki te kraze a nan Levitik vennsenk ak vennsis. Karannsis ane ki te ant konklizyon premye ak dènye endiyasyon yo te reprezante rasanbleman de wayòm sa yo pou fè yon sèl wayòm Izrayèl modèn espirityèl an 1844. Rasanbleman de nasyon sa yo te reprezante pa de baton Ezekyèl te mete ansanm yo, ak de baton vèv Zarafat la te ranmase nan istwa Eli a. Sou 22 Oktòb 1844, istwa pwofetik peyi Wa Nò a ak peyi Wa Sid la te rive nan konklizyon li, epi lè sa a li te repete istwa kòmansman de wayòm sa yo.</w:t>
      </w:r>
    </w:p>
    <w:p>
      <w:pPr>
        <w:pStyle w:val="ArticleBody"/>
        <w:jc w:val="left"/>
      </w:pPr>
      <w:r>
        <w:rPr>
          <w:rFonts w:ascii="Times New Roman" w:hAnsi="Times New Roman" w:eastAsia="Times New Roman" w:cs="Times New Roman"/>
        </w:rPr>
        <w:t>Yarobiam ne yi ka’abin bɔgɔyaali niŋ ka North Kingdom la ni, halis yela ka o niŋidib ka boŋ yili Judah ka kpeem tiŋa la ni kaŋa ka sɔŋid Wina’am la o yir la ni Jerusalem.</w:t>
      </w:r>
    </w:p>
    <w:p>
      <w:pPr>
        <w:pStyle w:val="ArticleScripture"/>
        <w:jc w:val="left"/>
      </w:pPr>
      <w:r>
        <w:rPr>
          <w:rFonts w:ascii="Times New Roman" w:hAnsi="Times New Roman" w:eastAsia="Times New Roman" w:cs="Times New Roman"/>
        </w:rPr>
        <w:t>Yerobo‘om o‘z ko‘nglida dedi: Endi saltanat Dovud xonadoniga qaytadi. Agar bu xalq Quddusda Egamizning uyida qurbonlik keltirgani chiqsa, bu xalqning ko‘ngli yana o‘z xo‘jayiniga, ya’ni Yahudo shohi Raxab‘omga og‘adi; ular meni o‘ldirib, yana Yahudo shohi Raxab‘omga qaytadilar. Shunda shoh maslahat qilib, ikkita oltin buzoq yasadi va ularga dedi: Quddusga chiqib borishingiz sizlar uchun ortiqcha. Mana, ey Isroil, seni Misr yurtidan olib chiqqan xudolaring shulardir. Ulardan birini Baytilda qo‘ydi, boshqasini esa Danga o‘rnatdi. Bu narsa gunohga aylandi, chunki xalq ulardan biriga sajda qilish uchun hatto Danggacha bordi. U yana balandliklar uyini qildi va Leviy o‘g‘illaridan bo‘lmagan oddiy xalq orasidan ruhoniylar tayinladi. Yerobo‘om sakkizinchi oyda, oyning o‘n beshinchi kunida, Yahudodagi bayramga o‘xshash bir bayram belgiladi va qurbongoh ustida qurbonlik keltirdi. U Baytilda ham shunday qildi, o‘zi yasagan buzoqlarga qurbonlik qildi; va o‘zi qilgan balandliklarning ruhoniylarini Baytilda joylashtirdi. Shunday qilib, u Baytilda o‘zi yasagan qurbongoh ustida sakkizinchi oyning o‘n beshinchi kunida, ya’ni o‘z ko‘nglidan o‘ylab topgan oyda qurbonlik keltirdi; Isroil farzandlari uchun bayram belgiladi; va qurbongoh ustida qurbonlik keltirib, tutatqi tutatdi. 3 Shohlar 12:26–33.</w:t>
      </w:r>
    </w:p>
    <w:p>
      <w:pPr>
        <w:pStyle w:val="ArticleBody"/>
        <w:jc w:val="left"/>
      </w:pPr>
      <w:r>
        <w:rPr>
          <w:rFonts w:ascii="Microsoft YaHei" w:hAnsi="Microsoft YaHei" w:eastAsia="Microsoft YaHei" w:cs="Microsoft YaHei"/>
        </w:rPr>
        <w:t>祂的敬拜制度乃是天主教（异教主义）的预表</w:t>
      </w:r>
      <w:r>
        <w:rPr>
          <w:rFonts w:ascii="Times New Roman" w:hAnsi="Times New Roman" w:eastAsia="Times New Roman" w:cs="Times New Roman"/>
        </w:rPr>
        <w:t>;</w:t>
      </w:r>
      <w:r>
        <w:rPr>
          <w:rFonts w:ascii="Microsoft YaHei" w:hAnsi="Microsoft YaHei" w:eastAsia="Microsoft YaHei" w:cs="Microsoft YaHei"/>
        </w:rPr>
        <w:t>因为正如亚伦的悖逆一样</w:t>
      </w:r>
      <w:r>
        <w:rPr>
          <w:rFonts w:ascii="Times New Roman" w:hAnsi="Times New Roman" w:eastAsia="Times New Roman" w:cs="Times New Roman"/>
        </w:rPr>
        <w:t>,</w:t>
      </w:r>
      <w:r>
        <w:rPr>
          <w:rFonts w:ascii="Microsoft YaHei" w:hAnsi="Microsoft YaHei" w:eastAsia="Microsoft YaHei" w:cs="Microsoft YaHei"/>
        </w:rPr>
        <w:t>它设立了一个归于兽、也象征兽的像</w:t>
      </w:r>
      <w:r>
        <w:rPr>
          <w:rFonts w:ascii="Times New Roman" w:hAnsi="Times New Roman" w:eastAsia="Times New Roman" w:cs="Times New Roman"/>
        </w:rPr>
        <w:t>.</w:t>
      </w:r>
      <w:r>
        <w:rPr>
          <w:rFonts w:ascii="Microsoft YaHei" w:hAnsi="Microsoft YaHei" w:eastAsia="Microsoft YaHei" w:cs="Microsoft YaHei"/>
        </w:rPr>
        <w:t>那两尊牛犊像是用金子铸成的</w:t>
      </w:r>
      <w:r>
        <w:rPr>
          <w:rFonts w:ascii="Times New Roman" w:hAnsi="Times New Roman" w:eastAsia="Times New Roman" w:cs="Times New Roman"/>
        </w:rPr>
        <w:t>,</w:t>
      </w:r>
      <w:r>
        <w:rPr>
          <w:rFonts w:ascii="Microsoft YaHei" w:hAnsi="Microsoft YaHei" w:eastAsia="Microsoft YaHei" w:cs="Microsoft YaHei"/>
        </w:rPr>
        <w:t>象征巴比伦</w:t>
      </w:r>
      <w:r>
        <w:rPr>
          <w:rFonts w:ascii="Times New Roman" w:hAnsi="Times New Roman" w:eastAsia="Times New Roman" w:cs="Times New Roman"/>
        </w:rPr>
        <w:t>.</w:t>
      </w:r>
      <w:r>
        <w:rPr>
          <w:rFonts w:ascii="Microsoft YaHei" w:hAnsi="Microsoft YaHei" w:eastAsia="Microsoft YaHei" w:cs="Microsoft YaHei"/>
        </w:rPr>
        <w:t>这些像是献给埃及诸神的</w:t>
      </w:r>
      <w:r>
        <w:rPr>
          <w:rFonts w:ascii="Times New Roman" w:hAnsi="Times New Roman" w:eastAsia="Times New Roman" w:cs="Times New Roman"/>
        </w:rPr>
        <w:t>;</w:t>
      </w:r>
      <w:r>
        <w:rPr>
          <w:rFonts w:ascii="Microsoft YaHei" w:hAnsi="Microsoft YaHei" w:eastAsia="Microsoft YaHei" w:cs="Microsoft YaHei"/>
        </w:rPr>
        <w:t>这些神也正如亚伦所认定的</w:t>
      </w:r>
      <w:r>
        <w:rPr>
          <w:rFonts w:ascii="Times New Roman" w:hAnsi="Times New Roman" w:eastAsia="Times New Roman" w:cs="Times New Roman"/>
        </w:rPr>
        <w:t>,</w:t>
      </w:r>
      <w:r>
        <w:rPr>
          <w:rFonts w:ascii="Microsoft YaHei" w:hAnsi="Microsoft YaHei" w:eastAsia="Microsoft YaHei" w:cs="Microsoft YaHei"/>
        </w:rPr>
        <w:t>被称为</w:t>
      </w:r>
      <w:r>
        <w:rPr>
          <w:rFonts w:ascii="Times New Roman" w:hAnsi="Times New Roman" w:eastAsia="Times New Roman" w:cs="Times New Roman"/>
        </w:rPr>
        <w:t>“</w:t>
      </w:r>
      <w:r>
        <w:rPr>
          <w:rFonts w:ascii="Microsoft YaHei" w:hAnsi="Microsoft YaHei" w:eastAsia="Microsoft YaHei" w:cs="Microsoft YaHei"/>
        </w:rPr>
        <w:t>领他们出埃及地的神</w:t>
      </w:r>
      <w:r>
        <w:rPr>
          <w:rFonts w:ascii="Times New Roman" w:hAnsi="Times New Roman" w:eastAsia="Times New Roman" w:cs="Times New Roman"/>
        </w:rPr>
        <w:t>”.</w:t>
      </w:r>
      <w:r>
        <w:rPr>
          <w:rFonts w:ascii="Microsoft YaHei" w:hAnsi="Microsoft YaHei" w:eastAsia="Microsoft YaHei" w:cs="Microsoft YaHei"/>
        </w:rPr>
        <w:t>他在两座城中筑了两座坛</w:t>
      </w:r>
      <w:r>
        <w:rPr>
          <w:rFonts w:ascii="Times New Roman" w:hAnsi="Times New Roman" w:eastAsia="Times New Roman" w:cs="Times New Roman"/>
        </w:rPr>
        <w:t>,</w:t>
      </w:r>
      <w:r>
        <w:rPr>
          <w:rFonts w:ascii="Microsoft YaHei" w:hAnsi="Microsoft YaHei" w:eastAsia="Microsoft YaHei" w:cs="Microsoft YaHei"/>
        </w:rPr>
        <w:t>二者合而观之</w:t>
      </w:r>
      <w:r>
        <w:rPr>
          <w:rFonts w:ascii="Times New Roman" w:hAnsi="Times New Roman" w:eastAsia="Times New Roman" w:cs="Times New Roman"/>
        </w:rPr>
        <w:t>,</w:t>
      </w:r>
      <w:r>
        <w:rPr>
          <w:rFonts w:ascii="Microsoft YaHei" w:hAnsi="Microsoft YaHei" w:eastAsia="Microsoft YaHei" w:cs="Microsoft YaHei"/>
        </w:rPr>
        <w:t>便代表教会（伯特利）与国家（但）的结合</w:t>
      </w:r>
      <w:r>
        <w:rPr>
          <w:rFonts w:ascii="Times New Roman" w:hAnsi="Times New Roman" w:eastAsia="Times New Roman" w:cs="Times New Roman"/>
        </w:rPr>
        <w:t>.</w:t>
      </w:r>
      <w:r>
        <w:rPr>
          <w:rFonts w:ascii="Microsoft YaHei" w:hAnsi="Microsoft YaHei" w:eastAsia="Microsoft YaHei" w:cs="Microsoft YaHei"/>
        </w:rPr>
        <w:t>这些坛乃是真坛的赝品</w:t>
      </w:r>
      <w:r>
        <w:rPr>
          <w:rFonts w:ascii="Times New Roman" w:hAnsi="Times New Roman" w:eastAsia="Times New Roman" w:cs="Times New Roman"/>
        </w:rPr>
        <w:t>;</w:t>
      </w:r>
      <w:r>
        <w:rPr>
          <w:rFonts w:ascii="Microsoft YaHei" w:hAnsi="Microsoft YaHei" w:eastAsia="Microsoft YaHei" w:cs="Microsoft YaHei"/>
        </w:rPr>
        <w:t>真坛就是基督</w:t>
      </w:r>
      <w:r>
        <w:rPr>
          <w:rFonts w:ascii="Times New Roman" w:hAnsi="Times New Roman" w:eastAsia="Times New Roman" w:cs="Times New Roman"/>
        </w:rPr>
        <w:t>,</w:t>
      </w:r>
      <w:r>
        <w:rPr>
          <w:rFonts w:ascii="Microsoft YaHei" w:hAnsi="Microsoft YaHei" w:eastAsia="Microsoft YaHei" w:cs="Microsoft YaHei"/>
        </w:rPr>
        <w:t>正如天主教自称是基督在地上的代表一样</w:t>
      </w:r>
      <w:r>
        <w:rPr>
          <w:rFonts w:ascii="Times New Roman" w:hAnsi="Times New Roman" w:eastAsia="Times New Roman" w:cs="Times New Roman"/>
        </w:rPr>
        <w:t>.</w:t>
      </w:r>
      <w:r>
        <w:rPr>
          <w:rFonts w:ascii="Microsoft YaHei" w:hAnsi="Microsoft YaHei" w:eastAsia="Microsoft YaHei" w:cs="Microsoft YaHei"/>
        </w:rPr>
        <w:t>他兴起了一个败坏了的祭司体系</w:t>
      </w:r>
      <w:r>
        <w:rPr>
          <w:rFonts w:ascii="Times New Roman" w:hAnsi="Times New Roman" w:eastAsia="Times New Roman" w:cs="Times New Roman"/>
        </w:rPr>
        <w:t>,</w:t>
      </w:r>
      <w:r>
        <w:rPr>
          <w:rFonts w:ascii="Microsoft YaHei" w:hAnsi="Microsoft YaHei" w:eastAsia="Microsoft YaHei" w:cs="Microsoft YaHei"/>
        </w:rPr>
        <w:t>正如天主教的祭司一样</w:t>
      </w:r>
      <w:r>
        <w:rPr>
          <w:rFonts w:ascii="Times New Roman" w:hAnsi="Times New Roman" w:eastAsia="Times New Roman" w:cs="Times New Roman"/>
        </w:rPr>
        <w:t>.</w:t>
      </w:r>
      <w:r>
        <w:rPr>
          <w:rFonts w:ascii="Microsoft YaHei" w:hAnsi="Microsoft YaHei" w:eastAsia="Microsoft YaHei" w:cs="Microsoft YaHei"/>
        </w:rPr>
        <w:t>他为自己的敬拜礼仪选定了一个日子</w:t>
      </w:r>
      <w:r>
        <w:rPr>
          <w:rFonts w:ascii="Times New Roman" w:hAnsi="Times New Roman" w:eastAsia="Times New Roman" w:cs="Times New Roman"/>
        </w:rPr>
        <w:t>,</w:t>
      </w:r>
      <w:r>
        <w:rPr>
          <w:rFonts w:ascii="Microsoft YaHei" w:hAnsi="Microsoft YaHei" w:eastAsia="Microsoft YaHei" w:cs="Microsoft YaHei"/>
        </w:rPr>
        <w:t>这日子特意有别于神一切真实节期的日子</w:t>
      </w:r>
      <w:r>
        <w:rPr>
          <w:rFonts w:ascii="Times New Roman" w:hAnsi="Times New Roman" w:eastAsia="Times New Roman" w:cs="Times New Roman"/>
        </w:rPr>
        <w:t>,</w:t>
      </w:r>
      <w:r>
        <w:rPr>
          <w:rFonts w:ascii="Microsoft YaHei" w:hAnsi="Microsoft YaHei" w:eastAsia="Microsoft YaHei" w:cs="Microsoft YaHei"/>
        </w:rPr>
        <w:t>因此象征着真实与虚假的敬拜之日之间的争议</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 uzinduzi wa mfumo wake wa uongo wa ibada, Mungu alimtuma nabii kutoka Yuda ili kuukemea mfumo wake bandia wa ibada.</w:t>
      </w:r>
    </w:p>
    <w:p>
      <w:pPr>
        <w:pStyle w:val="ArticleScripture"/>
        <w:jc w:val="left"/>
      </w:pPr>
      <w:r>
        <w:rPr>
          <w:rFonts w:ascii="Times New Roman" w:hAnsi="Times New Roman" w:eastAsia="Times New Roman" w:cs="Times New Roman"/>
        </w:rPr>
        <w:t>Et voici, un homme de Dieu vint de Juda à Béthel par la parole de l’Éternel; et Jéroboam se tenait auprès de l’autel pour faire fumer l’encens. Et il cria contre l’autel par la parole de l’Éternel, et dit: Autel, autel, ainsi parle l’Éternel: Voici, un enfant naîtra à la maison de David, Josias sera son nom; et sur toi il offrira les prêtres des hauts lieux qui font fumer l’encens sur toi, et des ossements d’hommes seront brûlés sur toi. Et le même jour il donna un signe, disant: C’est ici le signe dont l’Éternel a parlé: Voici, l’autel se fendra, et la cendre qui est dessus sera répandue. 1 Rois 13:1–3.</w:t>
      </w:r>
    </w:p>
    <w:p>
      <w:pPr>
        <w:pStyle w:val="ArticleBody"/>
        <w:jc w:val="left"/>
      </w:pPr>
      <w:r>
        <w:rPr>
          <w:rFonts w:ascii="Times New Roman" w:hAnsi="Times New Roman" w:eastAsia="Times New Roman" w:cs="Times New Roman"/>
        </w:rPr>
        <w:t>La prophète venu de Juda proclama une prophétie triple annonçant la naissance future du roi Josias. Il prédit que Josias ferait périr les prêtres impies qui officiaient à l’autel contrefait et que Josias brûlerait aussi des ossements humains sur cet autel même. Il donna également à Jéroboam un signe, indiquant que l’autel de Jéroboam serait fendu et que les cendres s’en répandraient. Toutes ces choses s’accomplirent selon la parole de l’Éternel, mais lorsque Jéroboam entendit la proclamation du prophète, il fut saisi de colère et chercha à agir contre le prophète; toutefois, Dieu était souverain.</w:t>
      </w:r>
    </w:p>
    <w:p>
      <w:pPr>
        <w:pStyle w:val="ArticleScripture"/>
        <w:jc w:val="left"/>
      </w:pP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यारोबाम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बेतेल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पुकारकर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बढ़ाकर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पकड़</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बढ़ाया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सूख</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खींच</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फट</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बिखर</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1 </w:t>
      </w:r>
      <w:r>
        <w:rPr>
          <w:rFonts w:ascii="Nirmala UI" w:hAnsi="Nirmala UI" w:eastAsia="Nirmala UI" w:cs="Nirmala UI"/>
        </w:rPr>
        <w:t>राजा</w:t>
      </w:r>
      <w:r>
        <w:rPr>
          <w:rFonts w:ascii="Times New Roman" w:hAnsi="Times New Roman" w:eastAsia="Times New Roman" w:cs="Times New Roman"/>
        </w:rPr>
        <w:t xml:space="preserve"> 13:4, 5</w:t>
      </w:r>
      <w:r>
        <w:rPr>
          <w:rFonts w:ascii="Nirmala UI" w:hAnsi="Nirmala UI" w:eastAsia="Nirmala UI" w:cs="Nirmala UI"/>
        </w:rPr>
        <w:t>॥</w:t>
      </w:r>
    </w:p>
    <w:p>
      <w:pPr>
        <w:pStyle w:val="ArticleBody"/>
        <w:jc w:val="left"/>
      </w:pPr>
      <w:r>
        <w:rPr>
          <w:rFonts w:ascii="Times New Roman" w:hAnsi="Times New Roman" w:eastAsia="Times New Roman" w:cs="Times New Roman"/>
        </w:rPr>
        <w:t>Il segno si adempì immediatamente, e la mano di Geroboamo rimase paralizzata.</w:t>
      </w:r>
    </w:p>
    <w:p>
      <w:pPr>
        <w:pStyle w:val="ArticleScripture"/>
        <w:jc w:val="left"/>
      </w:pPr>
      <w:r>
        <w:rPr>
          <w:rFonts w:ascii="Times New Roman" w:hAnsi="Times New Roman" w:eastAsia="Times New Roman" w:cs="Times New Roman"/>
        </w:rPr>
        <w:t>Et le roi répondit et dit à l’homme de Dieu : Implore maintenant la face de l’Éternel, ton Dieu, et prie pour moi, afin que ma main me soit rendue. Et l’homme de Dieu implora l’Éternel, et la main du roi lui fut rendue, et devint comme auparavant. Et le roi dit à l’homme de Dieu : Viens avec moi à la maison, et prends quelque nourriture, et je te donnerai une récompense. Et l’homme de Dieu dit au roi : Quand tu me donnerais la moitié de ta maison, je n’entrerais pas avec toi, et je ne mangerais point de pain, ni ne boirais d’eau en ce lieu ; car ainsi m’a-t-il été ordonné par la parole de l’Éternel, disant : Tu ne mangeras point de pain, tu ne boiras point d’eau, et tu ne t’en retourneras point par le même chemin par lequel tu es venu. Ainsi il s’en alla par un autre chemin, et ne retourna point par le chemin par lequel il était venu à Béthel. 1 Rois 13:6–10.</w:t>
      </w:r>
    </w:p>
    <w:p>
      <w:pPr>
        <w:pStyle w:val="ArticleBody"/>
        <w:jc w:val="left"/>
      </w:pPr>
      <w:r>
        <w:rPr>
          <w:rFonts w:ascii="Times New Roman" w:hAnsi="Times New Roman" w:eastAsia="Times New Roman" w:cs="Times New Roman"/>
        </w:rPr>
        <w:t>Jesús siempre ilustra el fin de una cosa con el comienzo de una cosa, y el comienzo de los reinos del norte y del sur del antiguo Israel literal termina en la historia en la que los dos palos son unidos en un solo palo, representando a la nación del Israel espiritual moderno.</w:t>
      </w:r>
    </w:p>
    <w:p>
      <w:pPr>
        <w:pStyle w:val="ArticleBody"/>
        <w:jc w:val="left"/>
      </w:pPr>
      <w:r>
        <w:rPr>
          <w:rFonts w:ascii="Times New Roman" w:hAnsi="Times New Roman" w:eastAsia="Times New Roman" w:cs="Times New Roman"/>
        </w:rPr>
        <w:t>Dans l’histoire où les deux bâtons furent réunis, un processus d’épreuve en trois étapes fut amorcé au temps de la fin, en 1798. Les deux bâtons (royaumes) étaient rassemblés en vue de l’effusion du Saint-Esprit lors du Cri de Minuit. Lors de la première déception, au printemps de 1844, les protestants échouèrent dans ce processus d’épreuve et devinrent les filles du catholicisme, répétant ainsi l’inauguration d’un système contrefait d’adoration, comme cela avait été préfiguré par Jéroboam.</w:t>
      </w:r>
    </w:p>
    <w:p>
      <w:pPr>
        <w:pStyle w:val="ArticleBody"/>
        <w:jc w:val="left"/>
      </w:pPr>
      <w:r>
        <w:rPr>
          <w:rFonts w:ascii="Times New Roman" w:hAnsi="Times New Roman" w:eastAsia="Times New Roman" w:cs="Times New Roman"/>
        </w:rPr>
        <w:t>Tawm Sawv Cev Protestant yog ib txoj hauj lwm uas Vajtswv tau ua kom coj pawg ntseeg uas nyob hauv tebchaws moj sab qhua tawm hauv tej kev ntseeg dab qhuas, tej kevcai ib txwm, thiab tej kab ke ntawm lub Koom Txoos Loos. Txij lub sijhawm Martin Luther los, muaj qhov tseeb raug nthuav tawm ntau zuj zus, qhia kom pom tias tus niam ntiav ntawm Thailaub tsis yog dabtsi tshaj li ib txheej txheem pe hawm neeg txawv tebchaws uas raug npog nrog ib daim ntawv lees hais cuav tias yog kev ntseeg Yexus Khetos. Tus Tswv lub homphiaj yog kom coj Nws haivneeg uas raug txhom dim tawm hauv qhov tsaus ntuj, ib yam li Nws tau ua thaum Nws haivneeg ua qhev nyob hauv Iyi tebchaws. Nws tau cawm lawv dim ntawm txoj kev qhev hauv Iyi tebchaws kom muab Nws txoj kevcai rau lawv. Cov Protestant qhov tsis kam mus raws qhov kaj uas nce zuj zus ntawm txoj kev paub uas raug qhib lub cim rau xyoo 1798, thiaj txwv tsis pub lawv paub txog txoj kevcai thiab txoj hauj lwm tseeb ntawm Khetos hauv lub chaw dawb huv xyoo 1844.</w:t>
      </w:r>
    </w:p>
    <w:p>
      <w:pPr>
        <w:pStyle w:val="ArticleBody"/>
        <w:jc w:val="left"/>
      </w:pPr>
      <w:r>
        <w:rPr>
          <w:rFonts w:ascii="Times New Roman" w:hAnsi="Times New Roman" w:eastAsia="Times New Roman" w:cs="Times New Roman"/>
        </w:rPr>
        <w:t>La loro reiezione del messaggio dell’ora del giudizio rappresentò il loro divenire figlie della chiesa romana, ed essi allora innalzarono un falso sistema di adorazione identificato nelle Scritture come il falso profeta (il Protestantesimo apostata). I fedeli Milleriti che entrarono nel santuario per fede il 22 ottobre 1844 ricevettero la luce del terzo angelo e presentarono un rimprovero al falso sistema di adorazione che professa di essere protestante, pur attenendosi alla tradizione primaria del paganesimo, vale a dire l’adorazione del sole. Il profeta di Giuda prefigurava l’Avventismo Millerita nel riconoscere e presentare il messaggio del terzo angelo che giunse il 22 ottobre 1844.</w:t>
      </w:r>
    </w:p>
    <w:p>
      <w:pPr>
        <w:pStyle w:val="ArticleBody"/>
        <w:jc w:val="left"/>
      </w:pPr>
      <w:r>
        <w:rPr>
          <w:rFonts w:ascii="Times New Roman" w:hAnsi="Times New Roman" w:eastAsia="Times New Roman" w:cs="Times New Roman"/>
        </w:rPr>
        <w:t>Lorsque le prophète fut confronté à la demande de Jéroboam de venir dans sa maison et de s’y restaurer, il exposa les instructions précises que le Seigneur lui avait données. Ce commandement fut également adressé à l’adventisme millérite. L’ordre était de ne pas retourner par le chemin par lequel ils étaient venus, et l’adventisme millérite était sorti des confessions protestantes. Ils s’étaient séparés des protestants lors de la première déception, au printemps de 1844, et Jérémie fournit un exemple des directives identiques qui avaient été données au prophète de Juda.</w:t>
      </w:r>
    </w:p>
    <w:p>
      <w:pPr>
        <w:pStyle w:val="ArticleScripture"/>
        <w:jc w:val="left"/>
      </w:pPr>
      <w:r>
        <w:rPr>
          <w:rFonts w:ascii="Times New Roman" w:hAnsi="Times New Roman" w:eastAsia="Times New Roman" w:cs="Times New Roman"/>
        </w:rPr>
        <w:t>“Maneno yako yalipatikana, nami nikayala; na neno lako likawa kwangu furaha na shangwe ya moyo wangu; kwa maana nimeitwa kwa jina lako, Ee Bwana, Mungu wa majeshi. Sikuketi katika kusanyiko la wenye mzaha, wala sikufurahi; niliketi peke yangu kwa sababu ya mkono wako; kwa maana umenijaza ghadhabu. Mbona maumivu yangu ni ya daima, na jeraha langu haliponyeki, linalokataa kuponywa? Je! wewe utakuwa kwangu kabisa kama mwongo, na kama maji yapoteayo? Kwa hiyo BWANA asema hivi, Ukirudi, ndipo nitakurudisha tena, nawe utasimama mbele zangu; na ukitenga kilicho cha thamani na kilicho kibaya, utakuwa kama kinywa changu; wao na wakurudie wewe, lakini usiwarudie wao. Nami nitakufanya kwa watu hawa kuwa ukuta wa boma wa shaba; nao watapigana nawe, lakini hawatakushinda; kwa maana mimi ni pamoja nawe kukuokoa na kukuponya, asema BWANA. Nami nitakuokoa na mkono wa waovu, nami nitakukomboa na mkono wa watu wa kutisha.” Yeremia 15:16–21.</w:t>
      </w:r>
    </w:p>
    <w:p>
      <w:pPr>
        <w:pStyle w:val="ArticleBody"/>
        <w:jc w:val="left"/>
      </w:pPr>
      <w:r>
        <w:rPr>
          <w:rFonts w:ascii="Microsoft YaHei" w:hAnsi="Microsoft YaHei" w:eastAsia="Microsoft YaHei" w:cs="Microsoft YaHei"/>
        </w:rPr>
        <w:t>在第二样灾祸之时间预言应验之际</w:t>
      </w:r>
      <w:r>
        <w:rPr>
          <w:rFonts w:ascii="Times New Roman" w:hAnsi="Times New Roman" w:eastAsia="Times New Roman" w:cs="Times New Roman"/>
        </w:rPr>
        <w:t>,</w:t>
      </w:r>
      <w:r>
        <w:rPr>
          <w:rFonts w:ascii="Microsoft YaHei" w:hAnsi="Microsoft YaHei" w:eastAsia="Microsoft YaHei" w:cs="Microsoft YaHei"/>
        </w:rPr>
        <w:t>即</w:t>
      </w:r>
      <w:r>
        <w:rPr>
          <w:rFonts w:ascii="Times New Roman" w:hAnsi="Times New Roman" w:eastAsia="Times New Roman" w:cs="Times New Roman"/>
        </w:rPr>
        <w:t>1840</w:t>
      </w:r>
      <w:r>
        <w:rPr>
          <w:rFonts w:ascii="Microsoft YaHei" w:hAnsi="Microsoft YaHei" w:eastAsia="Microsoft YaHei" w:cs="Microsoft YaHei"/>
        </w:rPr>
        <w:t>年</w:t>
      </w:r>
      <w:r>
        <w:rPr>
          <w:rFonts w:ascii="Times New Roman" w:hAnsi="Times New Roman" w:eastAsia="Times New Roman" w:cs="Times New Roman"/>
        </w:rPr>
        <w:t>8</w:t>
      </w:r>
      <w:r>
        <w:rPr>
          <w:rFonts w:ascii="Microsoft YaHei" w:hAnsi="Microsoft YaHei" w:eastAsia="Microsoft YaHei" w:cs="Microsoft YaHei"/>
        </w:rPr>
        <w:t>月</w:t>
      </w:r>
      <w:r>
        <w:rPr>
          <w:rFonts w:ascii="Times New Roman" w:hAnsi="Times New Roman" w:eastAsia="Times New Roman" w:cs="Times New Roman"/>
        </w:rPr>
        <w:t>11</w:t>
      </w:r>
      <w:r>
        <w:rPr>
          <w:rFonts w:ascii="Microsoft YaHei" w:hAnsi="Microsoft YaHei" w:eastAsia="Microsoft YaHei" w:cs="Microsoft YaHei"/>
        </w:rPr>
        <w:t>日</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w:t>
      </w:r>
      <w:r>
        <w:rPr>
          <w:rFonts w:ascii="Microsoft YaHei" w:hAnsi="Microsoft YaHei" w:eastAsia="Microsoft YaHei" w:cs="Microsoft YaHei"/>
        </w:rPr>
        <w:t>第十章中的大力天使降下</w:t>
      </w:r>
      <w:r>
        <w:rPr>
          <w:rFonts w:ascii="Times New Roman" w:hAnsi="Times New Roman" w:eastAsia="Times New Roman" w:cs="Times New Roman"/>
        </w:rPr>
        <w:t>,</w:t>
      </w:r>
      <w:r>
        <w:rPr>
          <w:rFonts w:ascii="Microsoft YaHei" w:hAnsi="Microsoft YaHei" w:eastAsia="Microsoft YaHei" w:cs="Microsoft YaHei"/>
        </w:rPr>
        <w:t>手里拿着一卷展开的小书</w:t>
      </w:r>
      <w:r>
        <w:rPr>
          <w:rFonts w:ascii="Times New Roman" w:hAnsi="Times New Roman" w:eastAsia="Times New Roman" w:cs="Times New Roman"/>
        </w:rPr>
        <w:t>;</w:t>
      </w:r>
      <w:r>
        <w:rPr>
          <w:rFonts w:ascii="Microsoft YaHei" w:hAnsi="Microsoft YaHei" w:eastAsia="Microsoft YaHei" w:cs="Microsoft YaHei"/>
        </w:rPr>
        <w:t>约翰奉命前去</w:t>
      </w:r>
      <w:r>
        <w:rPr>
          <w:rFonts w:ascii="Times New Roman" w:hAnsi="Times New Roman" w:eastAsia="Times New Roman" w:cs="Times New Roman"/>
        </w:rPr>
        <w:t>,</w:t>
      </w:r>
      <w:r>
        <w:rPr>
          <w:rFonts w:ascii="Microsoft YaHei" w:hAnsi="Microsoft YaHei" w:eastAsia="Microsoft YaHei" w:cs="Microsoft YaHei"/>
        </w:rPr>
        <w:t>把那书拿过来吃了</w:t>
      </w:r>
      <w:r>
        <w:rPr>
          <w:rFonts w:ascii="Times New Roman" w:hAnsi="Times New Roman" w:eastAsia="Times New Roman" w:cs="Times New Roman"/>
        </w:rPr>
        <w:t>.</w:t>
      </w:r>
      <w:r>
        <w:rPr>
          <w:rFonts w:ascii="Microsoft YaHei" w:hAnsi="Microsoft YaHei" w:eastAsia="Microsoft YaHei" w:cs="Microsoft YaHei"/>
        </w:rPr>
        <w:t>耶利米预表了历史上在那一时刻吃了这小书的人</w:t>
      </w:r>
      <w:r>
        <w:rPr>
          <w:rFonts w:ascii="Times New Roman" w:hAnsi="Times New Roman" w:eastAsia="Times New Roman" w:cs="Times New Roman"/>
        </w:rPr>
        <w:t>;</w:t>
      </w:r>
      <w:r>
        <w:rPr>
          <w:rFonts w:ascii="Microsoft YaHei" w:hAnsi="Microsoft YaHei" w:eastAsia="Microsoft YaHei" w:cs="Microsoft YaHei"/>
        </w:rPr>
        <w:t>那些话语甘甜如蜜</w:t>
      </w:r>
      <w:r>
        <w:rPr>
          <w:rFonts w:ascii="Times New Roman" w:hAnsi="Times New Roman" w:eastAsia="Times New Roman" w:cs="Times New Roman"/>
        </w:rPr>
        <w:t>,</w:t>
      </w:r>
      <w:r>
        <w:rPr>
          <w:rFonts w:ascii="Microsoft YaHei" w:hAnsi="Microsoft YaHei" w:eastAsia="Microsoft YaHei" w:cs="Microsoft YaHei"/>
        </w:rPr>
        <w:t>因为那是他</w:t>
      </w:r>
      <w:r>
        <w:rPr>
          <w:rFonts w:ascii="Times New Roman" w:hAnsi="Times New Roman" w:eastAsia="Times New Roman" w:cs="Times New Roman"/>
        </w:rPr>
        <w:t>“</w:t>
      </w:r>
      <w:r>
        <w:rPr>
          <w:rFonts w:ascii="Microsoft YaHei" w:hAnsi="Microsoft YaHei" w:eastAsia="Microsoft YaHei" w:cs="Microsoft YaHei"/>
        </w:rPr>
        <w:t>心中的欢喜快乐</w:t>
      </w:r>
      <w:r>
        <w:rPr>
          <w:rFonts w:ascii="Times New Roman" w:hAnsi="Times New Roman" w:eastAsia="Times New Roman" w:cs="Times New Roman"/>
        </w:rPr>
        <w:t>”.</w:t>
      </w:r>
      <w:r>
        <w:rPr>
          <w:rFonts w:ascii="Microsoft YaHei" w:hAnsi="Microsoft YaHei" w:eastAsia="Microsoft YaHei" w:cs="Microsoft YaHei"/>
        </w:rPr>
        <w:t>但因着上帝的</w:t>
      </w:r>
      <w:r>
        <w:rPr>
          <w:rFonts w:ascii="Times New Roman" w:hAnsi="Times New Roman" w:eastAsia="Times New Roman" w:cs="Times New Roman"/>
        </w:rPr>
        <w:t>“</w:t>
      </w:r>
      <w:r>
        <w:rPr>
          <w:rFonts w:ascii="Microsoft YaHei" w:hAnsi="Microsoft YaHei" w:eastAsia="Microsoft YaHei" w:cs="Microsoft YaHei"/>
        </w:rPr>
        <w:t>手</w:t>
      </w:r>
      <w:r>
        <w:rPr>
          <w:rFonts w:ascii="Times New Roman" w:hAnsi="Times New Roman" w:eastAsia="Times New Roman" w:cs="Times New Roman"/>
        </w:rPr>
        <w:t>”,</w:t>
      </w:r>
      <w:r>
        <w:rPr>
          <w:rFonts w:ascii="Microsoft YaHei" w:hAnsi="Microsoft YaHei" w:eastAsia="Microsoft YaHei" w:cs="Microsoft YaHei"/>
        </w:rPr>
        <w:t>耶利米</w:t>
      </w:r>
      <w:r>
        <w:rPr>
          <w:rFonts w:ascii="Times New Roman" w:hAnsi="Times New Roman" w:eastAsia="Times New Roman" w:cs="Times New Roman"/>
        </w:rPr>
        <w:t>“</w:t>
      </w:r>
      <w:r>
        <w:rPr>
          <w:rFonts w:ascii="Microsoft YaHei" w:hAnsi="Microsoft YaHei" w:eastAsia="Microsoft YaHei" w:cs="Microsoft YaHei"/>
        </w:rPr>
        <w:t>满了</w:t>
      </w:r>
      <w:r>
        <w:rPr>
          <w:rFonts w:ascii="Times New Roman" w:hAnsi="Times New Roman" w:eastAsia="Times New Roman" w:cs="Times New Roman"/>
        </w:rPr>
        <w:t>”</w:t>
      </w:r>
      <w:r>
        <w:rPr>
          <w:rFonts w:ascii="Microsoft YaHei" w:hAnsi="Microsoft YaHei" w:eastAsia="Microsoft YaHei" w:cs="Microsoft YaHei"/>
        </w:rPr>
        <w:t>愤恨</w:t>
      </w:r>
      <w:r>
        <w:rPr>
          <w:rFonts w:ascii="Times New Roman" w:hAnsi="Times New Roman" w:eastAsia="Times New Roman" w:cs="Times New Roman"/>
        </w:rPr>
        <w:t>,</w:t>
      </w:r>
      <w:r>
        <w:rPr>
          <w:rFonts w:ascii="Microsoft YaHei" w:hAnsi="Microsoft YaHei" w:eastAsia="Microsoft YaHei" w:cs="Microsoft YaHei"/>
        </w:rPr>
        <w:t>受了</w:t>
      </w:r>
      <w:r>
        <w:rPr>
          <w:rFonts w:ascii="Times New Roman" w:hAnsi="Times New Roman" w:eastAsia="Times New Roman" w:cs="Times New Roman"/>
        </w:rPr>
        <w:t>“</w:t>
      </w:r>
      <w:r>
        <w:rPr>
          <w:rFonts w:ascii="Microsoft YaHei" w:hAnsi="Microsoft YaHei" w:eastAsia="Microsoft YaHei" w:cs="Microsoft YaHei"/>
        </w:rPr>
        <w:t>创伤</w:t>
      </w:r>
      <w:r>
        <w:rPr>
          <w:rFonts w:ascii="Times New Roman" w:hAnsi="Times New Roman" w:eastAsia="Times New Roman" w:cs="Times New Roman"/>
        </w:rPr>
        <w:t>”,</w:t>
      </w:r>
      <w:r>
        <w:rPr>
          <w:rFonts w:ascii="Microsoft YaHei" w:hAnsi="Microsoft YaHei" w:eastAsia="Microsoft YaHei" w:cs="Microsoft YaHei"/>
        </w:rPr>
        <w:t>并陷于</w:t>
      </w:r>
      <w:r>
        <w:rPr>
          <w:rFonts w:ascii="Times New Roman" w:hAnsi="Times New Roman" w:eastAsia="Times New Roman" w:cs="Times New Roman"/>
        </w:rPr>
        <w:t>“</w:t>
      </w:r>
      <w:r>
        <w:rPr>
          <w:rFonts w:ascii="Microsoft YaHei" w:hAnsi="Microsoft YaHei" w:eastAsia="Microsoft YaHei" w:cs="Microsoft YaHei"/>
        </w:rPr>
        <w:t>长久的疼痛</w:t>
      </w:r>
      <w:r>
        <w:rPr>
          <w:rFonts w:ascii="Times New Roman" w:hAnsi="Times New Roman" w:eastAsia="Times New Roman" w:cs="Times New Roman"/>
        </w:rPr>
        <w:t>”</w:t>
      </w:r>
      <w:r>
        <w:rPr>
          <w:rFonts w:ascii="Microsoft YaHei" w:hAnsi="Microsoft YaHei" w:eastAsia="Microsoft YaHei" w:cs="Microsoft YaHei"/>
        </w:rPr>
        <w:t>之中</w:t>
      </w:r>
      <w:r>
        <w:rPr>
          <w:rFonts w:ascii="Times New Roman" w:hAnsi="Times New Roman" w:eastAsia="Times New Roman" w:cs="Times New Roman"/>
        </w:rPr>
        <w:t>.</w:t>
      </w:r>
      <w:r>
        <w:rPr>
          <w:rFonts w:ascii="Microsoft YaHei" w:hAnsi="Microsoft YaHei" w:eastAsia="Microsoft YaHei" w:cs="Microsoft YaHei"/>
        </w:rPr>
        <w:t>因着上帝的</w:t>
      </w:r>
      <w:r>
        <w:rPr>
          <w:rFonts w:ascii="Times New Roman" w:hAnsi="Times New Roman" w:eastAsia="Times New Roman" w:cs="Times New Roman"/>
        </w:rPr>
        <w:t>“</w:t>
      </w:r>
      <w:r>
        <w:rPr>
          <w:rFonts w:ascii="Microsoft YaHei" w:hAnsi="Microsoft YaHei" w:eastAsia="Microsoft YaHei" w:cs="Microsoft YaHei"/>
        </w:rPr>
        <w:t>手</w:t>
      </w:r>
      <w:r>
        <w:rPr>
          <w:rFonts w:ascii="Times New Roman" w:hAnsi="Times New Roman" w:eastAsia="Times New Roman" w:cs="Times New Roman"/>
        </w:rPr>
        <w:t>”,</w:t>
      </w:r>
      <w:r>
        <w:rPr>
          <w:rFonts w:ascii="Microsoft YaHei" w:hAnsi="Microsoft YaHei" w:eastAsia="Microsoft YaHei" w:cs="Microsoft YaHei"/>
        </w:rPr>
        <w:t>耶利米竟说上帝于他</w:t>
      </w:r>
      <w:r>
        <w:rPr>
          <w:rFonts w:ascii="Times New Roman" w:hAnsi="Times New Roman" w:eastAsia="Times New Roman" w:cs="Times New Roman"/>
        </w:rPr>
        <w:t>“</w:t>
      </w:r>
      <w:r>
        <w:rPr>
          <w:rFonts w:ascii="Microsoft YaHei" w:hAnsi="Microsoft YaHei" w:eastAsia="Microsoft YaHei" w:cs="Microsoft YaHei"/>
        </w:rPr>
        <w:t>如同诡诈的</w:t>
      </w:r>
      <w:r>
        <w:rPr>
          <w:rFonts w:ascii="Times New Roman" w:hAnsi="Times New Roman" w:eastAsia="Times New Roman" w:cs="Times New Roman"/>
        </w:rPr>
        <w:t>”,</w:t>
      </w:r>
      <w:r>
        <w:rPr>
          <w:rFonts w:ascii="Microsoft YaHei" w:hAnsi="Microsoft YaHei" w:eastAsia="Microsoft YaHei" w:cs="Microsoft YaHei"/>
        </w:rPr>
        <w:t>又如</w:t>
      </w:r>
      <w:r>
        <w:rPr>
          <w:rFonts w:ascii="Times New Roman" w:hAnsi="Times New Roman" w:eastAsia="Times New Roman" w:cs="Times New Roman"/>
        </w:rPr>
        <w:t>“</w:t>
      </w:r>
      <w:r>
        <w:rPr>
          <w:rFonts w:ascii="Microsoft YaHei" w:hAnsi="Microsoft YaHei" w:eastAsia="Microsoft YaHei" w:cs="Microsoft YaHei"/>
        </w:rPr>
        <w:t>无定的水</w:t>
      </w:r>
      <w:r>
        <w:rPr>
          <w:rFonts w:ascii="Times New Roman" w:hAnsi="Times New Roman" w:eastAsia="Times New Roman" w:cs="Times New Roman"/>
        </w:rPr>
        <w:t>”.</w:t>
      </w:r>
      <w:r>
        <w:rPr>
          <w:rFonts w:ascii="Microsoft YaHei" w:hAnsi="Microsoft YaHei" w:eastAsia="Microsoft YaHei" w:cs="Microsoft YaHei"/>
        </w:rPr>
        <w:t>主曾把祂的</w:t>
      </w:r>
      <w:r>
        <w:rPr>
          <w:rFonts w:ascii="Times New Roman" w:hAnsi="Times New Roman" w:eastAsia="Times New Roman" w:cs="Times New Roman"/>
        </w:rPr>
        <w:t>“</w:t>
      </w:r>
      <w:r>
        <w:rPr>
          <w:rFonts w:ascii="Microsoft YaHei" w:hAnsi="Microsoft YaHei" w:eastAsia="Microsoft YaHei" w:cs="Microsoft YaHei"/>
        </w:rPr>
        <w:t>手</w:t>
      </w:r>
      <w:r>
        <w:rPr>
          <w:rFonts w:ascii="Times New Roman" w:hAnsi="Times New Roman" w:eastAsia="Times New Roman" w:cs="Times New Roman"/>
        </w:rPr>
        <w:t>”</w:t>
      </w:r>
      <w:r>
        <w:rPr>
          <w:rFonts w:ascii="Microsoft YaHei" w:hAnsi="Microsoft YaHei" w:eastAsia="Microsoft YaHei" w:cs="Microsoft YaHei"/>
        </w:rPr>
        <w:t>遮掩在</w:t>
      </w:r>
      <w:r>
        <w:rPr>
          <w:rFonts w:ascii="Times New Roman" w:hAnsi="Times New Roman" w:eastAsia="Times New Roman" w:cs="Times New Roman"/>
        </w:rPr>
        <w:t>1843</w:t>
      </w:r>
      <w:r>
        <w:rPr>
          <w:rFonts w:ascii="Microsoft YaHei" w:hAnsi="Microsoft YaHei" w:eastAsia="Microsoft YaHei" w:cs="Microsoft YaHei"/>
        </w:rPr>
        <w:t>年图表中某些数字上的一个错误之上</w:t>
      </w:r>
      <w:r>
        <w:rPr>
          <w:rFonts w:ascii="Times New Roman" w:hAnsi="Times New Roman" w:eastAsia="Times New Roman" w:cs="Times New Roman"/>
        </w:rPr>
        <w:t>.</w:t>
      </w:r>
    </w:p>
    <w:p>
      <w:pPr>
        <w:pStyle w:val="ArticleBody"/>
        <w:jc w:val="left"/>
      </w:pPr>
      <w:r>
        <w:rPr>
          <w:rFonts w:ascii="Nirmala UI" w:hAnsi="Nirmala UI" w:eastAsia="Nirmala UI" w:cs="Nirmala UI"/>
        </w:rPr>
        <w:t>यर्मयाह</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विलम्बित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यर्मयाह</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प्रतीत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निष्फल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अभी</w:t>
      </w:r>
      <w:r>
        <w:rPr>
          <w:rFonts w:ascii="Times New Roman" w:hAnsi="Times New Roman" w:eastAsia="Times New Roman" w:cs="Times New Roman"/>
        </w:rPr>
        <w:t xml:space="preserve"> </w:t>
      </w:r>
      <w:r>
        <w:rPr>
          <w:rFonts w:ascii="Nirmala UI" w:hAnsi="Nirmala UI" w:eastAsia="Nirmala UI" w:cs="Nirmala UI"/>
        </w:rPr>
        <w:t>नियत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बोलेगा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ठहरेगा</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इसमें</w:t>
      </w:r>
      <w:r>
        <w:rPr>
          <w:rFonts w:ascii="Times New Roman" w:hAnsi="Times New Roman" w:eastAsia="Times New Roman" w:cs="Times New Roman"/>
        </w:rPr>
        <w:t xml:space="preserve"> </w:t>
      </w:r>
      <w:r>
        <w:rPr>
          <w:rFonts w:ascii="Nirmala UI" w:hAnsi="Nirmala UI" w:eastAsia="Nirmala UI" w:cs="Nirmala UI"/>
        </w:rPr>
        <w:t>विलम्ब</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जोहते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अवश्य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उसमें</w:t>
      </w:r>
      <w:r>
        <w:rPr>
          <w:rFonts w:ascii="Times New Roman" w:hAnsi="Times New Roman" w:eastAsia="Times New Roman" w:cs="Times New Roman"/>
        </w:rPr>
        <w:t xml:space="preserve"> </w:t>
      </w:r>
      <w:r>
        <w:rPr>
          <w:rFonts w:ascii="Nirmala UI" w:hAnsi="Nirmala UI" w:eastAsia="Nirmala UI" w:cs="Nirmala UI"/>
        </w:rPr>
        <w:t>विलम्ब</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यर्मयाह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सोचा</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असत्य</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निष्फल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विलम्बित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Entao Deus instruiu Jeremias que, “se tu te converteres, entao eu te farei tornar, e estaras diante de mim; e, se separares o precioso do vil, seras como a minha boca; tornem eles a ti, mas tu nao tornes a eles.” Apos o desapontamento, Jeremias, representando o povo de Deus que deve retornar ao servico do Senhor e sacudir o desanimo que havia sido produzido quando pareceu que a mensagem havia falhado. Se Jeremias cumprisse as condicoes designadas, Deus lhe permitiria ser o Seu porta-voz.</w:t>
      </w:r>
    </w:p>
    <w:p>
      <w:pPr>
        <w:pStyle w:val="ArticleBody"/>
        <w:jc w:val="left"/>
      </w:pPr>
      <w:r>
        <w:rPr>
          <w:rFonts w:ascii="Times New Roman" w:hAnsi="Times New Roman" w:eastAsia="Times New Roman" w:cs="Times New Roman"/>
        </w:rPr>
        <w:t>Lo más importante para nuestro estudio en este momento es lo que Dios dijo a Jeremías acerca de la “asamblea de burladores” que se “regocijaba” por su desengaño. Le dijo a Jeremías que los burladores podían volver a Jeremías, pero que él nunca debía volver a ellos. Jeremías representaba a aquellos que se mantuvieron en contra de los protestantes que acababan de escoger regresar al redil del catolicismo y se convirtieron en las hijas de Babilonia, los falsos profetas de Baal y Astarot. Jeremías representaba al profeta de Judá que, en el mismo punto de la línea profética, había reprendido el falso sistema de adoración de Jeroboam al comienzo del reino del norte, tipificando así la introducción de un falso sistema de adoración que era una imagen del catolicismo al final de la historia del reino del norte. El profeta dijo a Jeroboam, cuando Jeroboam se ofreció a formar una alianza, que no debía comer, ni beber, ni regresar por el camino por donde había venido.</w:t>
      </w:r>
    </w:p>
    <w:p>
      <w:pPr>
        <w:pStyle w:val="ArticleScripture"/>
        <w:jc w:val="left"/>
      </w:pP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ស្តេចមានព្រះបន្ទូលទៅកាន់បុរសរបស់ព្រះថា៖</w:t>
      </w:r>
      <w:r>
        <w:rPr>
          <w:rFonts w:ascii="Times New Roman" w:hAnsi="Times New Roman" w:eastAsia="Times New Roman" w:cs="Times New Roman"/>
        </w:rPr>
        <w:t xml:space="preserve"> «</w:t>
      </w:r>
      <w:r>
        <w:rPr>
          <w:rFonts w:ascii="Leelawadee UI" w:hAnsi="Leelawadee UI" w:eastAsia="Leelawadee UI" w:cs="Leelawadee UI"/>
        </w:rPr>
        <w:t>សូមមកផ្ទះជាមួយនឹងខ្ញុំ</w:t>
      </w:r>
      <w:r>
        <w:rPr>
          <w:rFonts w:ascii="Times New Roman" w:hAnsi="Times New Roman" w:eastAsia="Times New Roman" w:cs="Times New Roman"/>
        </w:rPr>
        <w:t xml:space="preserve"> </w:t>
      </w:r>
      <w:r>
        <w:rPr>
          <w:rFonts w:ascii="Leelawadee UI" w:hAnsi="Leelawadee UI" w:eastAsia="Leelawadee UI" w:cs="Leelawadee UI"/>
        </w:rPr>
        <w:t>ហើយសម្រាកកម្លាំងចុះ</w:t>
      </w:r>
      <w:r>
        <w:rPr>
          <w:rFonts w:ascii="Times New Roman" w:hAnsi="Times New Roman" w:eastAsia="Times New Roman" w:cs="Times New Roman"/>
        </w:rPr>
        <w:t xml:space="preserve"> </w:t>
      </w:r>
      <w:r>
        <w:rPr>
          <w:rFonts w:ascii="Leelawadee UI" w:hAnsi="Leelawadee UI" w:eastAsia="Leelawadee UI" w:cs="Leelawadee UI"/>
        </w:rPr>
        <w:t>ខ្ញុំនឹងឲ្យរង្វាន់ដល់អ្នក</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តែបុរសរបស់ព្រះបានទូលទៅស្តេចថា៖</w:t>
      </w:r>
      <w:r>
        <w:rPr>
          <w:rFonts w:ascii="Times New Roman" w:hAnsi="Times New Roman" w:eastAsia="Times New Roman" w:cs="Times New Roman"/>
        </w:rPr>
        <w:t xml:space="preserve"> «</w:t>
      </w:r>
      <w:r>
        <w:rPr>
          <w:rFonts w:ascii="Leelawadee UI" w:hAnsi="Leelawadee UI" w:eastAsia="Leelawadee UI" w:cs="Leelawadee UI"/>
        </w:rPr>
        <w:t>ទោះបីព្រះអង្គប្រទានឲ្យខ្ញុំពាក់កណ្តាលនៃរាជវាំងរបស់ព្រះអង្គក៏ដោយ</w:t>
      </w:r>
      <w:r>
        <w:rPr>
          <w:rFonts w:ascii="Times New Roman" w:hAnsi="Times New Roman" w:eastAsia="Times New Roman" w:cs="Times New Roman"/>
        </w:rPr>
        <w:t xml:space="preserve"> </w:t>
      </w:r>
      <w:r>
        <w:rPr>
          <w:rFonts w:ascii="Leelawadee UI" w:hAnsi="Leelawadee UI" w:eastAsia="Leelawadee UI" w:cs="Leelawadee UI"/>
        </w:rPr>
        <w:t>ខ្ញុំក៏មិនចូលទៅជាមួយព្រះអង្គដែរ</w:t>
      </w:r>
      <w:r>
        <w:rPr>
          <w:rFonts w:ascii="Times New Roman" w:hAnsi="Times New Roman" w:eastAsia="Times New Roman" w:cs="Times New Roman"/>
        </w:rPr>
        <w:t xml:space="preserve"> </w:t>
      </w:r>
      <w:r>
        <w:rPr>
          <w:rFonts w:ascii="Leelawadee UI" w:hAnsi="Leelawadee UI" w:eastAsia="Leelawadee UI" w:cs="Leelawadee UI"/>
        </w:rPr>
        <w:t>ហើយក៏មិនបរិភោគនំប៉័ង</w:t>
      </w:r>
      <w:r>
        <w:rPr>
          <w:rFonts w:ascii="Times New Roman" w:hAnsi="Times New Roman" w:eastAsia="Times New Roman" w:cs="Times New Roman"/>
        </w:rPr>
        <w:t xml:space="preserve"> </w:t>
      </w:r>
      <w:r>
        <w:rPr>
          <w:rFonts w:ascii="Leelawadee UI" w:hAnsi="Leelawadee UI" w:eastAsia="Leelawadee UI" w:cs="Leelawadee UI"/>
        </w:rPr>
        <w:t>ឬផឹកទឹកនៅកន្លែងនេះឡើយ។</w:t>
      </w:r>
      <w:r>
        <w:rPr>
          <w:rFonts w:ascii="Times New Roman" w:hAnsi="Times New Roman" w:eastAsia="Times New Roman" w:cs="Times New Roman"/>
        </w:rPr>
        <w:t xml:space="preserve"> </w:t>
      </w:r>
      <w:r>
        <w:rPr>
          <w:rFonts w:ascii="Leelawadee UI" w:hAnsi="Leelawadee UI" w:eastAsia="Leelawadee UI" w:cs="Leelawadee UI"/>
        </w:rPr>
        <w:t>ដ្បិត</w:t>
      </w:r>
      <w:r>
        <w:rPr>
          <w:rFonts w:ascii="Times New Roman" w:hAnsi="Times New Roman" w:eastAsia="Times New Roman" w:cs="Times New Roman"/>
        </w:rPr>
        <w:t xml:space="preserve"> </w:t>
      </w:r>
      <w:r>
        <w:rPr>
          <w:rFonts w:ascii="Leelawadee UI" w:hAnsi="Leelawadee UI" w:eastAsia="Leelawadee UI" w:cs="Leelawadee UI"/>
        </w:rPr>
        <w:t>ព្រះបន្ទូលនៃព្រះយេហូវ៉ាបានបង្គាប់ខ្ញុំដូច្នេះថា៖</w:t>
      </w:r>
      <w:r>
        <w:rPr>
          <w:rFonts w:ascii="Times New Roman" w:hAnsi="Times New Roman" w:eastAsia="Times New Roman" w:cs="Times New Roman"/>
        </w:rPr>
        <w:t xml:space="preserve"> “</w:t>
      </w:r>
      <w:r>
        <w:rPr>
          <w:rFonts w:ascii="Leelawadee UI" w:hAnsi="Leelawadee UI" w:eastAsia="Leelawadee UI" w:cs="Leelawadee UI"/>
        </w:rPr>
        <w:t>កុំបរិភោគនំប៉័ង</w:t>
      </w:r>
      <w:r>
        <w:rPr>
          <w:rFonts w:ascii="Times New Roman" w:hAnsi="Times New Roman" w:eastAsia="Times New Roman" w:cs="Times New Roman"/>
        </w:rPr>
        <w:t xml:space="preserve"> </w:t>
      </w:r>
      <w:r>
        <w:rPr>
          <w:rFonts w:ascii="Leelawadee UI" w:hAnsi="Leelawadee UI" w:eastAsia="Leelawadee UI" w:cs="Leelawadee UI"/>
        </w:rPr>
        <w:t>កុំផឹកទឹក</w:t>
      </w:r>
      <w:r>
        <w:rPr>
          <w:rFonts w:ascii="Times New Roman" w:hAnsi="Times New Roman" w:eastAsia="Times New Roman" w:cs="Times New Roman"/>
        </w:rPr>
        <w:t xml:space="preserve"> </w:t>
      </w:r>
      <w:r>
        <w:rPr>
          <w:rFonts w:ascii="Leelawadee UI" w:hAnsi="Leelawadee UI" w:eastAsia="Leelawadee UI" w:cs="Leelawadee UI"/>
        </w:rPr>
        <w:t>ហើយកុំត្រឡប់មកវិញតាមផ្លូវដដែលដែលអ្នកបានមកនោះឡើយ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១</w:t>
      </w:r>
      <w:r>
        <w:rPr>
          <w:rFonts w:ascii="Times New Roman" w:hAnsi="Times New Roman" w:eastAsia="Times New Roman" w:cs="Times New Roman"/>
        </w:rPr>
        <w:t xml:space="preserve"> </w:t>
      </w:r>
      <w:r>
        <w:rPr>
          <w:rFonts w:ascii="Leelawadee UI" w:hAnsi="Leelawadee UI" w:eastAsia="Leelawadee UI" w:cs="Leelawadee UI"/>
        </w:rPr>
        <w:t>ពង្សាវតារក្សត្រ</w:t>
      </w:r>
      <w:r>
        <w:rPr>
          <w:rFonts w:ascii="Times New Roman" w:hAnsi="Times New Roman" w:eastAsia="Times New Roman" w:cs="Times New Roman"/>
        </w:rPr>
        <w:t xml:space="preserve"> </w:t>
      </w:r>
      <w:r>
        <w:rPr>
          <w:rFonts w:ascii="Leelawadee UI" w:hAnsi="Leelawadee UI" w:eastAsia="Leelawadee UI" w:cs="Leelawadee UI"/>
        </w:rPr>
        <w:t>១៣</w:t>
      </w:r>
      <w:r>
        <w:rPr>
          <w:rFonts w:ascii="Times New Roman" w:hAnsi="Times New Roman" w:eastAsia="Times New Roman" w:cs="Times New Roman"/>
        </w:rPr>
        <w:t>:</w:t>
      </w:r>
      <w:r>
        <w:rPr>
          <w:rFonts w:ascii="Leelawadee UI" w:hAnsi="Leelawadee UI" w:eastAsia="Leelawadee UI" w:cs="Leelawadee UI"/>
        </w:rPr>
        <w:t>៧</w:t>
      </w:r>
      <w:r>
        <w:rPr>
          <w:rFonts w:ascii="Times New Roman" w:hAnsi="Times New Roman" w:eastAsia="Times New Roman" w:cs="Times New Roman"/>
        </w:rPr>
        <w:t>–</w:t>
      </w:r>
      <w:r>
        <w:rPr>
          <w:rFonts w:ascii="Leelawadee UI" w:hAnsi="Leelawadee UI" w:eastAsia="Leelawadee UI" w:cs="Leelawadee UI"/>
        </w:rPr>
        <w:t>៩</w:t>
      </w:r>
    </w:p>
    <w:p>
      <w:pPr>
        <w:pStyle w:val="ArticleBody"/>
        <w:jc w:val="left"/>
      </w:pPr>
      <w:r>
        <w:rPr>
          <w:rFonts w:ascii="Times New Roman" w:hAnsi="Times New Roman" w:eastAsia="Times New Roman" w:cs="Times New Roman"/>
        </w:rPr>
        <w:t>L’expression du prophète judéen s’accorde avec l’œuvre des faux prophètes de Baal et d’Astarté dans le récit d’Élie. Bien entendu, l’histoire des millérites est aussi l’histoire d’Élie, car Miller était Élie. Dans le récit d’Élie, les prophètes de Baal et d’Astarté exécutèrent une danse de séduction, qui fut dévoilée comme folie lorsque le feu descendit de Dieu et consuma l’offrande d’Élie, typifiant ainsi l’effusion du Saint-Esprit dans le Cri de Minuit de l’histoire millérite. La confrontation de cette histoire représentait la confrontation du second Élie, lequel était Jean-Baptiste, durant la danse de séduction exécutée par la fille d’Hérodiade (Salomé). Hérodiade était typifiée par Jézabel, et Jézabel est un symbole de l’Église catholique.</w:t>
      </w:r>
    </w:p>
    <w:p>
      <w:pPr>
        <w:pStyle w:val="ArticleBody"/>
        <w:jc w:val="left"/>
      </w:pPr>
      <w:r>
        <w:rPr>
          <w:rFonts w:ascii="Times New Roman" w:hAnsi="Times New Roman" w:eastAsia="Times New Roman" w:cs="Times New Roman"/>
        </w:rPr>
        <w:t>Wɔ 1844 mu no, Protestant asɔredan ahorow no bɛyɛɛ Salome, Herodias babea no (Yezebel). Wɔ nnaadaa no asaw mu no, na Herode ahyɛ bɔ sɛ ɔde n’ahenni fã bɛma, na ɔyɛɛ saa wɔ n’awoda mu; saa nti na ɛyɛ nneɛma a ɛkyerɛ nna a edi akyiri no, bere a ahemfo du no, wɔn a Ahab na ɔgyina hɔ ma wɔn (atifi mmusuakuw du no hene no), pene so sɛ wɔde wɔn ahenni bɛma papacy no (Yezebel). “Wode wo ahenni fã bɛma” no yɛ fekubɔ ho sɛnkyerɛnne, na odiyifo a ofi Yudea no reka kyerɛɛ Yeroboam pefee sɛ ɔrenyɛ apam da biara da ne hene a wafiri gyidi no ho no, anaa ɔremmoa ne ɔsom nhyehyɛe a wɔayɛ no atoro no.</w:t>
      </w:r>
    </w:p>
    <w:p>
      <w:pPr>
        <w:pStyle w:val="ArticleBody"/>
        <w:jc w:val="left"/>
      </w:pPr>
      <w:r>
        <w:rPr>
          <w:rFonts w:ascii="Times New Roman" w:hAnsi="Times New Roman" w:eastAsia="Times New Roman" w:cs="Times New Roman"/>
        </w:rPr>
        <w:t>Huo ndio Bwana pia alimwambia Yeremia, aliposema kwamba “kusanyiko la wenye dhihaka” (Uprotestanti ulioasi) linaweza kurudi kwa Yeremia, lakini Yeremia hapaswi kamwe kurudi kwao, wala kurudi kwa njia ile aliyokuja nayo. Lakini nabii huyo wa Yudea alifanya jambo hilo hilo kabisa, kwa maana alidanganywa na nabii wa uongo na mwongo kabla hajarudi Yudea—kabla hajamaliza kazi aliyokuwa amepewa.</w:t>
      </w:r>
    </w:p>
    <w:p>
      <w:pPr>
        <w:pStyle w:val="ArticleScripture"/>
        <w:jc w:val="left"/>
      </w:pPr>
      <w:r>
        <w:rPr>
          <w:rFonts w:ascii="Times New Roman" w:hAnsi="Times New Roman" w:eastAsia="Times New Roman" w:cs="Times New Roman"/>
        </w:rPr>
        <w:t>Bẹtẹli si ni wolii arugbo kan ngbe; awọn ọmọ rẹ̀ sì wá sọ fún un gbogbo iṣẹ́ tí ọkùnrin Ọlọrun náà ṣe ní ọjọ́ náà ní Bẹtẹli: ọ̀rọ̀ tí ó sọ fún ọba, àwọn náà sì tún sọ fún baba wọn. Baba wọn sì bi wọ́n pé, Ọ̀nà wo ni ó gbà lọ? Nítorí àwọn ọmọ rẹ̀ ti rí ọ̀nà tí ọkùnrin Ọlọrun náà, ẹni tí ó ti Júdà wá, gbà lọ. Ó sì wí fún àwọn ọmọ rẹ̀ pé, Ẹ gún kẹ́tẹ́kẹ́tẹ́ fún mi. Nítorí náà wọ́n gún kẹ́tẹ́kẹ́tẹ́ náà fún un: ó sì gun ún, Ó sì tọ ọkùnrin Ọlọrun náà lẹ́yìn, ó sì bá a níbi tí ó jókòó lábẹ́ igi oaku kan: ó sì wí fún un pé, Ṣé ìwọ ni ọkùnrin Ọlọrun tí ó ti Júdà wá? Ó sì dáhùn pé, Èmi ni. Nígbà náà ni ó wí fún un pé, Bá mi lọ sí ilé, kí o sì jẹ àkàrà. Ó sì wí pé, Èmi kò lè padà pẹ̀lú rẹ, bẹ́ẹ̀ ni n kò lè wọlé tọ̀ ọ́; bẹ́ẹ̀ ni èmi kì yóò jẹ àkàrà tàbí mu omi pẹ̀lú rẹ ní ibi yìí: nítorí a ti sọ fún mi nípa ọ̀rọ̀ Oluwa pé, Iwọ kì yóò jẹ àkàrà, bẹ́ẹ̀ ni iwọ kì yóò mu omi níbẹ̀, bẹ́ẹ̀ ni ìwọ kì yóò yí padà lọ ní ọ̀nà tí o fi wá. Ó wí fún un pé, Èmi náà jẹ́ wolii gẹ́gẹ́ bí ìwọ; angẹli kan sì bá mi sọ̀rọ̀ nípa ọ̀rọ̀ Oluwa pé, Mú un padà tọ̀ ọ́ wá sínú ilé rẹ, kí ó lè jẹ àkàrà, kí ó sì mu omi. Ṣùgbọ́n ó purọ́ fún un. Nítorí náà ó padà pẹ̀lú rẹ̀, ó sì jẹ àkàrà ní ilé rẹ̀, ó sì mu omi. Ó sì ṣe, bí wọ́n ti jókòó ní tábìlì, pé ọ̀rọ̀ Oluwa tọ̀ wolii tí ó mú un padà wá; Ó sì ké sí ọkùnrin Ọlọrun tí ó ti Júdà wá, ó ní, Bayi ni Oluwa wí, Níwọ̀n bí ìwọ ti ṣàìgbọ́ràn sí ẹnu Oluwa, tí o kò sì pa àṣẹ tí Oluwa Ọlọrun rẹ pàṣẹ fún ọ mọ́, Ṣùgbọ́n tí o padà wá, tí o sì jẹ àkàrà, tí o sì mu omi ní ibi náà, èyí tí Oluwa ti sọ fún ọ pé, Má jẹ àkàrà, má sì mu omi; òkú rẹ kì yóò dé ibojì àwọn baba rẹ.</w:t>
      </w:r>
    </w:p>
    <w:p>
      <w:pPr>
        <w:pStyle w:val="ArticleScripture"/>
        <w:jc w:val="left"/>
      </w:pPr>
      <w:r>
        <w:rPr>
          <w:rFonts w:ascii="Times New Roman" w:hAnsi="Times New Roman" w:eastAsia="Times New Roman" w:cs="Times New Roman"/>
        </w:rPr>
        <w:t>اور ایسا ہوا کہ جب اُس نے روٹی کھا لی اور پی لیا، تو اُس نے اُس کے لیے، یعنی اُس نبی کے لیے جسے وہ واپس لایا تھا، گدھے پر زین کسی۔ اور جب وہ روانہ ہوا، تو راستہ میں ایک شیر اُسے ملا اور اُسے مار ڈالا؛ اور اُس کی لاش راستہ میں پڑی رہی، اور گدھا اُس کے پاس کھڑا تھا، اور شیر بھی لاش کے پاس کھڑا تھا۔ اور دیکھو، کچھ آدمی وہاں سے گزرے اور انہوں نے لاش کو راستہ میں پڑا ہوا اور شیر کو لاش کے پاس کھڑا دیکھا؛ اور وہ آ کر اُس شہر میں، جہاں وہ بوڑھا نبی رہتا تھا، یہ خبر سنانے لگے۔ اور جب اُس نبی نے، جو اُسے راستہ سے واپس لایا تھا، یہ سنا، تو اُس نے کہا، یہ وہ مردِ خدا ہے جس نے خداوند کے کلام کی نافرمانی کی؛ اِس لیے خداوند نے اُسے شیر کے حوالہ کر دیا، جس نے اُسے پھاڑ ڈالا اور مار ڈالا، خداوند کے اُس کلام کے مطابق جو اُس نے اُس سے کہا تھا۔ پھر اُس نے اپنے بیٹوں سے کہا، میرے لیے گدھے پر زین کسو۔ سو اُنہوں نے اُس کے لیے زین کسی۔ اور وہ گیا اور اُس کی لاش کو راستہ میں پڑا ہوا پایا، اور گدھا اور شیر لاش کے پاس کھڑے تھے؛ شیر نے نہ لاش کو کھایا تھا اور نہ گدھے کو پھاڑا تھا۔ تب اُس نبی نے مردِ خدا کی لاش اُٹھائی اور اُسے گدھے پر رکھ کر واپس لایا؛ اور وہ بوڑھا نبی شہر میں آیا تاکہ اُس پر ماتم کرے اور اُسے دفن کرے۔ اور اُس نے اُس کی لاش اپنی ہی قبر میں رکھی؛ اور وہ اُس پر نوحہ کرتے ہوئے کہنے لگے، ہائے، میرے بھائی! اور ایسا ہوا کہ جب اُس نے اُسے دفن کر لیا، تو اُس نے اپنے بیٹوں سے کہا، جب میں مر جاؤں، تو مجھے اُسی مقبرہ میں دفن کرنا جس میں مردِ خدا دفن ہے؛ میری ہڈیوں کو اُس کی ہڈیوں کے پاس رکھنا؛ کیونکہ جو بات اُس نے خداوند کے کلام سے بیت ایل کی قربان گاہ کے خلاف اور سامریہ کے شہروں میں موجود اونچے مقاموں کے سب گھروں کے خلاف پکار کر کہی، وہ یقیناً پوری ہو کر رہے گی۔ 1 سلاطین 13:11–32۔</w:t>
      </w:r>
    </w:p>
    <w:p>
      <w:pPr>
        <w:pStyle w:val="ArticleBody"/>
        <w:jc w:val="left"/>
      </w:pPr>
      <w:r>
        <w:rPr>
          <w:rFonts w:ascii="Times New Roman" w:hAnsi="Times New Roman" w:eastAsia="Times New Roman" w:cs="Times New Roman"/>
        </w:rPr>
        <w:t xml:space="preserve">ff </w:t>
      </w:r>
      <w:r>
        <w:rPr>
          <w:rFonts w:ascii="Nirmala UI" w:hAnsi="Nirmala UI" w:eastAsia="Nirmala UI" w:cs="Nirmala UI"/>
        </w:rPr>
        <w:t>്തനു</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പഠനം</w:t>
      </w:r>
      <w:r>
        <w:rPr>
          <w:rFonts w:ascii="Times New Roman" w:hAnsi="Times New Roman" w:eastAsia="Times New Roman" w:cs="Times New Roman"/>
        </w:rPr>
        <w:t xml:space="preserve"> </w:t>
      </w:r>
      <w:r>
        <w:rPr>
          <w:rFonts w:ascii="Nirmala UI" w:hAnsi="Nirmala UI" w:eastAsia="Nirmala UI" w:cs="Nirmala UI"/>
        </w:rPr>
        <w:t>അടുത്ത</w:t>
      </w:r>
      <w:r>
        <w:rPr>
          <w:rFonts w:ascii="Times New Roman" w:hAnsi="Times New Roman" w:eastAsia="Times New Roman" w:cs="Times New Roman"/>
        </w:rPr>
        <w:t xml:space="preserve"> </w:t>
      </w:r>
      <w:r>
        <w:rPr>
          <w:rFonts w:ascii="Nirmala UI" w:hAnsi="Nirmala UI" w:eastAsia="Nirmala UI" w:cs="Nirmala UI"/>
        </w:rPr>
        <w:t>ലേഖനത്തിൽ</w:t>
      </w:r>
      <w:r>
        <w:rPr>
          <w:rFonts w:ascii="Times New Roman" w:hAnsi="Times New Roman" w:eastAsia="Times New Roman" w:cs="Times New Roman"/>
        </w:rPr>
        <w:t xml:space="preserve"> </w:t>
      </w:r>
      <w:r>
        <w:rPr>
          <w:rFonts w:ascii="Nirmala UI" w:hAnsi="Nirmala UI" w:eastAsia="Nirmala UI" w:cs="Nirmala UI"/>
        </w:rPr>
        <w:t>തുടരും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“Wanneer de kracht van God getuigenis aflegt van wat waarheid is, dan moet die waarheid voor eeuwig als de waarheid standhouden. Geen latere veronderstellingen die ingaan tegen het licht dat God heeft gegeven, mogen worden gekoesterd. Er zullen mensen opstaan met uitleggingen van de Schrift die voor hén waarheid zijn, maar die niet de waarheid zijn. De waarheid voor deze tijd heeft God ons gegeven als een fundament voor ons geloof. Hijzelf heeft ons geleerd wat waarheid is. De een zal opstaan, en daarna weer een ander, met nieuw licht dat in tegenspraak is met het licht dat God heeft gegeven onder de betoning van Zijn Heilige Geest. Enkelen zijn nog in leven die de ervaring hebben doorgemaakt die werd verkregen bij de vestiging van deze waarheid. God heeft in Zijn genade hun leven gespaard, opdat zij de ervaring waardoor zij zijn heengegaan, blijven herhalen en herhalen tot aan het einde van hun leven, evenals de apostel Johannes deed tot vlak voor het einde van zijn leven. En de vaandeldragers die in de dood zijn gevallen, moeten spreken door het herdrukken van hun geschriften. Mij is onderwezen dat op deze wijze hun stemmen gehoord moeten worden. Zij moeten hun getuigenis afleggen over wat de waarheid voor deze tijd uitmaakt.”</w:t>
      </w:r>
    </w:p>
    <w:p>
      <w:pPr>
        <w:pStyle w:val="ArticleScripture"/>
        <w:jc w:val="left"/>
      </w:pPr>
      <w:r>
        <w:rPr>
          <w:rFonts w:ascii="Times New Roman" w:hAnsi="Times New Roman" w:eastAsia="Times New Roman" w:cs="Times New Roman"/>
        </w:rPr>
        <w:t>“Nu trebuie să primim cuvintele celor care vin cu un mesaj ce contrazice punctele deosebite ale credinței noastre. Ei adună laolaltă o mulțime de texte din Scriptură și le îngrămădesc ca dovadă în jurul teoriilor pe care le susțin. Lucrul acesta s-a făcut iar și iar în cursul ultimilor cincizeci de ani. Și, deși Scripturile sunt Cuvântul lui Dumnezeu și trebuie respectate, aplicarea lor, dacă o astfel de aplicare mută un stâlp din temelia pe care Dumnezeu a susținut-o acești cincizeci de ani, este o mare greșeală. Cel care face o astfel de aplicare nu cunoaște minunata manifestare a Duhului Sfânt care a dat putere și tărie mesajelor de odinioară ce au venit la poporul lui Dumnezeu.</w:t>
      </w:r>
    </w:p>
    <w:p>
      <w:pPr>
        <w:pStyle w:val="ArticleScripture"/>
        <w:jc w:val="left"/>
      </w:pPr>
      <w:r>
        <w:rPr>
          <w:rFonts w:ascii="Times New Roman" w:hAnsi="Times New Roman" w:eastAsia="Times New Roman" w:cs="Times New Roman"/>
        </w:rPr>
        <w:t>« Les preuves de l’Ancien G. ne sont pas dignes de confiance. Si elles étaient reçues, elles détruiraient la foi du peuple de Dieu dans la vérité qui a fait de nous ce que nous sommes. »</w:t>
      </w:r>
    </w:p>
    <w:p>
      <w:pPr>
        <w:pStyle w:val="ArticleScripture"/>
        <w:jc w:val="left"/>
      </w:pPr>
      <w:r>
        <w:rPr>
          <w:rFonts w:ascii="Times New Roman" w:hAnsi="Times New Roman" w:eastAsia="Times New Roman" w:cs="Times New Roman"/>
        </w:rPr>
        <w:t>“Vi må være faste i denne saken; for de punktene han søker å bevise ved Skriften, er ikke holdbare. De beviser ikke at Guds folks tidligere erfaring var en villfarelse. Vi hadde sannheten; vi ble ledet av Guds engler. Det var under Den Hellige Ånds veiledning at fremstillingen av helligdomsspørsmålet ble gitt. Det er visdom for enhver å tie når det gjelder de trekk ved vår tro som de ikke hadde noen del i. Gud motsier aldri seg selv. Skriftbevis blir feil anvendt når de tvinges til å vitne om det som ikke er sant. Den ene etter den andre vil stå fram og komme med angivelig stort lys og fremsette sine påstander. Men vi holder fast ved de gamle landemerkene. [1 Johannes 1:1–10 sitert.]”</w:t>
      </w:r>
    </w:p>
    <w:p>
      <w:pPr>
        <w:pStyle w:val="ArticleScripture"/>
        <w:jc w:val="left"/>
      </w:pPr>
      <w:r>
        <w:rPr>
          <w:rFonts w:ascii="Times New Roman" w:hAnsi="Times New Roman" w:eastAsia="Times New Roman" w:cs="Times New Roman"/>
        </w:rPr>
        <w:t>«Сказано мне говорить, что эти слова мы можем употребить как уместные для настоящего времени, ибо настало время, когда грех должен быть назван своим истинным именем. Мы встречаем препятствия в нашем труде из-за людей необращённых, ищущих собственной славы. Они желают, чтобы их считали создателями новых теорий, которые они выдвигают, утверждая, что это истина. Но если эти теории будут приняты, они приведут к отрицанию той истины, которую на протяжении последних пятидесяти лет Бог давал Своему народу, подтверждая её проявлением Святого Духа». Selected Messages, book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نمبر تہتر</dc:title>
  <dc:subject>Svelare i paralleli storici: l’inganno di Geroboamo e la prova di fede del movimento avventista</dc:subject>
  <dc:creator>Jeff Pippenger</dc:creator>
  <cp:keywords/>
  <dc:description>Generated by ArticleDigger from daniel\73_daniel.json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