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soixante-quatorze</w:t>
      </w:r>
    </w:p>
    <w:p>
      <w:pPr>
        <w:pStyle w:val="ArticleSubtitle"/>
        <w:jc w:val="left"/>
      </w:pPr>
      <w:r>
        <w:rPr>
          <w:rFonts w:ascii="Microsoft YaHei" w:hAnsi="Microsoft YaHei" w:eastAsia="Microsoft YaHei" w:cs="Microsoft YaHei"/>
        </w:rPr>
        <w:t>揭开先知性谜题：以西结所见的可憎之事、末日的教会</w:t>
      </w:r>
      <w:r>
        <w:rPr>
          <w:rFonts w:ascii="Arial" w:hAnsi="Arial" w:eastAsia="Arial" w:cs="Arial"/>
        </w:rPr>
        <w:t>,</w:t>
      </w:r>
      <w:r>
        <w:rPr>
          <w:rFonts w:ascii="Microsoft YaHei" w:hAnsi="Microsoft YaHei" w:eastAsia="Microsoft YaHei" w:cs="Microsoft YaHei"/>
        </w:rPr>
        <w:t>以及兽的印记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Езекиилын наймдугаар бүлэгт гардаг дөрвөн жигшүүрт зүйл нь Бурханы эцсийн өдрүүдийн Лаодикийн сүмийн удирдлагыг наранд мөргөхөд хүргэж, улмаар араатны тэмдгийг хүлээн авахад хүргэнэ. Үүний дараах бүлэг, өөрөөр хэлбэл мөнөөх л үзэгдэл доторх дараагийн хэсэг нь, Бурханы эцсийн өдрүүдийн сүм дотор Бурханы лацыг хүлээн авах хүмүүсийг дүрслэн харуулдаг. Езекиилын есдүгээр бүлэг дэх лацдалт нь Илчлэл номын долдугаар бүлэгт дүрслэгдсэн лацдалттай адил гэдгийг Систер Уайт бидэнд мэдэгддэг. Бурхан нэг үндэстнийг гурав, дөрөв дэх үе дээр нь шүүдэг бөгөөд Езекиил дахь дөрвөн жигшүүрт зүйл нь 1863 онд эхэлсэн бослогын дөрвөн үеийг илтгэнэ. Тэр үед Лаодикийн Адвентизм, эртний Израилийн эхлэлд Арван Хуулийн хоёр хавтан Бурхан ба Түүний ард түмний хоорондын гэрээний харилцааны бэлгэдэл болгон өгөгдсөнтэй адил, Бурхан ба Түүний ард түмний хоорондын гэрээний харилцааны бэлгэдэл болгон өгөгдсөн Хабаккукийн хоёр хавтангийн хуурамч хувилбарыг нэвтрүүлсэн юм.</w:t>
      </w:r>
    </w:p>
    <w:p>
      <w:pPr>
        <w:pStyle w:val="ArticleBody"/>
        <w:jc w:val="left"/>
      </w:pPr>
      <w:r>
        <w:rPr>
          <w:rFonts w:ascii="Nirmala UI" w:hAnsi="Nirmala UI" w:eastAsia="Nirmala UI" w:cs="Nirmala UI"/>
        </w:rPr>
        <w:t>হারূনের</w:t>
      </w:r>
      <w:r>
        <w:rPr>
          <w:rFonts w:ascii="Times New Roman" w:hAnsi="Times New Roman" w:eastAsia="Times New Roman" w:cs="Times New Roman"/>
        </w:rPr>
        <w:t xml:space="preserve"> </w:t>
      </w:r>
      <w:r>
        <w:rPr>
          <w:rFonts w:ascii="Nirmala UI" w:hAnsi="Nirmala UI" w:eastAsia="Nirmala UI" w:cs="Nirmala UI"/>
        </w:rPr>
        <w:t>সোনার</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w:t>
      </w:r>
      <w:r>
        <w:rPr>
          <w:rFonts w:ascii="Nirmala UI" w:hAnsi="Nirmala UI" w:eastAsia="Nirmala UI" w:cs="Nirmala UI"/>
        </w:rPr>
        <w:t>প্রতিমূর্তি</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ফলক</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হিংসার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প্রকৃত</w:t>
      </w:r>
      <w:r>
        <w:rPr>
          <w:rFonts w:ascii="Times New Roman" w:hAnsi="Times New Roman" w:eastAsia="Times New Roman" w:cs="Times New Roman"/>
        </w:rPr>
        <w:t xml:space="preserve"> </w:t>
      </w:r>
      <w:r>
        <w:rPr>
          <w:rFonts w:ascii="Nirmala UI" w:hAnsi="Nirmala UI" w:eastAsia="Nirmala UI" w:cs="Nirmala UI"/>
        </w:rPr>
        <w:t>প্রতিমূর্তিকে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হারূনের</w:t>
      </w:r>
      <w:r>
        <w:rPr>
          <w:rFonts w:ascii="Times New Roman" w:hAnsi="Times New Roman" w:eastAsia="Times New Roman" w:cs="Times New Roman"/>
        </w:rPr>
        <w:t xml:space="preserve"> </w:t>
      </w:r>
      <w:r>
        <w:rPr>
          <w:rFonts w:ascii="Nirmala UI" w:hAnsi="Nirmala UI" w:eastAsia="Nirmala UI" w:cs="Nirmala UI"/>
        </w:rPr>
        <w:t>সোনার</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w:t>
      </w:r>
      <w:r>
        <w:rPr>
          <w:rFonts w:ascii="Nirmala UI" w:hAnsi="Nirmala UI" w:eastAsia="Nirmala UI" w:cs="Nirmala UI"/>
        </w:rPr>
        <w:t>চার্টটির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ছাব্বিশের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ভাববাণীগুলিও</w:t>
      </w:r>
      <w:r>
        <w:rPr>
          <w:rFonts w:ascii="Times New Roman" w:hAnsi="Times New Roman" w:eastAsia="Times New Roman" w:cs="Times New Roman"/>
        </w:rPr>
        <w:t xml:space="preserve"> </w:t>
      </w:r>
      <w:r>
        <w:rPr>
          <w:rFonts w:ascii="Nirmala UI" w:hAnsi="Nirmala UI" w:eastAsia="Nirmala UI" w:cs="Nirmala UI"/>
        </w:rPr>
        <w:t>অপসারণ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অ্যাডভেন্টবাদ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সূচনাতেই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হিংসার</w:t>
      </w:r>
      <w:r>
        <w:rPr>
          <w:rFonts w:ascii="Times New Roman" w:hAnsi="Times New Roman" w:eastAsia="Times New Roman" w:cs="Times New Roman"/>
        </w:rPr>
        <w:t xml:space="preserve"> </w:t>
      </w:r>
      <w:r>
        <w:rPr>
          <w:rFonts w:ascii="Nirmala UI" w:hAnsi="Nirmala UI" w:eastAsia="Nirmala UI" w:cs="Nirmala UI"/>
        </w:rPr>
        <w:t>প্রতিমূর্তি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w:t>
      </w:r>
      <w:r>
        <w:rPr>
          <w:rFonts w:ascii="Nirmala UI" w:hAnsi="Nirmala UI" w:eastAsia="Nirmala UI" w:cs="Nirmala UI"/>
        </w:rPr>
        <w:t>হারূন</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w:t>
      </w:r>
      <w:r>
        <w:rPr>
          <w:rFonts w:ascii="Nirmala UI" w:hAnsi="Nirmala UI" w:eastAsia="Nirmala UI" w:cs="Nirmala UI"/>
        </w:rPr>
        <w:t>যারবিয়াম</w:t>
      </w:r>
      <w:r>
        <w:rPr>
          <w:rFonts w:ascii="Times New Roman" w:hAnsi="Times New Roman" w:eastAsia="Times New Roman" w:cs="Times New Roman"/>
        </w:rPr>
        <w:t xml:space="preserve"> </w:t>
      </w:r>
      <w:r>
        <w:rPr>
          <w:rFonts w:ascii="Nirmala UI" w:hAnsi="Nirmala UI" w:eastAsia="Nirmala UI" w:cs="Nirmala UI"/>
        </w:rPr>
        <w:t>এফ্রয়িমের</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প্রারম্ভিক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করেছিলেন।</w:t>
      </w:r>
    </w:p>
    <w:p>
      <w:pPr>
        <w:pStyle w:val="ArticleBody"/>
        <w:jc w:val="left"/>
      </w:pPr>
      <w:r>
        <w:rPr>
          <w:rFonts w:ascii="Times New Roman" w:hAnsi="Times New Roman" w:eastAsia="Times New Roman" w:cs="Times New Roman"/>
        </w:rPr>
        <w:t>Leviticus ah ɔha aduonu nsia mu “mmere ason” no ne bere ho nkɔmhyɛ a edi kan a wɔde kyerɛɛ Miller ma ɔtee ase, na ɛno nso ne nkramanmu bere ho aboɔden bo a edi kan a wɔde too nkyɛn wɔ atuatew a ɛbaa 1863 mu no mu. Afe 1863 hyɛɛ ase maa wɔkataa aboɔden bo a ɛwɔ Miller dae mu no so, na wɔde aboɔden bo ne sika a ɛyɛ atoro baeɛ. “Mmere ason” no na ɛyɛ tweatibo a adansifo no poo no. Wɔ afe 1863 mu no, ɛyɛ wɔn a na wɔayɛ adansifo a wɔresisi Millerfo asɔredan no na wɔde “mmere ason” no tweatibo no too nkyɛn; nanso nna a edi akyiri yi mu no, saa ɔbo no ayɛ ntwea no ti. Saa ɔbo no gyinaa Hena Tuntum no ananmu, na da a Awurade ayɛ no nso gyinaa no ananmu, efisɛ na ɛyɛ ahomegye homeda ma asase no ho sɛnkyerɛnne. Wɔ 1844 mu no, Millerfo Adventism kaa animtiaa Jeroboam som a ɛyɛ atoro no, na ɛtetew ne ho fii “fɛwdifo bagua” no ho, wɔn a “wɔsɛpɛwee” wɔ anidaso ahuammɔdi a edi kan no ho.</w:t>
      </w:r>
    </w:p>
    <w:p>
      <w:pPr>
        <w:pStyle w:val="ArticleBody"/>
        <w:jc w:val="left"/>
      </w:pPr>
      <w:r>
        <w:rPr>
          <w:rFonts w:ascii="Nirmala UI" w:hAnsi="Nirmala UI" w:eastAsia="Nirmala UI" w:cs="Nirmala UI"/>
        </w:rPr>
        <w:t>निर्माताओं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वापस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निर्माताओं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वापस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निर्माताओं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1840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Nirmala UI" w:hAnsi="Nirmala UI" w:eastAsia="Nirmala UI" w:cs="Nirmala UI"/>
        </w:rPr>
        <w:t>প্রতিজ্ঞাবাণীকে</w:t>
      </w:r>
      <w:r>
        <w:rPr>
          <w:rFonts w:ascii="Times New Roman" w:hAnsi="Times New Roman" w:eastAsia="Times New Roman" w:cs="Times New Roman"/>
        </w:rPr>
        <w:t xml:space="preserve"> </w:t>
      </w:r>
      <w:r>
        <w:rPr>
          <w:rFonts w:ascii="Nirmala UI" w:hAnsi="Nirmala UI" w:eastAsia="Nirmala UI" w:cs="Nirmala UI"/>
        </w:rPr>
        <w:t>খাওয়া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অধ্যয়নের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ব্যবহৃত</w:t>
      </w:r>
      <w:r>
        <w:rPr>
          <w:rFonts w:ascii="Times New Roman" w:hAnsi="Times New Roman" w:eastAsia="Times New Roman" w:cs="Times New Roman"/>
        </w:rPr>
        <w:t xml:space="preserve"> </w:t>
      </w:r>
      <w:r>
        <w:rPr>
          <w:rFonts w:ascii="Nirmala UI" w:hAnsi="Nirmala UI" w:eastAsia="Nirmala UI" w:cs="Nirmala UI"/>
        </w:rPr>
        <w:t>পদ্ধতিবিদ্যাকেই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মিলারীয়দেরকে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অধ্যয়নের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উপায়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নিয়মসমূহ</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সম্পূর্ণ</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ধর্মত্যাগী</w:t>
      </w:r>
      <w:r>
        <w:rPr>
          <w:rFonts w:ascii="Times New Roman" w:hAnsi="Times New Roman" w:eastAsia="Times New Roman" w:cs="Times New Roman"/>
        </w:rPr>
        <w:t xml:space="preserve"> </w:t>
      </w:r>
      <w:r>
        <w:rPr>
          <w:rFonts w:ascii="Nirmala UI" w:hAnsi="Nirmala UI" w:eastAsia="Nirmala UI" w:cs="Nirmala UI"/>
        </w:rPr>
        <w:t>প্রোটেস্ট্যান্টবাদ</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ক্যাথলিকবাদের</w:t>
      </w:r>
      <w:r>
        <w:rPr>
          <w:rFonts w:ascii="Times New Roman" w:hAnsi="Times New Roman" w:eastAsia="Times New Roman" w:cs="Times New Roman"/>
        </w:rPr>
        <w:t xml:space="preserve"> </w:t>
      </w:r>
      <w:r>
        <w:rPr>
          <w:rFonts w:ascii="Nirmala UI" w:hAnsi="Nirmala UI" w:eastAsia="Nirmala UI" w:cs="Nirmala UI"/>
        </w:rPr>
        <w:t>ধর্মতাত্ত্বিকেরা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পদ্ধতিবিদ্যার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সম্পূর্ণ</w:t>
      </w:r>
      <w:r>
        <w:rPr>
          <w:rFonts w:ascii="Times New Roman" w:hAnsi="Times New Roman" w:eastAsia="Times New Roman" w:cs="Times New Roman"/>
        </w:rPr>
        <w:t xml:space="preserve"> </w:t>
      </w:r>
      <w:r>
        <w:rPr>
          <w:rFonts w:ascii="Nirmala UI" w:hAnsi="Nirmala UI" w:eastAsia="Nirmala UI" w:cs="Nirmala UI"/>
        </w:rPr>
        <w:t>আলাদা।</w:t>
      </w:r>
      <w:r>
        <w:rPr>
          <w:rFonts w:ascii="Times New Roman" w:hAnsi="Times New Roman" w:eastAsia="Times New Roman" w:cs="Times New Roman"/>
        </w:rPr>
        <w:t xml:space="preserve"> </w:t>
      </w:r>
      <w:r>
        <w:rPr>
          <w:rFonts w:ascii="Nirmala UI" w:hAnsi="Nirmala UI" w:eastAsia="Nirmala UI" w:cs="Nirmala UI"/>
        </w:rPr>
        <w:t>নির্মাতারা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যিহূদীয়</w:t>
      </w:r>
      <w:r>
        <w:rPr>
          <w:rFonts w:ascii="Times New Roman" w:hAnsi="Times New Roman" w:eastAsia="Times New Roman" w:cs="Times New Roman"/>
        </w:rPr>
        <w:t xml:space="preserve"> </w:t>
      </w:r>
      <w:r>
        <w:rPr>
          <w:rFonts w:ascii="Nirmala UI" w:hAnsi="Nirmala UI" w:eastAsia="Nirmala UI" w:cs="Nirmala UI"/>
        </w:rPr>
        <w:t>ভাববাদীও</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ধর্মত্যাগী</w:t>
      </w:r>
      <w:r>
        <w:rPr>
          <w:rFonts w:ascii="Times New Roman" w:hAnsi="Times New Roman" w:eastAsia="Times New Roman" w:cs="Times New Roman"/>
        </w:rPr>
        <w:t xml:space="preserve"> </w:t>
      </w:r>
      <w:r>
        <w:rPr>
          <w:rFonts w:ascii="Nirmala UI" w:hAnsi="Nirmala UI" w:eastAsia="Nirmala UI" w:cs="Nirmala UI"/>
        </w:rPr>
        <w:t>প্রোটেস্ট্যান্টবাদ</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ক্যাথলিকবাদের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একটির</w:t>
      </w:r>
      <w:r>
        <w:rPr>
          <w:rFonts w:ascii="Times New Roman" w:hAnsi="Times New Roman" w:eastAsia="Times New Roman" w:cs="Times New Roman"/>
        </w:rPr>
        <w:t xml:space="preserve"> </w:t>
      </w:r>
      <w:r>
        <w:rPr>
          <w:rFonts w:ascii="Nirmala UI" w:hAnsi="Nirmala UI" w:eastAsia="Nirmala UI" w:cs="Nirmala UI"/>
        </w:rPr>
        <w:t>পদ্ধতিবিদ্যায়</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খেতে</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যিহূদীয়</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কাজটিই</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এভাবেই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অ্যাডভেন্টবাদও</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কাজটিই</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“seven times”-</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প্রয়োগকে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ধর্মত্যাগী</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ধর্মতাত্ত্বিক</w:t>
      </w:r>
      <w:r>
        <w:rPr>
          <w:rFonts w:ascii="Times New Roman" w:hAnsi="Times New Roman" w:eastAsia="Times New Roman" w:cs="Times New Roman"/>
        </w:rPr>
        <w:t xml:space="preserve"> </w:t>
      </w:r>
      <w:r>
        <w:rPr>
          <w:rFonts w:ascii="Nirmala UI" w:hAnsi="Nirmala UI" w:eastAsia="Nirmala UI" w:cs="Nirmala UI"/>
        </w:rPr>
        <w:t>যুক্তিসমূহ</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এইভাবে</w:t>
      </w:r>
      <w:r>
        <w:rPr>
          <w:rFonts w:ascii="Times New Roman" w:hAnsi="Times New Roman" w:eastAsia="Times New Roman" w:cs="Times New Roman"/>
        </w:rPr>
        <w:t xml:space="preserve"> </w:t>
      </w:r>
      <w:r>
        <w:rPr>
          <w:rFonts w:ascii="Nirmala UI" w:hAnsi="Nirmala UI" w:eastAsia="Nirmala UI" w:cs="Nirmala UI"/>
        </w:rPr>
        <w:t>হারূণ</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যেরোবোয়ামের</w:t>
      </w:r>
      <w:r>
        <w:rPr>
          <w:rFonts w:ascii="Times New Roman" w:hAnsi="Times New Roman" w:eastAsia="Times New Roman" w:cs="Times New Roman"/>
        </w:rPr>
        <w:t xml:space="preserve"> </w:t>
      </w:r>
      <w:r>
        <w:rPr>
          <w:rFonts w:ascii="Nirmala UI" w:hAnsi="Nirmala UI" w:eastAsia="Nirmala UI" w:cs="Nirmala UI"/>
        </w:rPr>
        <w:t>ঈর্ষার</w:t>
      </w:r>
      <w:r>
        <w:rPr>
          <w:rFonts w:ascii="Times New Roman" w:hAnsi="Times New Roman" w:eastAsia="Times New Roman" w:cs="Times New Roman"/>
        </w:rPr>
        <w:t xml:space="preserve"> </w:t>
      </w:r>
      <w:r>
        <w:rPr>
          <w:rFonts w:ascii="Nirmala UI" w:hAnsi="Nirmala UI" w:eastAsia="Nirmala UI" w:cs="Nirmala UI"/>
        </w:rPr>
        <w:t>প্রতিমাসমূহ</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প্রজন্মের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Après que le prophète de Judée eut eu affaire à Jéroboam, il se mit en route pour retourner en Judée, mais il n’y parvint jamais. Le prophète représente l’adventisme laodicéen qui, selon l’inspiration, entra dans le mouvement millérite en 1856. Sœur White ne cessa jamais d’identifier l’adventisme à Laodicée, et il n’existe aucune preuve biblique que Laodicée change jamais. Il y a des individus qui sortent de leur propre expérience personnelle laodicéenne, mais, en tant qu’Église, Laodicée doit être vomie de la bouche du Seigneur, car Laodicée signifie « un peuple jugé ». L’adventisme se sert de cette définition pour prétendre qu’il représente l’Église qui existe durant la période du jugement dans le sanctuaire céleste. Dans leur aveuglement, ils reconnaissent l’élément du Jugement Investigatif dans la signification de Laodicée, mais ils ne peuvent voir le Jugement Exécutif qui est clairement représenté dans leur nom.</w:t>
      </w:r>
    </w:p>
    <w:p>
      <w:pPr>
        <w:pStyle w:val="ArticleScripture"/>
        <w:jc w:val="left"/>
      </w:pPr>
      <w:r>
        <w:rPr>
          <w:rFonts w:ascii="Microsoft Himalaya" w:hAnsi="Microsoft Himalaya" w:eastAsia="Microsoft Himalaya" w:cs="Microsoft Himalaya"/>
        </w:rPr>
        <w:t>སྡེ་ཚན་ལ་ཨོ་དི་སེ་ཡའི་ཆོས་ཚོགས་ཀྱི་ཕོ་ཉ་ལ་འདི་སྐད་ཡིག་གིས་བྲིས་ཤིག།</w:t>
      </w:r>
      <w:r>
        <w:rPr>
          <w:rFonts w:ascii="Times New Roman" w:hAnsi="Times New Roman" w:eastAsia="Times New Roman" w:cs="Times New Roman"/>
        </w:rPr>
        <w:t xml:space="preserve"> </w:t>
      </w:r>
      <w:r>
        <w:rPr>
          <w:rFonts w:ascii="Microsoft Himalaya" w:hAnsi="Microsoft Himalaya" w:eastAsia="Microsoft Himalaya" w:cs="Microsoft Himalaya"/>
        </w:rPr>
        <w:t>ཨ་མེན་ཞེས་བྱ་བ།</w:t>
      </w:r>
      <w:r>
        <w:rPr>
          <w:rFonts w:ascii="Times New Roman" w:hAnsi="Times New Roman" w:eastAsia="Times New Roman" w:cs="Times New Roman"/>
        </w:rPr>
        <w:t xml:space="preserve"> </w:t>
      </w:r>
      <w:r>
        <w:rPr>
          <w:rFonts w:ascii="Microsoft Himalaya" w:hAnsi="Microsoft Himalaya" w:eastAsia="Microsoft Himalaya" w:cs="Microsoft Himalaya"/>
        </w:rPr>
        <w:t>དཔང་པོ་བདེན་པ་དང་བློ་གཏད་འོས་པ།</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དཀོན་མཆོག་གི་གསར་འགྱུར་གྱི་ཐོག་མ་དེས་འདི་སྐད་གསུངས་སོ།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ངས་ཁྱོད་ཀྱི་ལས་རྣམས་མཁྱེན་ཏེ།</w:t>
      </w:r>
      <w:r>
        <w:rPr>
          <w:rFonts w:ascii="Times New Roman" w:hAnsi="Times New Roman" w:eastAsia="Times New Roman" w:cs="Times New Roman"/>
        </w:rPr>
        <w:t xml:space="preserve"> </w:t>
      </w:r>
      <w:r>
        <w:rPr>
          <w:rFonts w:ascii="Microsoft Himalaya" w:hAnsi="Microsoft Himalaya" w:eastAsia="Microsoft Himalaya" w:cs="Microsoft Himalaya"/>
        </w:rPr>
        <w:t>ཁྱོད་ནི་གྲང་མོའང་མིན།</w:t>
      </w:r>
      <w:r>
        <w:rPr>
          <w:rFonts w:ascii="Times New Roman" w:hAnsi="Times New Roman" w:eastAsia="Times New Roman" w:cs="Times New Roman"/>
        </w:rPr>
        <w:t xml:space="preserve"> </w:t>
      </w:r>
      <w:r>
        <w:rPr>
          <w:rFonts w:ascii="Microsoft Himalaya" w:hAnsi="Microsoft Himalaya" w:eastAsia="Microsoft Himalaya" w:cs="Microsoft Himalaya"/>
        </w:rPr>
        <w:t>ཚ་བའང་མིན།</w:t>
      </w:r>
      <w:r>
        <w:rPr>
          <w:rFonts w:ascii="Times New Roman" w:hAnsi="Times New Roman" w:eastAsia="Times New Roman" w:cs="Times New Roman"/>
        </w:rPr>
        <w:t xml:space="preserve"> </w:t>
      </w:r>
      <w:r>
        <w:rPr>
          <w:rFonts w:ascii="Microsoft Himalaya" w:hAnsi="Microsoft Himalaya" w:eastAsia="Microsoft Himalaya" w:cs="Microsoft Himalaya"/>
        </w:rPr>
        <w:t>ང་ནི་ཁྱོད་གྲང་མོའམ་ཚ་བ་ཞིག་ཡིན་ན་འདོད།</w:t>
      </w:r>
      <w:r>
        <w:rPr>
          <w:rFonts w:ascii="Times New Roman" w:hAnsi="Times New Roman" w:eastAsia="Times New Roman" w:cs="Times New Roman"/>
        </w:rPr>
        <w:t xml:space="preserve"> </w:t>
      </w:r>
      <w:r>
        <w:rPr>
          <w:rFonts w:ascii="Microsoft Himalaya" w:hAnsi="Microsoft Himalaya" w:eastAsia="Microsoft Himalaya" w:cs="Microsoft Himalaya"/>
        </w:rPr>
        <w:t>དེ་བས་ན།</w:t>
      </w:r>
      <w:r>
        <w:rPr>
          <w:rFonts w:ascii="Times New Roman" w:hAnsi="Times New Roman" w:eastAsia="Times New Roman" w:cs="Times New Roman"/>
        </w:rPr>
        <w:t xml:space="preserve"> </w:t>
      </w:r>
      <w:r>
        <w:rPr>
          <w:rFonts w:ascii="Microsoft Himalaya" w:hAnsi="Microsoft Himalaya" w:eastAsia="Microsoft Himalaya" w:cs="Microsoft Himalaya"/>
        </w:rPr>
        <w:t>ཁྱོད་ནི་དྲོད་འཇམ་པོ་ཡིན་ཞིང་།</w:t>
      </w:r>
      <w:r>
        <w:rPr>
          <w:rFonts w:ascii="Times New Roman" w:hAnsi="Times New Roman" w:eastAsia="Times New Roman" w:cs="Times New Roman"/>
        </w:rPr>
        <w:t xml:space="preserve"> </w:t>
      </w:r>
      <w:r>
        <w:rPr>
          <w:rFonts w:ascii="Microsoft Himalaya" w:hAnsi="Microsoft Himalaya" w:eastAsia="Microsoft Himalaya" w:cs="Microsoft Himalaya"/>
        </w:rPr>
        <w:t>གྲང་མོའང་མིན།</w:t>
      </w:r>
      <w:r>
        <w:rPr>
          <w:rFonts w:ascii="Times New Roman" w:hAnsi="Times New Roman" w:eastAsia="Times New Roman" w:cs="Times New Roman"/>
        </w:rPr>
        <w:t xml:space="preserve"> </w:t>
      </w:r>
      <w:r>
        <w:rPr>
          <w:rFonts w:ascii="Microsoft Himalaya" w:hAnsi="Microsoft Himalaya" w:eastAsia="Microsoft Himalaya" w:cs="Microsoft Himalaya"/>
        </w:rPr>
        <w:t>ཚ་བའང་མིན་པས།</w:t>
      </w:r>
      <w:r>
        <w:rPr>
          <w:rFonts w:ascii="Times New Roman" w:hAnsi="Times New Roman" w:eastAsia="Times New Roman" w:cs="Times New Roman"/>
        </w:rPr>
        <w:t xml:space="preserve"> </w:t>
      </w:r>
      <w:r>
        <w:rPr>
          <w:rFonts w:ascii="Microsoft Himalaya" w:hAnsi="Microsoft Himalaya" w:eastAsia="Microsoft Himalaya" w:cs="Microsoft Himalaya"/>
        </w:rPr>
        <w:t>ངས་ཁྱོད་ངའི་ཁ་ནས་ཕྱིར་འབྱིན་པར་བྱའོ།</w:t>
      </w:r>
      <w:r>
        <w:rPr>
          <w:rFonts w:ascii="Times New Roman" w:hAnsi="Times New Roman" w:eastAsia="Times New Roman" w:cs="Times New Roman"/>
        </w:rPr>
        <w:t xml:space="preserve"> </w:t>
      </w:r>
      <w:r>
        <w:rPr>
          <w:rFonts w:ascii="Microsoft Himalaya" w:hAnsi="Microsoft Himalaya" w:eastAsia="Microsoft Himalaya" w:cs="Microsoft Himalaya"/>
        </w:rPr>
        <w:t>ཁྱོད་ཀྱིས།</w:t>
      </w:r>
      <w:r>
        <w:rPr>
          <w:rFonts w:ascii="Times New Roman" w:hAnsi="Times New Roman" w:eastAsia="Times New Roman" w:cs="Times New Roman"/>
        </w:rPr>
        <w:t xml:space="preserve"> </w:t>
      </w:r>
      <w:r>
        <w:rPr>
          <w:rFonts w:ascii="Microsoft Himalaya" w:hAnsi="Microsoft Himalaya" w:eastAsia="Microsoft Himalaya" w:cs="Microsoft Himalaya"/>
        </w:rPr>
        <w:t>ང་ནི་ཕྱུག་པོ་ཡིན།</w:t>
      </w:r>
      <w:r>
        <w:rPr>
          <w:rFonts w:ascii="Times New Roman" w:hAnsi="Times New Roman" w:eastAsia="Times New Roman" w:cs="Times New Roman"/>
        </w:rPr>
        <w:t xml:space="preserve"> </w:t>
      </w:r>
      <w:r>
        <w:rPr>
          <w:rFonts w:ascii="Microsoft Himalaya" w:hAnsi="Microsoft Himalaya" w:eastAsia="Microsoft Himalaya" w:cs="Microsoft Himalaya"/>
        </w:rPr>
        <w:t>ནོར་གྱིས་འཕེལ་ཏེ།</w:t>
      </w:r>
      <w:r>
        <w:rPr>
          <w:rFonts w:ascii="Times New Roman" w:hAnsi="Times New Roman" w:eastAsia="Times New Roman" w:cs="Times New Roman"/>
        </w:rPr>
        <w:t xml:space="preserve"> </w:t>
      </w:r>
      <w:r>
        <w:rPr>
          <w:rFonts w:ascii="Microsoft Himalaya" w:hAnsi="Microsoft Himalaya" w:eastAsia="Microsoft Himalaya" w:cs="Microsoft Himalaya"/>
        </w:rPr>
        <w:t>གང་ཡང་མི་དགོས་ཞེས་ཟེར་ཞིང་།</w:t>
      </w:r>
      <w:r>
        <w:rPr>
          <w:rFonts w:ascii="Times New Roman" w:hAnsi="Times New Roman" w:eastAsia="Times New Roman" w:cs="Times New Roman"/>
        </w:rPr>
        <w:t xml:space="preserve"> </w:t>
      </w:r>
      <w:r>
        <w:rPr>
          <w:rFonts w:ascii="Microsoft Himalaya" w:hAnsi="Microsoft Himalaya" w:eastAsia="Microsoft Himalaya" w:cs="Microsoft Himalaya"/>
        </w:rPr>
        <w:t>འོན་ཀྱང་།</w:t>
      </w:r>
      <w:r>
        <w:rPr>
          <w:rFonts w:ascii="Times New Roman" w:hAnsi="Times New Roman" w:eastAsia="Times New Roman" w:cs="Times New Roman"/>
        </w:rPr>
        <w:t xml:space="preserve"> </w:t>
      </w:r>
      <w:r>
        <w:rPr>
          <w:rFonts w:ascii="Microsoft Himalaya" w:hAnsi="Microsoft Himalaya" w:eastAsia="Microsoft Himalaya" w:cs="Microsoft Himalaya"/>
        </w:rPr>
        <w:t>ཁྱོད་རང་ཉིད་ནི་སྡུག་བསྔལ་ཅན་དང་།</w:t>
      </w:r>
      <w:r>
        <w:rPr>
          <w:rFonts w:ascii="Times New Roman" w:hAnsi="Times New Roman" w:eastAsia="Times New Roman" w:cs="Times New Roman"/>
        </w:rPr>
        <w:t xml:space="preserve"> </w:t>
      </w:r>
      <w:r>
        <w:rPr>
          <w:rFonts w:ascii="Microsoft Himalaya" w:hAnsi="Microsoft Himalaya" w:eastAsia="Microsoft Himalaya" w:cs="Microsoft Himalaya"/>
        </w:rPr>
        <w:t>སྙིང་རྗེ་འོས་པ།</w:t>
      </w:r>
      <w:r>
        <w:rPr>
          <w:rFonts w:ascii="Times New Roman" w:hAnsi="Times New Roman" w:eastAsia="Times New Roman" w:cs="Times New Roman"/>
        </w:rPr>
        <w:t xml:space="preserve"> </w:t>
      </w:r>
      <w:r>
        <w:rPr>
          <w:rFonts w:ascii="Microsoft Himalaya" w:hAnsi="Microsoft Himalaya" w:eastAsia="Microsoft Himalaya" w:cs="Microsoft Himalaya"/>
        </w:rPr>
        <w:t>དབུལ་པོ།</w:t>
      </w:r>
      <w:r>
        <w:rPr>
          <w:rFonts w:ascii="Times New Roman" w:hAnsi="Times New Roman" w:eastAsia="Times New Roman" w:cs="Times New Roman"/>
        </w:rPr>
        <w:t xml:space="preserve"> </w:t>
      </w:r>
      <w:r>
        <w:rPr>
          <w:rFonts w:ascii="Microsoft Himalaya" w:hAnsi="Microsoft Himalaya" w:eastAsia="Microsoft Himalaya" w:cs="Microsoft Himalaya"/>
        </w:rPr>
        <w:t>ལོང་བ།</w:t>
      </w:r>
      <w:r>
        <w:rPr>
          <w:rFonts w:ascii="Times New Roman" w:hAnsi="Times New Roman" w:eastAsia="Times New Roman" w:cs="Times New Roman"/>
        </w:rPr>
        <w:t xml:space="preserve"> </w:t>
      </w:r>
      <w:r>
        <w:rPr>
          <w:rFonts w:ascii="Microsoft Himalaya" w:hAnsi="Microsoft Himalaya" w:eastAsia="Microsoft Himalaya" w:cs="Microsoft Himalaya"/>
        </w:rPr>
        <w:t>གཅེར་བུ་ཡིན་པ་མི་ཤེས་སོ།</w:t>
      </w:r>
      <w:r>
        <w:rPr>
          <w:rFonts w:ascii="Times New Roman" w:hAnsi="Times New Roman" w:eastAsia="Times New Roman" w:cs="Times New Roman"/>
        </w:rPr>
        <w:t xml:space="preserve"> </w:t>
      </w:r>
      <w:r>
        <w:rPr>
          <w:rFonts w:ascii="Microsoft Himalaya" w:hAnsi="Microsoft Himalaya" w:eastAsia="Microsoft Himalaya" w:cs="Microsoft Himalaya"/>
        </w:rPr>
        <w:t>མངོན་བརྗོད།</w:t>
      </w:r>
      <w:r>
        <w:rPr>
          <w:rFonts w:ascii="Times New Roman" w:hAnsi="Times New Roman" w:eastAsia="Times New Roman" w:cs="Times New Roman"/>
        </w:rPr>
        <w:t xml:space="preserve"> 3:14–17</w:t>
      </w:r>
      <w:r>
        <w:rPr>
          <w:rFonts w:ascii="Microsoft Himalaya" w:hAnsi="Microsoft Himalaya" w:eastAsia="Microsoft Himalaya" w:cs="Microsoft Himalaya"/>
        </w:rPr>
        <w:t>།</w:t>
      </w:r>
    </w:p>
    <w:p>
      <w:pPr>
        <w:pStyle w:val="ArticleBody"/>
        <w:jc w:val="left"/>
      </w:pP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ਆਖ਼ਰਕਾਰ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ਦਫ਼ਨਾਇਆ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ਭੋਜਨ</w:t>
      </w:r>
      <w:r>
        <w:rPr>
          <w:rFonts w:ascii="Times New Roman" w:hAnsi="Times New Roman" w:eastAsia="Times New Roman" w:cs="Times New Roman"/>
        </w:rPr>
        <w:t xml:space="preserve"> </w:t>
      </w:r>
      <w:r>
        <w:rPr>
          <w:rFonts w:ascii="Nirmala UI" w:hAnsi="Nirmala UI" w:eastAsia="Nirmala UI" w:cs="Nirmala UI"/>
        </w:rPr>
        <w:t>ਖਵਾਇਆ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ਪਾਨ</w:t>
      </w:r>
      <w:r>
        <w:rPr>
          <w:rFonts w:ascii="Times New Roman" w:hAnsi="Times New Roman" w:eastAsia="Times New Roman" w:cs="Times New Roman"/>
        </w:rPr>
        <w:t xml:space="preserve"> </w:t>
      </w:r>
      <w:r>
        <w:rPr>
          <w:rFonts w:ascii="Nirmala UI" w:hAnsi="Nirmala UI" w:eastAsia="Nirmala UI" w:cs="Nirmala UI"/>
        </w:rPr>
        <w:t>ਕਰਵਾਇਆ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ਕਬਰ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ਬੇਥੇਲ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Nge khathesi kwakuhlala umphrofethi omdala eBhetheli; amadodana akhe afika amtshela yonke imisebenzi umuntu kaNkulunkulu ayeyenzile ngalolo suku eBhetheli; namazwi ayewakhulume enkosini, lawo nawo awatshela uyise. Uyise wasesithi kuwo, Wahamba ngayiphi indlela na? Ngokuba amadodana akhe ayebonile ukuthi umuntu kaNkulunkulu, owavela kwaJuda, wayehambe ngayiphi indlela. Wasesithi emadodaneni akhe, Ngibopheleleni imbongolo. Ngakho ayembophela imbongolo; wayesegibela kuyo, Wahamba elandela umuntu kaNkulunkulu, wamfumana ehlezi phansi kom-okhi; wathi kuye, Unguye yini lowo muntu kaNkulunkulu ovela kwaJuda na? Wathi, Yimi. Wasesithi kuye, Woza ekhaya nami, udle isinkwa. Wathi, Anginakubuya nawe, angingene nawe; futhi angiyikudla sinkwa, angiphuze manzi kanye nawe kule ndawo; ngokuba kwashiwo kimi ngezwi likaJehova ukuthi, Awuyikudla sinkwa, ungaphuzi manzi khona, futhi ungabuyi ngokuhamba ngendlela oze ngayo. Wathi kuye, Nami ngingumphrofethi njengawe; ingelosi yakhuluma kimi ngezwi likaJehova, yathi, Mbuyise nawe endlini yakho, ukuze adle isinkwa, aphuze namanzi. Kepha waqamba amanga kuye. Ngakho wabuyela naye, wadla isinkwa endlini yakhe, waphuza namanzi. Kwase kuthi, besahlezi etafuleni, izwi likaJehova lafika kumphrofethi owayembuyisile; wamemeza kumuntu kaNkulunkulu owayevela kwaJuda, wathi, Isho kanje iNkosi: Njengokuba ulivukele izwi likaJehova, awugcinanga umyalo uJehova uNkulunkulu wakho akuyale ngawo, kepha ubuyile, wadla isinkwa, waphuza namanzi endaweni uJehova akutshela ngayo ukuthi, Ungadli sinkwa, ungaphuzi manzi; isidumbu sakho asiyikufika ethuneni lawoyihlo. 1 AmaKhosi 13:11–22.</w:t>
      </w:r>
    </w:p>
    <w:p>
      <w:pPr>
        <w:pStyle w:val="ArticleBody"/>
        <w:jc w:val="left"/>
      </w:pPr>
      <w:r>
        <w:rPr>
          <w:rFonts w:ascii="Times New Roman" w:hAnsi="Times New Roman" w:eastAsia="Times New Roman" w:cs="Times New Roman"/>
        </w:rPr>
        <w:t>Neela chaa mawtak angel thuthangin ni khawhhran Protestant-te an tlûk tawh a, Catholicism fanu-te an lo ni ta tih hriat chhuahna a ni a. Millerite Adventism chuan mipa leh hmeichhia-te chu chûng pawl hrang hrang atang chuan chhuak tûrin a ko va; anmahni chhûngah chêng reng chu thlarau lama leh kumkhua thihna a ni. Bethel-a zawlnei dâwt chu Jeroboam-in Bethel-a sakhaw hmanrawm a din chu a entîr a ni. Chu chu sakawlbâr hriam chhâwng siam tûra din a ni a, sakawlbâr hriam chhâwng an entawn kha Catholicism sakawlbâr a ni. Protestant-te chuan anmahni chu Protestant an ni tih an sawi reng a; nimahsela, ni biakna ni atan ni chhuak ni chu an la vawn reng a, chu chu Catholicism thuneihna hriamchhinna a ni.</w:t>
      </w:r>
    </w:p>
    <w:p>
      <w:pPr>
        <w:pStyle w:val="ArticleBody"/>
        <w:jc w:val="left"/>
      </w:pPr>
      <w:r>
        <w:rPr>
          <w:rFonts w:ascii="Times New Roman" w:hAnsi="Times New Roman" w:eastAsia="Times New Roman" w:cs="Times New Roman"/>
        </w:rPr>
        <w:t>Ang mga Protestante ay nagaangkon nga sila mga Protestante, bisan pa nga ang bugtong kahulogan sang pagka-Protestante amo ang pagprotesta batok sa Roma; kag sa sini, ang ila pag-angkon isa ka larawan sang Romano nga iglesia, kay siya man nagaangkon nga isa siya ka Cristohanon nga institusyon, bisan wala siya sang biblikal nga pagpamatuod para sa sina nga pag-angkon. Ang iya pag-angkon ginatindugan sa hungá nga awtoridad sang tradisyon kag kinaandan, nga amo man ang amo nga bakak nga awtoridad nga ginagamit sang Protestantismo samtang nagaangkon sila nga mga Protestante. Amo man ini nga panghunahuna nga nakapabuta sa mga Seventh-day Adventists sa pagtoo nga, bilang mga Laodicean, yara gihapon sila sa isa ka luwas nga pakigkatipan nga kahimtangan. Amo man ini nga bakak nga awtoridad nga ginpahayag sang dumaan nga Israel sang ila ginsiling, “Ang templo sang Ginoo, ang templo sang Ginoo amo kami.”</w:t>
      </w:r>
    </w:p>
    <w:p>
      <w:pPr>
        <w:pStyle w:val="ArticleScripture"/>
        <w:jc w:val="left"/>
      </w:pPr>
      <w:r>
        <w:rPr>
          <w:rFonts w:ascii="Nirmala UI" w:hAnsi="Nirmala UI" w:eastAsia="Nirmala UI" w:cs="Nirmala UI"/>
        </w:rPr>
        <w:t>ಯೆಹೂದ್ಯ</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ಎಚ್ಚರಿಕೆಯನ್ನು</w:t>
      </w:r>
      <w:r>
        <w:rPr>
          <w:rFonts w:ascii="Times New Roman" w:hAnsi="Times New Roman" w:eastAsia="Times New Roman" w:cs="Times New Roman"/>
        </w:rPr>
        <w:t xml:space="preserve"> </w:t>
      </w:r>
      <w:r>
        <w:rPr>
          <w:rFonts w:ascii="Nirmala UI" w:hAnsi="Nirmala UI" w:eastAsia="Nirmala UI" w:cs="Nirmala UI"/>
        </w:rPr>
        <w:t>ಲೆಕ್ಕಿಸದೆ</w:t>
      </w:r>
      <w:r>
        <w:rPr>
          <w:rFonts w:ascii="Times New Roman" w:hAnsi="Times New Roman" w:eastAsia="Times New Roman" w:cs="Times New Roman"/>
        </w:rPr>
        <w:t xml:space="preserve"> </w:t>
      </w:r>
      <w:r>
        <w:rPr>
          <w:rFonts w:ascii="Nirmala UI" w:hAnsi="Nirmala UI" w:eastAsia="Nirmala UI" w:cs="Nirmala UI"/>
        </w:rPr>
        <w:t>ಬಿಟ್ಟರು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ದೇವರನ್ನು</w:t>
      </w:r>
      <w:r>
        <w:rPr>
          <w:rFonts w:ascii="Times New Roman" w:hAnsi="Times New Roman" w:eastAsia="Times New Roman" w:cs="Times New Roman"/>
        </w:rPr>
        <w:t xml:space="preserve"> </w:t>
      </w:r>
      <w:r>
        <w:rPr>
          <w:rFonts w:ascii="Nirmala UI" w:hAnsi="Nirmala UI" w:eastAsia="Nirmala UI" w:cs="Nirmala UI"/>
        </w:rPr>
        <w:t>ಮರೆತು</w:t>
      </w:r>
      <w:r>
        <w:rPr>
          <w:rFonts w:ascii="Times New Roman" w:hAnsi="Times New Roman" w:eastAsia="Times New Roman" w:cs="Times New Roman"/>
        </w:rPr>
        <w:t xml:space="preserve">, </w:t>
      </w:r>
      <w:r>
        <w:rPr>
          <w:rFonts w:ascii="Nirmala UI" w:hAnsi="Nirmala UI" w:eastAsia="Nirmala UI" w:cs="Nirmala UI"/>
        </w:rPr>
        <w:t>ತಾವು</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ಪ್ರತಿನಿಧಿಗಳೆಂಬ</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ಉನ್ನತ</w:t>
      </w:r>
      <w:r>
        <w:rPr>
          <w:rFonts w:ascii="Times New Roman" w:hAnsi="Times New Roman" w:eastAsia="Times New Roman" w:cs="Times New Roman"/>
        </w:rPr>
        <w:t xml:space="preserve"> </w:t>
      </w:r>
      <w:r>
        <w:rPr>
          <w:rFonts w:ascii="Nirmala UI" w:hAnsi="Nirmala UI" w:eastAsia="Nirmala UI" w:cs="Nirmala UI"/>
        </w:rPr>
        <w:t>ವಿಶೇಷಾಧಿಕಾರವನ್ನು</w:t>
      </w:r>
      <w:r>
        <w:rPr>
          <w:rFonts w:ascii="Times New Roman" w:hAnsi="Times New Roman" w:eastAsia="Times New Roman" w:cs="Times New Roman"/>
        </w:rPr>
        <w:t xml:space="preserve"> </w:t>
      </w:r>
      <w:r>
        <w:rPr>
          <w:rFonts w:ascii="Nirmala UI" w:hAnsi="Nirmala UI" w:eastAsia="Nirmala UI" w:cs="Nirmala UI"/>
        </w:rPr>
        <w:t>ಕಣ್ಮರೆಯಾಗುವಂತೆ</w:t>
      </w:r>
      <w:r>
        <w:rPr>
          <w:rFonts w:ascii="Times New Roman" w:hAnsi="Times New Roman" w:eastAsia="Times New Roman" w:cs="Times New Roman"/>
        </w:rPr>
        <w:t xml:space="preserve"> </w:t>
      </w:r>
      <w:r>
        <w:rPr>
          <w:rFonts w:ascii="Nirmala UI" w:hAnsi="Nirmala UI" w:eastAsia="Nirmala UI" w:cs="Nirmala UI"/>
        </w:rPr>
        <w:t>ಮಾಡಿಕೊಂಡರು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ಪಡೆದ</w:t>
      </w:r>
      <w:r>
        <w:rPr>
          <w:rFonts w:ascii="Times New Roman" w:hAnsi="Times New Roman" w:eastAsia="Times New Roman" w:cs="Times New Roman"/>
        </w:rPr>
        <w:t xml:space="preserve"> </w:t>
      </w:r>
      <w:r>
        <w:rPr>
          <w:rFonts w:ascii="Nirmala UI" w:hAnsi="Nirmala UI" w:eastAsia="Nirmala UI" w:cs="Nirmala UI"/>
        </w:rPr>
        <w:t>ಆಶೀರ್ವಾದಗಳು</w:t>
      </w:r>
      <w:r>
        <w:rPr>
          <w:rFonts w:ascii="Times New Roman" w:hAnsi="Times New Roman" w:eastAsia="Times New Roman" w:cs="Times New Roman"/>
        </w:rPr>
        <w:t xml:space="preserve"> </w:t>
      </w:r>
      <w:r>
        <w:rPr>
          <w:rFonts w:ascii="Nirmala UI" w:hAnsi="Nirmala UI" w:eastAsia="Nirmala UI" w:cs="Nirmala UI"/>
        </w:rPr>
        <w:t>ಲೋಕಕ್ಕೆ</w:t>
      </w:r>
      <w:r>
        <w:rPr>
          <w:rFonts w:ascii="Times New Roman" w:hAnsi="Times New Roman" w:eastAsia="Times New Roman" w:cs="Times New Roman"/>
        </w:rPr>
        <w:t xml:space="preserve"> </w:t>
      </w:r>
      <w:r>
        <w:rPr>
          <w:rFonts w:ascii="Nirmala UI" w:hAnsi="Nirmala UI" w:eastAsia="Nirmala UI" w:cs="Nirmala UI"/>
        </w:rPr>
        <w:t>ಯಾವ</w:t>
      </w:r>
      <w:r>
        <w:rPr>
          <w:rFonts w:ascii="Times New Roman" w:hAnsi="Times New Roman" w:eastAsia="Times New Roman" w:cs="Times New Roman"/>
        </w:rPr>
        <w:t xml:space="preserve"> </w:t>
      </w:r>
      <w:r>
        <w:rPr>
          <w:rFonts w:ascii="Nirmala UI" w:hAnsi="Nirmala UI" w:eastAsia="Nirmala UI" w:cs="Nirmala UI"/>
        </w:rPr>
        <w:t>ಆಶೀರ್ವಾದವನ್ನೂ</w:t>
      </w:r>
      <w:r>
        <w:rPr>
          <w:rFonts w:ascii="Times New Roman" w:hAnsi="Times New Roman" w:eastAsia="Times New Roman" w:cs="Times New Roman"/>
        </w:rPr>
        <w:t xml:space="preserve"> </w:t>
      </w:r>
      <w:r>
        <w:rPr>
          <w:rFonts w:ascii="Nirmala UI" w:hAnsi="Nirmala UI" w:eastAsia="Nirmala UI" w:cs="Nirmala UI"/>
        </w:rPr>
        <w:t>ತಂದುಕೊಡಲಿಲ್ಲ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ಎಲ್ಲಾ</w:t>
      </w:r>
      <w:r>
        <w:rPr>
          <w:rFonts w:ascii="Times New Roman" w:hAnsi="Times New Roman" w:eastAsia="Times New Roman" w:cs="Times New Roman"/>
        </w:rPr>
        <w:t xml:space="preserve"> </w:t>
      </w:r>
      <w:r>
        <w:rPr>
          <w:rFonts w:ascii="Nirmala UI" w:hAnsi="Nirmala UI" w:eastAsia="Nirmala UI" w:cs="Nirmala UI"/>
        </w:rPr>
        <w:t>ಅನುಕೂಲಗಳನ್ನು</w:t>
      </w:r>
      <w:r>
        <w:rPr>
          <w:rFonts w:ascii="Times New Roman" w:hAnsi="Times New Roman" w:eastAsia="Times New Roman" w:cs="Times New Roman"/>
        </w:rPr>
        <w:t xml:space="preserve"> </w:t>
      </w:r>
      <w:r>
        <w:rPr>
          <w:rFonts w:ascii="Nirmala UI" w:hAnsi="Nirmala UI" w:eastAsia="Nirmala UI" w:cs="Nirmala UI"/>
        </w:rPr>
        <w:t>ತಮ್ಮದೇ</w:t>
      </w:r>
      <w:r>
        <w:rPr>
          <w:rFonts w:ascii="Times New Roman" w:hAnsi="Times New Roman" w:eastAsia="Times New Roman" w:cs="Times New Roman"/>
        </w:rPr>
        <w:t xml:space="preserve"> </w:t>
      </w:r>
      <w:r>
        <w:rPr>
          <w:rFonts w:ascii="Nirmala UI" w:hAnsi="Nirmala UI" w:eastAsia="Nirmala UI" w:cs="Nirmala UI"/>
        </w:rPr>
        <w:t>ಮಹಿಮೆಗೆ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ಸ್ವಾಧೀನಪಡಿಸಿಕೊಂಡರು</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ಅವರಿಂದ</w:t>
      </w:r>
      <w:r>
        <w:rPr>
          <w:rFonts w:ascii="Times New Roman" w:hAnsi="Times New Roman" w:eastAsia="Times New Roman" w:cs="Times New Roman"/>
        </w:rPr>
        <w:t xml:space="preserve"> </w:t>
      </w:r>
      <w:r>
        <w:rPr>
          <w:rFonts w:ascii="Nirmala UI" w:hAnsi="Nirmala UI" w:eastAsia="Nirmala UI" w:cs="Nirmala UI"/>
        </w:rPr>
        <w:t>ಬೇಡಿಕೊಂಡಿದ್ದ</w:t>
      </w:r>
      <w:r>
        <w:rPr>
          <w:rFonts w:ascii="Times New Roman" w:hAnsi="Times New Roman" w:eastAsia="Times New Roman" w:cs="Times New Roman"/>
        </w:rPr>
        <w:t xml:space="preserve"> </w:t>
      </w:r>
      <w:r>
        <w:rPr>
          <w:rFonts w:ascii="Nirmala UI" w:hAnsi="Nirmala UI" w:eastAsia="Nirmala UI" w:cs="Nirmala UI"/>
        </w:rPr>
        <w:t>ಸೇವೆಯನ್ನು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ದೇವರಿಂದ</w:t>
      </w:r>
      <w:r>
        <w:rPr>
          <w:rFonts w:ascii="Times New Roman" w:hAnsi="Times New Roman" w:eastAsia="Times New Roman" w:cs="Times New Roman"/>
        </w:rPr>
        <w:t xml:space="preserve"> </w:t>
      </w:r>
      <w:r>
        <w:rPr>
          <w:rFonts w:ascii="Nirmala UI" w:hAnsi="Nirmala UI" w:eastAsia="Nirmala UI" w:cs="Nirmala UI"/>
        </w:rPr>
        <w:t>ಕಸಿದುಕೊಂಡರು</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ಧಾರ್ಮಿಕ</w:t>
      </w:r>
      <w:r>
        <w:rPr>
          <w:rFonts w:ascii="Times New Roman" w:hAnsi="Times New Roman" w:eastAsia="Times New Roman" w:cs="Times New Roman"/>
        </w:rPr>
        <w:t xml:space="preserve"> </w:t>
      </w:r>
      <w:r>
        <w:rPr>
          <w:rFonts w:ascii="Nirmala UI" w:hAnsi="Nirmala UI" w:eastAsia="Nirmala UI" w:cs="Nirmala UI"/>
        </w:rPr>
        <w:t>ಮಾರ್ಗದರ್ಶನವನ್ನೂ</w:t>
      </w:r>
      <w:r>
        <w:rPr>
          <w:rFonts w:ascii="Times New Roman" w:hAnsi="Times New Roman" w:eastAsia="Times New Roman" w:cs="Times New Roman"/>
        </w:rPr>
        <w:t xml:space="preserve"> </w:t>
      </w:r>
      <w:r>
        <w:rPr>
          <w:rFonts w:ascii="Nirmala UI" w:hAnsi="Nirmala UI" w:eastAsia="Nirmala UI" w:cs="Nirmala UI"/>
        </w:rPr>
        <w:t>ಪವಿತ್ರ</w:t>
      </w:r>
      <w:r>
        <w:rPr>
          <w:rFonts w:ascii="Times New Roman" w:hAnsi="Times New Roman" w:eastAsia="Times New Roman" w:cs="Times New Roman"/>
        </w:rPr>
        <w:t xml:space="preserve"> </w:t>
      </w:r>
      <w:r>
        <w:rPr>
          <w:rFonts w:ascii="Nirmala UI" w:hAnsi="Nirmala UI" w:eastAsia="Nirmala UI" w:cs="Nirmala UI"/>
        </w:rPr>
        <w:t>ಮಾದರಿಯನ್ನೂ</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ಸಹಮಾನವರಿಂದ</w:t>
      </w:r>
      <w:r>
        <w:rPr>
          <w:rFonts w:ascii="Times New Roman" w:hAnsi="Times New Roman" w:eastAsia="Times New Roman" w:cs="Times New Roman"/>
        </w:rPr>
        <w:t xml:space="preserve"> </w:t>
      </w:r>
      <w:r>
        <w:rPr>
          <w:rFonts w:ascii="Nirmala UI" w:hAnsi="Nirmala UI" w:eastAsia="Nirmala UI" w:cs="Nirmala UI"/>
        </w:rPr>
        <w:t>ಕಸಿದುಕೊಂಡರು</w:t>
      </w:r>
      <w:r>
        <w:rPr>
          <w:rFonts w:ascii="Times New Roman" w:hAnsi="Times New Roman" w:eastAsia="Times New Roman" w:cs="Times New Roman"/>
        </w:rPr>
        <w:t xml:space="preserve">. </w:t>
      </w:r>
      <w:r>
        <w:rPr>
          <w:rFonts w:ascii="Nirmala UI" w:hAnsi="Nirmala UI" w:eastAsia="Nirmala UI" w:cs="Nirmala UI"/>
        </w:rPr>
        <w:t>ಜಲಪ್ರಳಯಕ್ಕೂ</w:t>
      </w:r>
      <w:r>
        <w:rPr>
          <w:rFonts w:ascii="Times New Roman" w:hAnsi="Times New Roman" w:eastAsia="Times New Roman" w:cs="Times New Roman"/>
        </w:rPr>
        <w:t xml:space="preserve"> </w:t>
      </w:r>
      <w:r>
        <w:rPr>
          <w:rFonts w:ascii="Nirmala UI" w:hAnsi="Nirmala UI" w:eastAsia="Nirmala UI" w:cs="Nirmala UI"/>
        </w:rPr>
        <w:t>ಮುಂಚಿನ</w:t>
      </w:r>
      <w:r>
        <w:rPr>
          <w:rFonts w:ascii="Times New Roman" w:hAnsi="Times New Roman" w:eastAsia="Times New Roman" w:cs="Times New Roman"/>
        </w:rPr>
        <w:t xml:space="preserve"> </w:t>
      </w:r>
      <w:r>
        <w:rPr>
          <w:rFonts w:ascii="Nirmala UI" w:hAnsi="Nirmala UI" w:eastAsia="Nirmala UI" w:cs="Nirmala UI"/>
        </w:rPr>
        <w:t>ಲೋಕದ</w:t>
      </w:r>
      <w:r>
        <w:rPr>
          <w:rFonts w:ascii="Times New Roman" w:hAnsi="Times New Roman" w:eastAsia="Times New Roman" w:cs="Times New Roman"/>
        </w:rPr>
        <w:t xml:space="preserve"> </w:t>
      </w:r>
      <w:r>
        <w:rPr>
          <w:rFonts w:ascii="Nirmala UI" w:hAnsi="Nirmala UI" w:eastAsia="Nirmala UI" w:cs="Nirmala UI"/>
        </w:rPr>
        <w:t>ನಿವಾಸಿಗಳಂತೆ</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ದುಷ್ಟ</w:t>
      </w:r>
      <w:r>
        <w:rPr>
          <w:rFonts w:ascii="Times New Roman" w:hAnsi="Times New Roman" w:eastAsia="Times New Roman" w:cs="Times New Roman"/>
        </w:rPr>
        <w:t xml:space="preserve"> </w:t>
      </w:r>
      <w:r>
        <w:rPr>
          <w:rFonts w:ascii="Nirmala UI" w:hAnsi="Nirmala UI" w:eastAsia="Nirmala UI" w:cs="Nirmala UI"/>
        </w:rPr>
        <w:t>ಹೃದಯಗಳ</w:t>
      </w:r>
      <w:r>
        <w:rPr>
          <w:rFonts w:ascii="Times New Roman" w:hAnsi="Times New Roman" w:eastAsia="Times New Roman" w:cs="Times New Roman"/>
        </w:rPr>
        <w:t xml:space="preserve"> </w:t>
      </w:r>
      <w:r>
        <w:rPr>
          <w:rFonts w:ascii="Nirmala UI" w:hAnsi="Nirmala UI" w:eastAsia="Nirmala UI" w:cs="Nirmala UI"/>
        </w:rPr>
        <w:t>ಪ್ರತಿಯೊಂದು</w:t>
      </w:r>
      <w:r>
        <w:rPr>
          <w:rFonts w:ascii="Times New Roman" w:hAnsi="Times New Roman" w:eastAsia="Times New Roman" w:cs="Times New Roman"/>
        </w:rPr>
        <w:t xml:space="preserve"> </w:t>
      </w:r>
      <w:r>
        <w:rPr>
          <w:rFonts w:ascii="Nirmala UI" w:hAnsi="Nirmala UI" w:eastAsia="Nirmala UI" w:cs="Nirmala UI"/>
        </w:rPr>
        <w:t>ಕಲ್ಪನೆಯನ್ನು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ಅನುಸರಿಸಿದರು</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ಪವಿತ್ರ</w:t>
      </w:r>
      <w:r>
        <w:rPr>
          <w:rFonts w:ascii="Times New Roman" w:hAnsi="Times New Roman" w:eastAsia="Times New Roman" w:cs="Times New Roman"/>
        </w:rPr>
        <w:t xml:space="preserve"> </w:t>
      </w:r>
      <w:r>
        <w:rPr>
          <w:rFonts w:ascii="Nirmala UI" w:hAnsi="Nirmala UI" w:eastAsia="Nirmala UI" w:cs="Nirmala UI"/>
        </w:rPr>
        <w:t>ಸಂಗತಿಗಳನ್ನು</w:t>
      </w:r>
      <w:r>
        <w:rPr>
          <w:rFonts w:ascii="Times New Roman" w:hAnsi="Times New Roman" w:eastAsia="Times New Roman" w:cs="Times New Roman"/>
        </w:rPr>
        <w:t xml:space="preserve"> </w:t>
      </w:r>
      <w:r>
        <w:rPr>
          <w:rFonts w:ascii="Nirmala UI" w:hAnsi="Nirmala UI" w:eastAsia="Nirmala UI" w:cs="Nirmala UI"/>
        </w:rPr>
        <w:t>ಹಾಸ್ಯಾಸ್ಪದವಾಗಿ</w:t>
      </w:r>
      <w:r>
        <w:rPr>
          <w:rFonts w:ascii="Times New Roman" w:hAnsi="Times New Roman" w:eastAsia="Times New Roman" w:cs="Times New Roman"/>
        </w:rPr>
        <w:t xml:space="preserve"> </w:t>
      </w:r>
      <w:r>
        <w:rPr>
          <w:rFonts w:ascii="Nirmala UI" w:hAnsi="Nirmala UI" w:eastAsia="Nirmala UI" w:cs="Nirmala UI"/>
        </w:rPr>
        <w:t>ತೋರಿಸಿದರು</w:t>
      </w:r>
      <w:r>
        <w:rPr>
          <w:rFonts w:ascii="Times New Roman" w:hAnsi="Times New Roman" w:eastAsia="Times New Roman" w:cs="Times New Roman"/>
        </w:rPr>
        <w:t>; ‘</w:t>
      </w:r>
      <w:r>
        <w:rPr>
          <w:rFonts w:ascii="Nirmala UI" w:hAnsi="Nirmala UI" w:eastAsia="Nirmala UI" w:cs="Nirmala UI"/>
        </w:rPr>
        <w:t>ಯೆಹೋವನ</w:t>
      </w:r>
      <w:r>
        <w:rPr>
          <w:rFonts w:ascii="Times New Roman" w:hAnsi="Times New Roman" w:eastAsia="Times New Roman" w:cs="Times New Roman"/>
        </w:rPr>
        <w:t xml:space="preserve"> </w:t>
      </w:r>
      <w:r>
        <w:rPr>
          <w:rFonts w:ascii="Nirmala UI" w:hAnsi="Nirmala UI" w:eastAsia="Nirmala UI" w:cs="Nirmala UI"/>
        </w:rPr>
        <w:t>ಮಂದಿರ</w:t>
      </w:r>
      <w:r>
        <w:rPr>
          <w:rFonts w:ascii="Times New Roman" w:hAnsi="Times New Roman" w:eastAsia="Times New Roman" w:cs="Times New Roman"/>
        </w:rPr>
        <w:t xml:space="preserve">, </w:t>
      </w:r>
      <w:r>
        <w:rPr>
          <w:rFonts w:ascii="Nirmala UI" w:hAnsi="Nirmala UI" w:eastAsia="Nirmala UI" w:cs="Nirmala UI"/>
        </w:rPr>
        <w:t>ಯೆಹೋವನ</w:t>
      </w:r>
      <w:r>
        <w:rPr>
          <w:rFonts w:ascii="Times New Roman" w:hAnsi="Times New Roman" w:eastAsia="Times New Roman" w:cs="Times New Roman"/>
        </w:rPr>
        <w:t xml:space="preserve"> </w:t>
      </w:r>
      <w:r>
        <w:rPr>
          <w:rFonts w:ascii="Nirmala UI" w:hAnsi="Nirmala UI" w:eastAsia="Nirmala UI" w:cs="Nirmala UI"/>
        </w:rPr>
        <w:t>ಮಂದಿರ</w:t>
      </w:r>
      <w:r>
        <w:rPr>
          <w:rFonts w:ascii="Times New Roman" w:hAnsi="Times New Roman" w:eastAsia="Times New Roman" w:cs="Times New Roman"/>
        </w:rPr>
        <w:t xml:space="preserve">, </w:t>
      </w:r>
      <w:r>
        <w:rPr>
          <w:rFonts w:ascii="Nirmala UI" w:hAnsi="Nirmala UI" w:eastAsia="Nirmala UI" w:cs="Nirmala UI"/>
        </w:rPr>
        <w:t>ಇವೇ</w:t>
      </w:r>
      <w:r>
        <w:rPr>
          <w:rFonts w:ascii="Times New Roman" w:hAnsi="Times New Roman" w:eastAsia="Times New Roman" w:cs="Times New Roman"/>
        </w:rPr>
        <w:t>’ (</w:t>
      </w:r>
      <w:r>
        <w:rPr>
          <w:rFonts w:ascii="Nirmala UI" w:hAnsi="Nirmala UI" w:eastAsia="Nirmala UI" w:cs="Nirmala UI"/>
        </w:rPr>
        <w:t>ಯೆರೆಮಿಯ</w:t>
      </w:r>
      <w:r>
        <w:rPr>
          <w:rFonts w:ascii="Times New Roman" w:hAnsi="Times New Roman" w:eastAsia="Times New Roman" w:cs="Times New Roman"/>
        </w:rPr>
        <w:t xml:space="preserve"> 7:4)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ಹೇಳುತ್ತಾ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ಸ್ವಭಾವವನ್ನು</w:t>
      </w:r>
      <w:r>
        <w:rPr>
          <w:rFonts w:ascii="Times New Roman" w:hAnsi="Times New Roman" w:eastAsia="Times New Roman" w:cs="Times New Roman"/>
        </w:rPr>
        <w:t xml:space="preserve"> </w:t>
      </w:r>
      <w:r>
        <w:rPr>
          <w:rFonts w:ascii="Nirmala UI" w:hAnsi="Nirmala UI" w:eastAsia="Nirmala UI" w:cs="Nirmala UI"/>
        </w:rPr>
        <w:t>ತಪ್ಪಾಗಿ</w:t>
      </w:r>
      <w:r>
        <w:rPr>
          <w:rFonts w:ascii="Times New Roman" w:hAnsi="Times New Roman" w:eastAsia="Times New Roman" w:cs="Times New Roman"/>
        </w:rPr>
        <w:t xml:space="preserve"> </w:t>
      </w:r>
      <w:r>
        <w:rPr>
          <w:rFonts w:ascii="Nirmala UI" w:hAnsi="Nirmala UI" w:eastAsia="Nirmala UI" w:cs="Nirmala UI"/>
        </w:rPr>
        <w:t>ಪ್ರತಿನಿಧಿಸುತ್ತಾ</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ನಾಮಕ್ಕೆ</w:t>
      </w:r>
      <w:r>
        <w:rPr>
          <w:rFonts w:ascii="Times New Roman" w:hAnsi="Times New Roman" w:eastAsia="Times New Roman" w:cs="Times New Roman"/>
        </w:rPr>
        <w:t xml:space="preserve"> </w:t>
      </w:r>
      <w:r>
        <w:rPr>
          <w:rFonts w:ascii="Nirmala UI" w:hAnsi="Nirmala UI" w:eastAsia="Nirmala UI" w:cs="Nirmala UI"/>
        </w:rPr>
        <w:t>ಅವಮಾನ</w:t>
      </w:r>
      <w:r>
        <w:rPr>
          <w:rFonts w:ascii="Times New Roman" w:hAnsi="Times New Roman" w:eastAsia="Times New Roman" w:cs="Times New Roman"/>
        </w:rPr>
        <w:t xml:space="preserve"> </w:t>
      </w:r>
      <w:r>
        <w:rPr>
          <w:rFonts w:ascii="Nirmala UI" w:hAnsi="Nirmala UI" w:eastAsia="Nirmala UI" w:cs="Nirmala UI"/>
        </w:rPr>
        <w:t>ತಂದು</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ಪರಿಶುದ್ಧಾಲಯವನ್ನು</w:t>
      </w:r>
      <w:r>
        <w:rPr>
          <w:rFonts w:ascii="Times New Roman" w:hAnsi="Times New Roman" w:eastAsia="Times New Roman" w:cs="Times New Roman"/>
        </w:rPr>
        <w:t xml:space="preserve"> </w:t>
      </w:r>
      <w:r>
        <w:rPr>
          <w:rFonts w:ascii="Nirmala UI" w:hAnsi="Nirmala UI" w:eastAsia="Nirmala UI" w:cs="Nirmala UI"/>
        </w:rPr>
        <w:t>ಕಲ್ಮಶಗೊಳಿಸುತ್ತಿದ್ದರು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“Shumëtarët që ishin vënë në ngarkim të vreshtit të Zotit qenë të pabesë ndaj besimit të tyre. Priftërinjtë dhe mësuesit nuk qenë udhëzues besnikë të popullit. Ata nuk ua mbanin përpara syve mirësinë dhe mëshirën e Perëndisë dhe të drejtën e Tij mbi dashurinë dhe shërbimin e tyre. Këta shumëtarë kërkonin lavdinë e vet. Ata dëshironin t’i përvetësonin frytet e vreshtit. Qëllimi i tyre ishte të tërhiqnin vëmendjen dhe nderimin ndaj vetvetes.” Christ’s Object Lessons, 292.</w:t>
      </w:r>
    </w:p>
    <w:p>
      <w:pPr>
        <w:pStyle w:val="ArticleBody"/>
        <w:jc w:val="left"/>
      </w:pP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የሚለራውያን</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1856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የፊላዴልፊያውያን</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አቋርጦ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በኤልያስ</w:t>
      </w:r>
      <w:r>
        <w:rPr>
          <w:rFonts w:ascii="Times New Roman" w:hAnsi="Times New Roman" w:eastAsia="Times New Roman" w:cs="Times New Roman"/>
        </w:rPr>
        <w:t xml:space="preserve"> (William Miller) </w:t>
      </w:r>
      <w:r>
        <w:rPr>
          <w:rFonts w:ascii="Ebrima" w:hAnsi="Ebrima" w:eastAsia="Ebrima" w:cs="Ebrima"/>
        </w:rPr>
        <w:t>የቀረበው</w:t>
      </w:r>
      <w:r>
        <w:rPr>
          <w:rFonts w:ascii="Times New Roman" w:hAnsi="Times New Roman" w:eastAsia="Times New Roman" w:cs="Times New Roman"/>
        </w:rPr>
        <w:t xml:space="preserve"> </w:t>
      </w:r>
      <w:r>
        <w:rPr>
          <w:rFonts w:ascii="Ebrima" w:hAnsi="Ebrima" w:eastAsia="Ebrima" w:cs="Ebrima"/>
        </w:rPr>
        <w:t>የሙሴ</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ተቀባይነት</w:t>
      </w:r>
      <w:r>
        <w:rPr>
          <w:rFonts w:ascii="Times New Roman" w:hAnsi="Times New Roman" w:eastAsia="Times New Roman" w:cs="Times New Roman"/>
        </w:rPr>
        <w:t xml:space="preserve"> </w:t>
      </w:r>
      <w:r>
        <w:rPr>
          <w:rFonts w:ascii="Ebrima" w:hAnsi="Ebrima" w:eastAsia="Ebrima" w:cs="Ebrima"/>
        </w:rPr>
        <w:t>አጣ፤</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መከለከል</w:t>
      </w:r>
      <w:r>
        <w:rPr>
          <w:rFonts w:ascii="Times New Roman" w:hAnsi="Times New Roman" w:eastAsia="Times New Roman" w:cs="Times New Roman"/>
        </w:rPr>
        <w:t xml:space="preserve"> </w:t>
      </w:r>
      <w:r>
        <w:rPr>
          <w:rFonts w:ascii="Ebrima" w:hAnsi="Ebrima" w:eastAsia="Ebrima" w:cs="Ebrima"/>
        </w:rPr>
        <w:t>በቤቴል</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1863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የጀመሩት</w:t>
      </w:r>
      <w:r>
        <w:rPr>
          <w:rFonts w:ascii="Times New Roman" w:hAnsi="Times New Roman" w:eastAsia="Times New Roman" w:cs="Times New Roman"/>
        </w:rPr>
        <w:t xml:space="preserve"> </w:t>
      </w:r>
      <w:r>
        <w:rPr>
          <w:rFonts w:ascii="Ebrima" w:hAnsi="Ebrima" w:eastAsia="Ebrima" w:cs="Ebrima"/>
        </w:rPr>
        <w:t>ስልሳ</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የኢሳይያስ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ነበረ።</w:t>
      </w:r>
    </w:p>
    <w:p>
      <w:pPr>
        <w:pStyle w:val="ArticleScripture"/>
        <w:jc w:val="left"/>
      </w:pPr>
      <w:r>
        <w:rPr>
          <w:rFonts w:ascii="Times New Roman" w:hAnsi="Times New Roman" w:eastAsia="Times New Roman" w:cs="Times New Roman"/>
        </w:rPr>
        <w:t>Og det skete i de dage, da Akaz, Jotams søn, Uzzijas søn, var konge i Juda, at Rezin, Arams konge, og Pekah, Remaljas søn, Israels konge, drog op mod Jerusalem for at føre krig imod den, men de kunne ikke få overhånd over den. Og det blev meldt til Davids hus med ordene: Aram har sluttet forbund med Efraim. Da bævede hans hjerte og hans folks hjerte, som skovens træer bæver for vinden. Da sagde Herren til Esajas: Gå nu ud for at møde Akaz, du og din søn Shearjashub, ved enden af ledningen fra den øvre dam, på vejen til valkerens mark. Og sig til ham: Tag dig i agt og forhold dig rolig; frygt ikke, og lad ikke dit hjerte blive modløst for disse to rygende brandestumper, for den brændende vrede hos Rezin og Aram og hos Remaljas søn. Fordi Aram, Efraim og Remaljas søn har lagt onde råd op imod dig og sagt: Lad os drage op mod Juda og skræmme det og bryde ind i det for os og sætte en konge midt i det, nemlig Tabeals søn — derfor siger den Herre Gud: Det skal ikke stå fast, og det skal ikke ske. For Arams hoved er Damaskus, og Damaskus’ hoved er Rezin; og inden femogtres år skal Efraim være knust, så det ikke mere er et folk. Og Efraims hoved er Samaria, og Samarias hoved er Remaljas søn. Hvis I ikke tror, skal I visselig ikke blive stående fast. Esajas 7:1–9.</w:t>
      </w:r>
    </w:p>
    <w:p>
      <w:pPr>
        <w:pStyle w:val="ArticleBody"/>
        <w:jc w:val="left"/>
      </w:pP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আটের</w:t>
      </w:r>
      <w:r>
        <w:rPr>
          <w:rFonts w:ascii="Times New Roman" w:hAnsi="Times New Roman" w:eastAsia="Times New Roman" w:cs="Times New Roman"/>
        </w:rPr>
        <w:t xml:space="preserve"> </w:t>
      </w:r>
      <w:r>
        <w:rPr>
          <w:rFonts w:ascii="Nirmala UI" w:hAnsi="Nirmala UI" w:eastAsia="Nirmala UI" w:cs="Nirmala UI"/>
        </w:rPr>
        <w:t>পঁয়ষট্টি</w:t>
      </w:r>
      <w:r>
        <w:rPr>
          <w:rFonts w:ascii="Times New Roman" w:hAnsi="Times New Roman" w:eastAsia="Times New Roman" w:cs="Times New Roman"/>
        </w:rPr>
        <w:t>-</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পঁয়ষট্টি</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সময়সীমার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উত্তরাঞ্চলের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রাজ্যকে</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৭৪২</w:t>
      </w:r>
      <w:r>
        <w:rPr>
          <w:rFonts w:ascii="Times New Roman" w:hAnsi="Times New Roman" w:eastAsia="Times New Roman" w:cs="Times New Roman"/>
        </w:rPr>
        <w:t xml:space="preserve"> </w:t>
      </w:r>
      <w:r>
        <w:rPr>
          <w:rFonts w:ascii="Nirmala UI" w:hAnsi="Nirmala UI" w:eastAsia="Nirmala UI" w:cs="Nirmala UI"/>
        </w:rPr>
        <w:t>খ্রিস্টপূর্বাব্দে</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উনিশ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৭২৩</w:t>
      </w:r>
      <w:r>
        <w:rPr>
          <w:rFonts w:ascii="Times New Roman" w:hAnsi="Times New Roman" w:eastAsia="Times New Roman" w:cs="Times New Roman"/>
        </w:rPr>
        <w:t xml:space="preserve"> </w:t>
      </w:r>
      <w:r>
        <w:rPr>
          <w:rFonts w:ascii="Nirmala UI" w:hAnsi="Nirmala UI" w:eastAsia="Nirmala UI" w:cs="Nirmala UI"/>
        </w:rPr>
        <w:t>খ্রিস্টপূর্বাব্দে</w:t>
      </w:r>
      <w:r>
        <w:rPr>
          <w:rFonts w:ascii="Times New Roman" w:hAnsi="Times New Roman" w:eastAsia="Times New Roman" w:cs="Times New Roman"/>
        </w:rPr>
        <w:t xml:space="preserve">, </w:t>
      </w:r>
      <w:r>
        <w:rPr>
          <w:rFonts w:ascii="Nirmala UI" w:hAnsi="Nirmala UI" w:eastAsia="Nirmala UI" w:cs="Nirmala UI"/>
        </w:rPr>
        <w:t>ইফ্রয়িম</w:t>
      </w:r>
      <w:r>
        <w:rPr>
          <w:rFonts w:ascii="Times New Roman" w:hAnsi="Times New Roman" w:eastAsia="Times New Roman" w:cs="Times New Roman"/>
        </w:rPr>
        <w:t xml:space="preserve"> </w:t>
      </w:r>
      <w:r>
        <w:rPr>
          <w:rFonts w:ascii="Nirmala UI" w:hAnsi="Nirmala UI" w:eastAsia="Nirmala UI" w:cs="Nirmala UI"/>
        </w:rPr>
        <w:t>ছত্রভঙ্গ</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অশূরীয়দের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গমন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৬৭৭</w:t>
      </w:r>
      <w:r>
        <w:rPr>
          <w:rFonts w:ascii="Times New Roman" w:hAnsi="Times New Roman" w:eastAsia="Times New Roman" w:cs="Times New Roman"/>
        </w:rPr>
        <w:t xml:space="preserve"> </w:t>
      </w:r>
      <w:r>
        <w:rPr>
          <w:rFonts w:ascii="Nirmala UI" w:hAnsi="Nirmala UI" w:eastAsia="Nirmala UI" w:cs="Nirmala UI"/>
        </w:rPr>
        <w:t>খ্রিস্টপূর্বাব্দে</w:t>
      </w:r>
      <w:r>
        <w:rPr>
          <w:rFonts w:ascii="Times New Roman" w:hAnsi="Times New Roman" w:eastAsia="Times New Roman" w:cs="Times New Roman"/>
        </w:rPr>
        <w:t xml:space="preserve">, </w:t>
      </w:r>
      <w:r>
        <w:rPr>
          <w:rFonts w:ascii="Nirmala UI" w:hAnsi="Nirmala UI" w:eastAsia="Nirmala UI" w:cs="Nirmala UI"/>
        </w:rPr>
        <w:t>পঁয়ষট্টি</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মনশি</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৭৪২</w:t>
      </w:r>
      <w:r>
        <w:rPr>
          <w:rFonts w:ascii="Times New Roman" w:hAnsi="Times New Roman" w:eastAsia="Times New Roman" w:cs="Times New Roman"/>
        </w:rPr>
        <w:t xml:space="preserve"> </w:t>
      </w:r>
      <w:r>
        <w:rPr>
          <w:rFonts w:ascii="Nirmala UI" w:hAnsi="Nirmala UI" w:eastAsia="Nirmala UI" w:cs="Nirmala UI"/>
        </w:rPr>
        <w:t>খ্রিস্টপূর্বাব্দের</w:t>
      </w:r>
      <w:r>
        <w:rPr>
          <w:rFonts w:ascii="Times New Roman" w:hAnsi="Times New Roman" w:eastAsia="Times New Roman" w:cs="Times New Roman"/>
        </w:rPr>
        <w:t xml:space="preserve"> </w:t>
      </w:r>
      <w:r>
        <w:rPr>
          <w:rFonts w:ascii="Nirmala UI" w:hAnsi="Nirmala UI" w:eastAsia="Nirmala UI" w:cs="Nirmala UI"/>
        </w:rPr>
        <w:t>সূচনাবিন্দু</w:t>
      </w:r>
      <w:r>
        <w:rPr>
          <w:rFonts w:ascii="Times New Roman" w:hAnsi="Times New Roman" w:eastAsia="Times New Roman" w:cs="Times New Roman"/>
        </w:rPr>
        <w:t xml:space="preserve"> </w:t>
      </w:r>
      <w:r>
        <w:rPr>
          <w:rFonts w:ascii="Nirmala UI" w:hAnsi="Nirmala UI" w:eastAsia="Nirmala UI" w:cs="Nirmala UI"/>
        </w:rPr>
        <w:t>উত্তরাঞ্চলের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দক্ষিণাঞ্চলীয়</w:t>
      </w:r>
      <w:r>
        <w:rPr>
          <w:rFonts w:ascii="Times New Roman" w:hAnsi="Times New Roman" w:eastAsia="Times New Roman" w:cs="Times New Roman"/>
        </w:rPr>
        <w:t xml:space="preserve"> </w:t>
      </w:r>
      <w:r>
        <w:rPr>
          <w:rFonts w:ascii="Nirmala UI" w:hAnsi="Nirmala UI" w:eastAsia="Nirmala UI" w:cs="Nirmala UI"/>
        </w:rPr>
        <w:t>রাজ্যগুলির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গৃহযুদ্ধকে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মার্কিন</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মধ্যকার</w:t>
      </w:r>
      <w:r>
        <w:rPr>
          <w:rFonts w:ascii="Times New Roman" w:hAnsi="Times New Roman" w:eastAsia="Times New Roman" w:cs="Times New Roman"/>
        </w:rPr>
        <w:t xml:space="preserve"> </w:t>
      </w:r>
      <w:r>
        <w:rPr>
          <w:rFonts w:ascii="Nirmala UI" w:hAnsi="Nirmala UI" w:eastAsia="Nirmala UI" w:cs="Nirmala UI"/>
        </w:rPr>
        <w:t>গৃহযুদ্ধের</w:t>
      </w:r>
      <w:r>
        <w:rPr>
          <w:rFonts w:ascii="Times New Roman" w:hAnsi="Times New Roman" w:eastAsia="Times New Roman" w:cs="Times New Roman"/>
        </w:rPr>
        <w:t xml:space="preserve"> </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কেন্দ্রবিন্দুকে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ভাববাণীটি</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গৌরবময়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ভাববাণীটি</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গৌরবময়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মার্কিন</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Ko maahtowaayi tati nankattooje wonnde annabaaku duuɓi laso e joy e joweego. Konngol yeesoore ngol 742 BC, ndee ngol laamateeri nguurndam, waɗi ndimmol e duuɓi sappo e joweego haa fii sankitoore laamateeri leydi ndii, ngol 723 BC. E timmitaade duuɓi laso e joy e joweego ɗiin, laamateeri leydi bannge ndii sankitii. Annabaaku nguu, e waɗde e fuɗɗorde mum e timmitaade mum, ko woni cente ɗiɗi ɗi “tikkuji” Alla dow laamateeri leydi ndii reenoore e laamateeri leydi bannge ndii; e tikkuji ɗiɗi ɗiin, e fuɗɗorde maaji, duuɓi sappo e joweego njooɗii yeeso maaji, kadi caggal heewtinaade maaji duuɓi sappo e joweego goɗɗi rewtii.</w:t>
      </w:r>
    </w:p>
    <w:p>
      <w:pPr>
        <w:pStyle w:val="ArticleBody"/>
        <w:jc w:val="left"/>
      </w:pPr>
      <w:r>
        <w:rPr>
          <w:rFonts w:ascii="Times New Roman" w:hAnsi="Times New Roman" w:eastAsia="Times New Roman" w:cs="Times New Roman"/>
        </w:rPr>
        <w:t>ꞌNkyekyɛmu no nyinaa a wɔahyehyɛ no chiasm mu no kyerɛ bere bi a ɔmanko a ɛkɔ so wɔ atifi ne anafo ntam a ɛhyɛ mfiase ne awiei nsow. Mfiase ne awiei no mfinimfini no, ɔmanko no mu atamfo baanu no nyinaa de wɔn kɔɔ nkoasom mu; na mfe aduosia anum no mu a wɔboaboa wɔn fi wɔn nkoasom mu ahwetehwete a ɛda wɔn baanu nyinaa so no ano ma wɔyɛ ɔman baako no, wodu afe 1863 so, a ɛno ne Emancipation Proclamation no da a ɛmaa nkoa no de wɔn ho. Nkɔmhyɛ a ɛfa ɔmanko ho wɔ Yuda ankasa mu no wie wɔ ɔmanko a ɛwɔ Yuda honhom mu no so, efisɛ Yesu daa ade bi awiei ho mfonini denam ade bi mfiase so bere nyinaa, na Ɔno ne Alfa ne Omega.</w:t>
      </w:r>
    </w:p>
    <w:p>
      <w:pPr>
        <w:pStyle w:val="ArticleBody"/>
        <w:jc w:val="left"/>
      </w:pPr>
      <w:r>
        <w:rPr>
          <w:rFonts w:ascii="Times New Roman" w:hAnsi="Times New Roman" w:eastAsia="Times New Roman" w:cs="Times New Roman"/>
        </w:rPr>
        <w:t>Historia ya 1863 iliwakilishwa na historia ya 742 KK, wakati nabii Isaya, pamoja na mwanawe, walipotoa ujumbe kwa mfalme mwovu wa Yuda (Ahazi). Mwaka 742 KK katika kifungu hicho unawakilishwa na ushuhuda wa mfalme Ahazi, aliyekuwa mfalme wa Yuda na ambaye alikuwa amesitisha huduma ya patakatifu pa Mungu na kumfanya kuhani wake mkuu asimamishe mfano wa hekalu la Kisyri ndani ya viunga vyenyewe vya patakatifu pa Mungu duniani.</w:t>
      </w:r>
    </w:p>
    <w:p>
      <w:pPr>
        <w:pStyle w:val="ArticleBody"/>
        <w:jc w:val="left"/>
      </w:pPr>
      <w:r>
        <w:rPr>
          <w:rFonts w:ascii="Times New Roman" w:hAnsi="Times New Roman" w:eastAsia="Times New Roman" w:cs="Times New Roman"/>
        </w:rPr>
        <w:t>I ka histori bilong nogut king Ahas (we profesi bilong Aisaia i makim olsem long 742 BC), hetman bilong Jerusalem i bin bringim lotu bilong haiden pasin (Katolik) i go insait long sios bilong God, wankain olsem Laodisia Adventism i bin go bek long pasin na rot bilong bagarap Protestantism bilong tromoi i go we tok bilong Moses em Elaija i bin bringim. Long 742 BC, Aisaia i bin bungim nogut king bilong Juda long pinis bilong wara rot bilong antap pul, klostu long gaden bilong wasman bilong laplap, na taim em i mekim dispela em i bin kisim pikinini man bilong em wantaim. Nem bilong pikinini bilong em i bin stap olsem wanpela sain, na taim profet bilong Juda i bin bungim king Jeroboam, em tu i bin givim em wanpela sain.</w:t>
      </w:r>
    </w:p>
    <w:p>
      <w:pPr>
        <w:pStyle w:val="ArticleScripture"/>
        <w:jc w:val="left"/>
      </w:pPr>
      <w:r>
        <w:rPr>
          <w:rFonts w:ascii="Times New Roman" w:hAnsi="Times New Roman" w:eastAsia="Times New Roman" w:cs="Times New Roman"/>
        </w:rPr>
        <w:t>Regardez, moi et les enfants que l’Éternel m’a donnés, nous sommes pour des signes et pour des prodiges en Israël, de la part de l’Éternel des armées, qui habite sur la montagne de Sion. Ésaïe 8:18.</w:t>
      </w:r>
    </w:p>
    <w:p>
      <w:pPr>
        <w:pStyle w:val="ArticleBody"/>
        <w:jc w:val="left"/>
      </w:pPr>
      <w:r>
        <w:rPr>
          <w:rFonts w:ascii="Times New Roman" w:hAnsi="Times New Roman" w:eastAsia="Times New Roman" w:cs="Times New Roman"/>
        </w:rPr>
        <w:t>Le nom du fils d’Ésaïe, « Shearjashub », signifie : « Un reste reviendra. » Ceux qui « reviennent » et qui constituent le reste sont ceux qui attendent le Seigneur pendant le temps du retard.</w:t>
      </w:r>
    </w:p>
    <w:p>
      <w:pPr>
        <w:pStyle w:val="ArticleScripture"/>
        <w:jc w:val="left"/>
      </w:pPr>
      <w:r>
        <w:rPr>
          <w:rFonts w:ascii="Times New Roman" w:hAnsi="Times New Roman" w:eastAsia="Times New Roman" w:cs="Times New Roman"/>
        </w:rPr>
        <w:t>A ndzi rindzela Yehovha, la fihlayo xikandza xakwe eka yindlu ya Yakobo, naswona ndzi ta langutela yena. Vonani, mina ni vana lava Yehovha a ndzi nyikeke vona hi va swikombiso ni swihlamariso eIsrayele leswi humaka eka Yehovha wa mavandla, la tshamaka entshaveni ya Siyoni. Esaya 8:17, 18.</w:t>
      </w:r>
    </w:p>
    <w:p>
      <w:pPr>
        <w:pStyle w:val="ArticleBody"/>
        <w:jc w:val="left"/>
      </w:pPr>
      <w:r>
        <w:rPr>
          <w:rFonts w:ascii="Times New Roman" w:hAnsi="Times New Roman" w:eastAsia="Times New Roman" w:cs="Times New Roman"/>
        </w:rPr>
        <w:t>Исаия, вступая во взаимодействие с нечестивым царём Ахазом в 742 году до Р. Х., представляет тех, кто «ожидал», ибо все пророки говорят о последних днях, а те, кто «ожидают» в последние дни, — это те, кто пережил первое разочарование. Иеремия полагал, что Бог солгал и удержал дождь, а Исаия считает, что Бог сокрыл «лице Свое от дома Иакова»; однако Исаия решает, что будет ждать и искать Господа, что представляет «мудрых» во время замедления исполнения видения. Те, кто действительно возвратились и отделили драгоценное от ничтожного, которым надлежало стать устами Божиими, были запечатлены и потому противопоставлены тем, кто принимает начертание зверя.</w:t>
      </w:r>
    </w:p>
    <w:p>
      <w:pPr>
        <w:pStyle w:val="ArticleScripture"/>
        <w:jc w:val="left"/>
      </w:pPr>
      <w:r>
        <w:rPr>
          <w:rFonts w:ascii="Times New Roman" w:hAnsi="Times New Roman" w:eastAsia="Times New Roman" w:cs="Times New Roman"/>
        </w:rPr>
        <w:t>وكان كثيرون منهم يعثرون، ويسقطون، وينكسرون، ويُصادون، ويُؤخذون. لفّ الشهادة، واختم الشريعة بين تلاميذي. وأصبر للرب، الحاجب وجهه عن بيت يعقوب، وأترجّاه. هأنذا أنا والأولاد الذين أعطانيهم الرب آياتٍ وعجائب في إسرائيل من عند رب الجنود، الساكن في جبل صهيون. وإذا قالوا لكم: اطلبوا إلى أصحاب الأرواح المألوفة، وإلى العرّافين الذين يهمسون ويتمتمون، أفلا يطلب شعبٌ إلى إلهه؟ أَيُطلَب من أجل الأحياء إلى الأموات؟ إلى الشريعة وإلى الشهادة! إن لم يقولوا مثل هذا القول، فليس لهم فجر. إشعياء 8:16–20.</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“Baku ndị a abụghị okwu Nwannaanyị White, kama ọ bụ okwu nke Onyenwe anyị, ma onye ozi Ya enyewo m ha ka m nye unu. Chineke na-akpọ unu ka unu gharazi iso Ya rụọ ọrụ n’ụzọ na-emegiderịta Ya. E nyere ọtụtụ ntụziaka banyere ndị mmadụ na-ekwu na ha bụ Ndị Kraịst ebe ha na-egosipụta àgwà Setan, na-egbochi n’mmụọ, n’okwu, na n’omume ịga n’ihu nke eziokwu, ma n’ezie na-eso ụzọ ahụ Setan na-eduga ha. N’ịkpọchi obi ha akpọchi, ha ejidela ikike nke na-abụghị nke ha n’ụzọ ọ bụla, nke ha ekwesịghịkwa iji rụọ ọrụ. Nnukwu Onye Ozizi ahụ na-ekwu sị, ‘Aga m akwatu, akwatu, akwatu.’ Ndị mmadụ na-ekwu na Battle Creek, ‘Ụlọ nsọ nke Onyenwe anyị, ụlọ nsọ nke Onyenwe anyị ka anyị bụ,’ ma ha na-eji ọkụ nkịtị. Obi ha adịghị nro ma ọ bụ nọrọ n’okpuru amara nke Chineke.”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soixante-quatorze</dc:title>
  <dc:subject>揭开先知性谜题：以西结所见的可憎之事、末日的教会，以及兽的印记</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