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هفتاد و پنج</w:t>
      </w:r>
    </w:p>
    <w:p>
      <w:pPr>
        <w:pStyle w:val="ArticleSubtitle"/>
        <w:jc w:val="left"/>
      </w:pPr>
      <w:r>
        <w:rPr>
          <w:rFonts w:ascii="Arial" w:hAnsi="Arial" w:eastAsia="Arial" w:cs="Arial"/>
        </w:rPr>
        <w:t>Les parallèles prophétiques : du message d’Ésaïe aux révélations des temps modernes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E sa tuuina mai e Isaia le feʻau o loo faatusaina e tausaga e onosefulu ma le lima (mataupu fitu, fuaiupu valu) i le ta’ita’i amioleaga o Ierusalema, na ia faia ai lea mea i tafatafa o le “fanua o le tagata faamamā ie” ma le “i’uga o le alavai o le vaita’ele i luga,” i le tausaga 742 TLM. O le 742 TLM e faatusa i le 1863, auā e masani ona faaalia e Iesu le i’uga e ala i le amataga. O le fouvalega o le 1863, i lona faasologa, e faatusa i le tulafono o le Aso Sa i le Iunaite Setete, auā e masani ona faaalia e Iesu le i’uga o se mea e ala i le amataga o se mea. O le 1863 o le amataga lea o le ekalesia Adventist Laotisea ua lesitalaina faaletulafono, ma ua tuua lenā ekalesia e faatafunaina i le “mafui‘e tele” o le tulafono o le Aso Sa. E faapefea ona mafai e se faalapotopotoga ua pulea faaletulafono e le Malo (ae lē o le isi itu, o le Ekalesia e pulea le Malo), ona faaauau pea ona tausia le Sapati o le aso fitu, i le taimi lava lea ua faasāina faaletulafono e lenā lava malo le tapuaʻi i le aso fitu?</w:t>
      </w:r>
    </w:p>
    <w:p>
      <w:pPr>
        <w:pStyle w:val="ArticleBody"/>
        <w:jc w:val="left"/>
      </w:pPr>
      <w:r>
        <w:rPr>
          <w:rFonts w:ascii="Times New Roman" w:hAnsi="Times New Roman" w:eastAsia="Times New Roman" w:cs="Times New Roman"/>
        </w:rPr>
        <w:t>No começo e no fim do ministério de Cristo, Ele purificou o templo. Na primeira purificação do templo, Cristo identificou que os líderes haviam feito da “casa de seu Pai” um covil de ladrões; mas, na última purificação do templo, Ele declarou que “a sua casa” lhes era deixada deserta. O antigo Israel ilustra o Israel moderno. Ele erigiu e purificou o templo milerita no início do adventismo, mas, na purificação final, a purificação dos cento e quarenta e quatro mil, o adventismo laodiceano é vomitado de Sua boca, e “a sua casa” então é deixada deserta.</w:t>
      </w:r>
    </w:p>
    <w:p>
      <w:pPr>
        <w:pStyle w:val="ArticleBody"/>
        <w:jc w:val="left"/>
      </w:pPr>
      <w:r>
        <w:rPr>
          <w:rFonts w:ascii="Times New Roman" w:hAnsi="Times New Roman" w:eastAsia="Times New Roman" w:cs="Times New Roman"/>
        </w:rPr>
        <w:t>Esaïe se trouve près du champ du foulon lorsqu’il se présente devant le roi Achaz. Le champ du foulon représente la purification accomplie par le Messager de l’Alliance qui vient soudain à Son temple et purifie les fils de Lévi comme avec la « lessive des foulons ». Cette purification fut accomplie au commencement de l’adventisme, et elle s’accomplit de nouveau à la fin.</w:t>
      </w:r>
    </w:p>
    <w:p>
      <w:pPr>
        <w:pStyle w:val="ArticleScripture"/>
        <w:jc w:val="left"/>
      </w:pPr>
      <w:r>
        <w:rPr>
          <w:rFonts w:ascii="Times New Roman" w:hAnsi="Times New Roman" w:eastAsia="Times New Roman" w:cs="Times New Roman"/>
        </w:rPr>
        <w:t>Voyez, j’enverrai mon messager, et il préparera le chemin devant moi; et soudain entrera dans son temple le Seigneur que vous cherchez, le messager de l’alliance que vous désirez: voici, il vient, dit l’Éternel des armées. Mais qui pourra soutenir le jour de sa venue? et qui subsistera lorsqu’il paraîtra? Car il est comme le feu du fondeur, et comme la potasse des foulons. Il s’assiéra comme celui qui fond et purifie l’argent; il purifiera les fils de Lévi, et les épurera comme l’or et l’argent, afin qu’ils présentent à l’Éternel des offrandes avec justice. Alors l’offrande de Juda et de Jérusalem sera agréable à l’Éternel, comme aux anciens jours, comme aux années d’autrefois. Malachie 3:1–4.</w:t>
      </w:r>
    </w:p>
    <w:p>
      <w:pPr>
        <w:pStyle w:val="ArticleBody"/>
        <w:jc w:val="left"/>
      </w:pPr>
      <w:r>
        <w:rPr>
          <w:rFonts w:ascii="Nirmala UI" w:hAnsi="Nirmala UI" w:eastAsia="Nirmala UI" w:cs="Nirmala UI"/>
        </w:rPr>
        <w:t>ईशायाह</w:t>
      </w:r>
      <w:r>
        <w:rPr>
          <w:rFonts w:ascii="Times New Roman" w:hAnsi="Times New Roman" w:eastAsia="Times New Roman" w:cs="Times New Roman"/>
        </w:rPr>
        <w:t xml:space="preserve"> </w:t>
      </w:r>
      <w:r>
        <w:rPr>
          <w:rFonts w:ascii="Nirmala UI" w:hAnsi="Nirmala UI" w:eastAsia="Nirmala UI" w:cs="Nirmala UI"/>
        </w:rPr>
        <w:t>अहाज़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शेषजन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ईशायाह</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अहाज़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p>
    <w:p>
      <w:pPr>
        <w:pStyle w:val="ArticleScripture"/>
        <w:jc w:val="left"/>
      </w:pPr>
      <w:r>
        <w:rPr>
          <w:rFonts w:ascii="Times New Roman" w:hAnsi="Times New Roman" w:eastAsia="Times New Roman" w:cs="Times New Roman"/>
        </w:rPr>
        <w:t>“Kui adventistid oleksid pärast suurt pettumust 1844. aastal oma usust kindlalt kinni hoidnud ja üksmeelselt edasi läinud Jumala avanevas juhtimises, võttes vastu kolmanda ingli kuulutuse ning kuulutades seda Püha Vaimu väes maailmale, oleksid nad näinud Jumala päästet, Issand oleks nende jõupingutustega vägevasti toiminud, töö oleks lõpetatud ning Kristus oleks juba ammu tulnud võtma oma rahvast vastu nende tasu saamiseks. Kuid kahtluse ja ebakindluse ajajärgul, mis järgnes pettumusele, loobusid paljud adventusklikud oma usust.... Nõnda sai töö takistatud ja maailm jäeti pimedusse. Kui kogu adventrahvas oleks ühinenud Jumala käskudele ja Jeesuse usule, kui palju teistsugune oleks olnud meie ajalugu!” Evangelism, 695.</w:t>
      </w:r>
    </w:p>
    <w:p>
      <w:pPr>
        <w:pStyle w:val="ArticleBody"/>
        <w:jc w:val="left"/>
      </w:pPr>
      <w:r>
        <w:rPr>
          <w:rFonts w:ascii="Times New Roman" w:hAnsi="Times New Roman" w:eastAsia="Times New Roman" w:cs="Times New Roman"/>
        </w:rPr>
        <w:t>Um fato de não “prosseguirem unidos na providência de Deus que então se abria” levou-os a uma condição laodiceana por volta de 1856, e a rebelião subsequente de 1863 assinalou o início da peregrinação no deserto, a qual fora ilustrada pelo antigo Israel quando este falhou em sua décima e última prova e foi então condenado a morrer no deserto ao longo dos quarenta anos seguintes.</w:t>
      </w:r>
    </w:p>
    <w:p>
      <w:pPr>
        <w:pStyle w:val="ArticleBody"/>
        <w:jc w:val="left"/>
      </w:pPr>
      <w:r>
        <w:rPr>
          <w:rFonts w:ascii="Times New Roman" w:hAnsi="Times New Roman" w:eastAsia="Times New Roman" w:cs="Times New Roman"/>
        </w:rPr>
        <w:t>Le fils d’Ésaïe fournit la promesse qu’au moment de la purification finale du temple des derniers jours, « un reste reviendra ». Leur « retour » est illustré par Jérémie, à qui il fut promis que s’il « revenait », il deviendrait le guetteur de Dieu. Les cent quarante-quatre mille sont ceux qui sont revenus d’une déception.</w:t>
      </w:r>
    </w:p>
    <w:p>
      <w:pPr>
        <w:pStyle w:val="ArticleBody"/>
        <w:jc w:val="left"/>
      </w:pPr>
      <w:r>
        <w:rPr>
          <w:rFonts w:ascii="Times New Roman" w:hAnsi="Times New Roman" w:eastAsia="Times New Roman" w:cs="Times New Roman"/>
        </w:rPr>
        <w:t>Les cent quarante-quatre mille ont connu une déception et ont attendu leur Seigneur. Ils ont été représentés, dans l’histoire millérite, par les vierges sages; et, tant dans l’histoire du commencement que dans celle de la fin, deux bâtons sont réunis en une seule nation, lors de l’effusion du Saint-Esprit au temps du Cri de Minuit.</w:t>
      </w:r>
    </w:p>
    <w:p>
      <w:pPr>
        <w:pStyle w:val="ArticleBody"/>
        <w:jc w:val="left"/>
      </w:pPr>
      <w:r>
        <w:rPr>
          <w:rFonts w:ascii="Times New Roman" w:hAnsi="Times New Roman" w:eastAsia="Times New Roman" w:cs="Times New Roman"/>
        </w:rPr>
        <w:t>Roi méchant, Achaz représente la direction de Juda qui aura entendu le message, mais qui rejette le message présenté par Ésaïe, et ce faisant ils « trébucheront, tomberont, seront brisés, enlacés dans le piège et pris ». Ce sont ceux qui « consultent ceux qui ont des esprits familiers, et les magiciens qui chuchotent et qui murmurent », représentant l’expérience du spiritisme à laquelle ils succombent en recevant la puissante séduction de 2 Thessaloniciens. Le rejet, par Achaz, du message d’Ésaïe en 742 av. J.-C. correspond à 1863, lorsque le message de Miller fut rejeté. Ésaïe est une figure typologique de Miller, et le message tant d’Ésaïe que de Miller était fondé sur les « sept temps », qui trouvent leur point d’ancrage au verset huit d’Ésaïe, chapitre sept. Le fils de Miller (le fils d’Ésaïe) représente le mouvement d’Élie qui vient dans les derniers jours.</w:t>
      </w:r>
    </w:p>
    <w:p>
      <w:pPr>
        <w:pStyle w:val="ArticleBody"/>
        <w:jc w:val="left"/>
      </w:pPr>
      <w:r>
        <w:rPr>
          <w:rFonts w:ascii="Times New Roman" w:hAnsi="Times New Roman" w:eastAsia="Times New Roman" w:cs="Times New Roman"/>
        </w:rPr>
        <w:t>Okulanga kwa Ahazi olw’okugaanibwa kwe kwali kuliko n’okulagula nti alisingibwa kabaka ow’obukiikakkono, oyo mu nnaku ez’enkomerero ye bumu obw’emirundi esatu obwa Rooma eya leero, efugibwa Obwapapa.</w:t>
      </w:r>
    </w:p>
    <w:p>
      <w:pPr>
        <w:pStyle w:val="ArticleScripture"/>
        <w:jc w:val="left"/>
      </w:pPr>
      <w:r>
        <w:rPr>
          <w:rFonts w:ascii="Times New Roman" w:hAnsi="Times New Roman" w:eastAsia="Times New Roman" w:cs="Times New Roman"/>
        </w:rPr>
        <w:t>Ἀπεκρίθη δέ μοι Κύριος ἔτι λέγων· Ἐπειδὴ ὁ λαὸς οὗτος ἀπώσατο τὸ ὕδωρ τοῦ Σιλωὰμ τὸ πορευόμενον ἠρέμως, καὶ χαίρει ἐπὶ Ραασσὼν καὶ τῷ υἱῷ Ρομελίου, διὰ τοῦτο ἰδοὺ ὁ Κύριος ἀνάγει ἐπ’ αὐτοὺς τὸ ὕδωρ τοῦ ποταμοῦ, ἰσχυρὸν καὶ πολὺ, τὸν βασιλέα Ἀσσυρίων καὶ πᾶσαν τὴν δόξαν αὐτοῦ· καὶ ἀναβήσεται ἐπὶ πάσας τὰς φάραγγας αὐτοῦ, καὶ πορεύσεται ἐπὶ πάντα τὰ τείχη αὐτοῦ· καὶ ἀφελεῖται ἐκ τῆς Ἰουδαίας ἄνθρωπος δυνατὸς καὶ ὁ δυνάμενος ἀνακύψαι τὴν κεφαλήν, καὶ ἔσται ἡ παρεμβολὴ αὐτοῦ ὥστε πληρῶσαι τὸ πλάτος τῆς χώρας σου, μεθ’ ἡμῶν ὁ Θεός. Ἠσαΐας 8:5–8.</w:t>
      </w:r>
    </w:p>
    <w:p>
      <w:pPr>
        <w:pStyle w:val="ArticleBody"/>
        <w:jc w:val="left"/>
      </w:pPr>
      <w:r>
        <w:rPr>
          <w:rFonts w:ascii="Times New Roman" w:hAnsi="Times New Roman" w:eastAsia="Times New Roman" w:cs="Times New Roman"/>
        </w:rPr>
        <w:t>Êsaias encontrou-se com o ímpio rei Acaz na extremidade do aqueduto do tanque superior, e, embora haja incerteza entre os historiadores bíblicos e os arqueólogos quanto a saber se o tanque superior era o mesmo tanque que o tanque de Siloé no tempo de Cristo, o contexto da profecia de Êsaias remove toda dúvida, pois Êsaias identifica que o rei do norte havia de vir sobre Acaz, porque este rejeitara as águas de Siloé, que correm brandamente. “Siloé” é o nome do Antigo Testamento para “Siloam” no Novo Testamento.</w:t>
      </w:r>
    </w:p>
    <w:p>
      <w:pPr>
        <w:pStyle w:val="ArticleBody"/>
        <w:jc w:val="left"/>
      </w:pPr>
      <w:r>
        <w:rPr>
          <w:rFonts w:ascii="Times New Roman" w:hAnsi="Times New Roman" w:eastAsia="Times New Roman" w:cs="Times New Roman"/>
        </w:rPr>
        <w:t>Ɗum no e ndiyam Siloam Yesu yamni neɗɗo mo wumii gite, e laamiiɗo mo halluɗo Aahaz ina nder ɗum waɗii ko hokkondiri e ardiiɓe Laodikiya ɓe wumɓe, ɗiɗi e 1863, e nde dokkal Alahade garoyngal ɓe nganyi yamtaaki. “Shiloah” e “Siloam” ɗiɗi firi “lilaaɗo,” e habaru goo ko lilaa daga Baaba to Ɓiɗɗo, kanko maa hokki ɗum Jibriilu e maleyka’en ceniiɓe ngam ɓe njottina ɗum to Esaaya, mo waddani habaru ɗum ko “lilaa” daga dow kammu to ardiiɗo Laodikiya mo wumii gite.</w:t>
      </w:r>
    </w:p>
    <w:p>
      <w:pPr>
        <w:pStyle w:val="ArticleBody"/>
        <w:jc w:val="left"/>
      </w:pPr>
      <w:r>
        <w:rPr>
          <w:rFonts w:ascii="Times New Roman" w:hAnsi="Times New Roman" w:eastAsia="Times New Roman" w:cs="Times New Roman"/>
        </w:rPr>
        <w:t>Mfomiselo lowu humaka eka xihlovo xa le henhla, laha Esaya a humeseke rungula kona, wu yimela ndhawu leyi mpfula ya Moya lowo Kwetsima yi hundziseriwaka eka vanhu va Xikwembu, hilaha swi tlhela swi yimeleriwa hakona hi tiphayiphi ta nsuku ta xivono xa Zakariya, kumbe hi leri ra norho wa Yakobo.</w:t>
      </w:r>
    </w:p>
    <w:p>
      <w:pPr>
        <w:pStyle w:val="ArticleScripture"/>
        <w:jc w:val="left"/>
      </w:pPr>
      <w:r>
        <w:rPr>
          <w:rFonts w:ascii="Times New Roman" w:hAnsi="Times New Roman" w:eastAsia="Times New Roman" w:cs="Times New Roman"/>
        </w:rPr>
        <w:t>« Ce que Dieu a préparé pour nous est représenté dans Zacharie, chapitres 3 et 4, et 4:12–14 : “Et je pris de nouveau la parole et lui dis : Que sont ces deux rameaux d’olivier qui, par les deux conduits d’or, déversent d’eux-mêmes l’huile d’or ? Il me répondit et me dit : Ne sais-tu pas ce qu’ils sont ? Et je dis : Non, mon seigneur. Alors il dit : Ce sont les deux oints qui se tiennent auprès du Seigneur de toute la terre.” »</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በሀብት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የተሞላ</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የአቅርቦት</w:t>
      </w:r>
      <w:r>
        <w:rPr>
          <w:rFonts w:ascii="Times New Roman" w:hAnsi="Times New Roman" w:eastAsia="Times New Roman" w:cs="Times New Roman"/>
        </w:rPr>
        <w:t xml:space="preserve"> </w:t>
      </w:r>
      <w:r>
        <w:rPr>
          <w:rFonts w:ascii="Ebrima" w:hAnsi="Ebrima" w:eastAsia="Ebrima" w:cs="Ebrima"/>
        </w:rPr>
        <w:t>እጥረት</w:t>
      </w:r>
      <w:r>
        <w:rPr>
          <w:rFonts w:ascii="Times New Roman" w:hAnsi="Times New Roman" w:eastAsia="Times New Roman" w:cs="Times New Roman"/>
        </w:rPr>
        <w:t xml:space="preserve"> </w:t>
      </w:r>
      <w:r>
        <w:rPr>
          <w:rFonts w:ascii="Ebrima" w:hAnsi="Ebrima" w:eastAsia="Ebrima" w:cs="Ebrima"/>
        </w:rPr>
        <w:t>የለም።</w:t>
      </w:r>
      <w:r>
        <w:rPr>
          <w:rFonts w:ascii="Times New Roman" w:hAnsi="Times New Roman" w:eastAsia="Times New Roman" w:cs="Times New Roman"/>
        </w:rPr>
        <w:t xml:space="preserve"> </w:t>
      </w:r>
      <w:r>
        <w:rPr>
          <w:rFonts w:ascii="Ebrima" w:hAnsi="Ebrima" w:eastAsia="Ebrima" w:cs="Ebrima"/>
        </w:rPr>
        <w:t>ጨለማ</w:t>
      </w:r>
      <w:r>
        <w:rPr>
          <w:rFonts w:ascii="Times New Roman" w:hAnsi="Times New Roman" w:eastAsia="Times New Roman" w:cs="Times New Roman"/>
        </w:rPr>
        <w:t xml:space="preserve"> </w:t>
      </w:r>
      <w:r>
        <w:rPr>
          <w:rFonts w:ascii="Ebrima" w:hAnsi="Ebrima" w:eastAsia="Ebrima" w:cs="Ebrima"/>
        </w:rPr>
        <w:t>ጥላዎች</w:t>
      </w:r>
      <w:r>
        <w:rPr>
          <w:rFonts w:ascii="Times New Roman" w:hAnsi="Times New Roman" w:eastAsia="Times New Roman" w:cs="Times New Roman"/>
        </w:rPr>
        <w:t xml:space="preserve"> </w:t>
      </w:r>
      <w:r>
        <w:rPr>
          <w:rFonts w:ascii="Ebrima" w:hAnsi="Ebrima" w:eastAsia="Ebrima" w:cs="Ebrima"/>
        </w:rPr>
        <w:t>በዙሪያችን</w:t>
      </w:r>
      <w:r>
        <w:rPr>
          <w:rFonts w:ascii="Times New Roman" w:hAnsi="Times New Roman" w:eastAsia="Times New Roman" w:cs="Times New Roman"/>
        </w:rPr>
        <w:t xml:space="preserve"> </w:t>
      </w:r>
      <w:r>
        <w:rPr>
          <w:rFonts w:ascii="Ebrima" w:hAnsi="Ebrima" w:eastAsia="Ebrima" w:cs="Ebrima"/>
        </w:rPr>
        <w:t>የሚሰበሰቡት</w:t>
      </w:r>
      <w:r>
        <w:rPr>
          <w:rFonts w:ascii="Times New Roman" w:hAnsi="Times New Roman" w:eastAsia="Times New Roman" w:cs="Times New Roman"/>
        </w:rPr>
        <w:t xml:space="preserve"> </w:t>
      </w:r>
      <w:r>
        <w:rPr>
          <w:rFonts w:ascii="Ebrima" w:hAnsi="Ebrima" w:eastAsia="Ebrima" w:cs="Ebrima"/>
        </w:rPr>
        <w:t>በእምነታችን</w:t>
      </w:r>
      <w:r>
        <w:rPr>
          <w:rFonts w:ascii="Times New Roman" w:hAnsi="Times New Roman" w:eastAsia="Times New Roman" w:cs="Times New Roman"/>
        </w:rPr>
        <w:t xml:space="preserve"> </w:t>
      </w:r>
      <w:r>
        <w:rPr>
          <w:rFonts w:ascii="Ebrima" w:hAnsi="Ebrima" w:eastAsia="Ebrima" w:cs="Ebrima"/>
        </w:rPr>
        <w:t>እጥረት፣</w:t>
      </w:r>
      <w:r>
        <w:rPr>
          <w:rFonts w:ascii="Times New Roman" w:hAnsi="Times New Roman" w:eastAsia="Times New Roman" w:cs="Times New Roman"/>
        </w:rPr>
        <w:t xml:space="preserve"> </w:t>
      </w:r>
      <w:r>
        <w:rPr>
          <w:rFonts w:ascii="Ebrima" w:hAnsi="Ebrima" w:eastAsia="Ebrima" w:cs="Ebrima"/>
        </w:rPr>
        <w:t>በምድራዊነታችን፣</w:t>
      </w:r>
      <w:r>
        <w:rPr>
          <w:rFonts w:ascii="Times New Roman" w:hAnsi="Times New Roman" w:eastAsia="Times New Roman" w:cs="Times New Roman"/>
        </w:rPr>
        <w:t xml:space="preserve"> </w:t>
      </w:r>
      <w:r>
        <w:rPr>
          <w:rFonts w:ascii="Ebrima" w:hAnsi="Ebrima" w:eastAsia="Ebrima" w:cs="Ebrima"/>
        </w:rPr>
        <w:t>በቀላል</w:t>
      </w:r>
      <w:r>
        <w:rPr>
          <w:rFonts w:ascii="Times New Roman" w:hAnsi="Times New Roman" w:eastAsia="Times New Roman" w:cs="Times New Roman"/>
        </w:rPr>
        <w:t xml:space="preserve"> </w:t>
      </w:r>
      <w:r>
        <w:rPr>
          <w:rFonts w:ascii="Ebrima" w:hAnsi="Ebrima" w:eastAsia="Ebrima" w:cs="Ebrima"/>
        </w:rPr>
        <w:t>ንግግራችን፣</w:t>
      </w:r>
      <w:r>
        <w:rPr>
          <w:rFonts w:ascii="Times New Roman" w:hAnsi="Times New Roman" w:eastAsia="Times New Roman" w:cs="Times New Roman"/>
        </w:rPr>
        <w:t xml:space="preserve"> </w:t>
      </w:r>
      <w:r>
        <w:rPr>
          <w:rFonts w:ascii="Ebrima" w:hAnsi="Ebrima" w:eastAsia="Ebrima" w:cs="Ebrima"/>
        </w:rPr>
        <w:t>በአለመታመናችንም</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በንግግራችን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የሚገለጥ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ውብ</w:t>
      </w:r>
      <w:r>
        <w:rPr>
          <w:rFonts w:ascii="Times New Roman" w:hAnsi="Times New Roman" w:eastAsia="Times New Roman" w:cs="Times New Roman"/>
        </w:rPr>
        <w:t xml:space="preserve"> </w:t>
      </w:r>
      <w:r>
        <w:rPr>
          <w:rFonts w:ascii="Ebrima" w:hAnsi="Ebrima" w:eastAsia="Ebrima" w:cs="Ebrima"/>
        </w:rPr>
        <w:t>የሆነውና</w:t>
      </w:r>
      <w:r>
        <w:rPr>
          <w:rFonts w:ascii="Times New Roman" w:hAnsi="Times New Roman" w:eastAsia="Times New Roman" w:cs="Times New Roman"/>
        </w:rPr>
        <w:t xml:space="preserve"> </w:t>
      </w:r>
      <w:r>
        <w:rPr>
          <w:rFonts w:ascii="Ebrima" w:hAnsi="Ebrima" w:eastAsia="Ebrima" w:cs="Ebrima"/>
        </w:rPr>
        <w:t>ከአሥር</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ዋናው</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በቃልም</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በባሕርይ</w:t>
      </w:r>
      <w:r>
        <w:rPr>
          <w:rFonts w:ascii="Times New Roman" w:hAnsi="Times New Roman" w:eastAsia="Times New Roman" w:cs="Times New Roman"/>
        </w:rPr>
        <w:t xml:space="preserve"> </w:t>
      </w:r>
      <w:r>
        <w:rPr>
          <w:rFonts w:ascii="Ebrima" w:hAnsi="Ebrima" w:eastAsia="Ebrima" w:cs="Ebrima"/>
        </w:rPr>
        <w:t>አይገለጥም።</w:t>
      </w:r>
      <w:r>
        <w:rPr>
          <w:rFonts w:ascii="Times New Roman" w:hAnsi="Times New Roman" w:eastAsia="Times New Roman" w:cs="Times New Roman"/>
        </w:rPr>
        <w:t xml:space="preserve"> </w:t>
      </w: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ራሷን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ከንቱነት</w:t>
      </w:r>
      <w:r>
        <w:rPr>
          <w:rFonts w:ascii="Times New Roman" w:hAnsi="Times New Roman" w:eastAsia="Times New Roman" w:cs="Times New Roman"/>
        </w:rPr>
        <w:t xml:space="preserve"> </w:t>
      </w:r>
      <w:r>
        <w:rPr>
          <w:rFonts w:ascii="Ebrima" w:hAnsi="Ebrima" w:eastAsia="Ebrima" w:cs="Ebrima"/>
        </w:rPr>
        <w:t>ለማንሣት</w:t>
      </w:r>
      <w:r>
        <w:rPr>
          <w:rFonts w:ascii="Times New Roman" w:hAnsi="Times New Roman" w:eastAsia="Times New Roman" w:cs="Times New Roman"/>
        </w:rPr>
        <w:t xml:space="preserve"> </w:t>
      </w:r>
      <w:r>
        <w:rPr>
          <w:rFonts w:ascii="Ebrima" w:hAnsi="Ebrima" w:eastAsia="Ebrima" w:cs="Ebrima"/>
        </w:rPr>
        <w:t>ስትረካ፣</w:t>
      </w:r>
      <w:r>
        <w:rPr>
          <w:rFonts w:ascii="Times New Roman" w:hAnsi="Times New Roman" w:eastAsia="Times New Roman" w:cs="Times New Roman"/>
        </w:rPr>
        <w:t xml:space="preserve"> </w:t>
      </w:r>
      <w:r>
        <w:rPr>
          <w:rFonts w:ascii="Ebrima" w:hAnsi="Ebrima" w:eastAsia="Ebrima" w:cs="Ebrima"/>
        </w:rPr>
        <w:t>የጌታ</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ለእርሷ</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ሊያደርግ</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አጭር</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እይታችን</w:t>
      </w:r>
      <w:r>
        <w:rPr>
          <w:rFonts w:ascii="Times New Roman" w:hAnsi="Times New Roman" w:eastAsia="Times New Roman" w:cs="Times New Roman"/>
        </w:rPr>
        <w:t xml:space="preserve"> </w:t>
      </w:r>
      <w:r>
        <w:rPr>
          <w:rFonts w:ascii="Ebrima" w:hAnsi="Ebrima" w:eastAsia="Ebrima" w:cs="Ebrima"/>
        </w:rPr>
        <w:t>ጥላውን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ያያል፣</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ማየት</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አራቱን</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እየያዙ</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ተፈትቶ</w:t>
      </w:r>
      <w:r>
        <w:rPr>
          <w:rFonts w:ascii="Times New Roman" w:hAnsi="Times New Roman" w:eastAsia="Times New Roman" w:cs="Times New Roman"/>
        </w:rPr>
        <w:t xml:space="preserve"> </w:t>
      </w:r>
      <w:r>
        <w:rPr>
          <w:rFonts w:ascii="Ebrima" w:hAnsi="Ebrima" w:eastAsia="Ebrima" w:cs="Ebrima"/>
        </w:rPr>
        <w:t>ለመውጣትና</w:t>
      </w:r>
      <w:r>
        <w:rPr>
          <w:rFonts w:ascii="Times New Roman" w:hAnsi="Times New Roman" w:eastAsia="Times New Roman" w:cs="Times New Roman"/>
        </w:rPr>
        <w:t xml:space="preserve"> </w:t>
      </w:r>
      <w:r>
        <w:rPr>
          <w:rFonts w:ascii="Ebrima" w:hAnsi="Ebrima" w:eastAsia="Ebrima" w:cs="Ebrima"/>
        </w:rPr>
        <w:t>በየመንገዱ</w:t>
      </w:r>
      <w:r>
        <w:rPr>
          <w:rFonts w:ascii="Times New Roman" w:hAnsi="Times New Roman" w:eastAsia="Times New Roman" w:cs="Times New Roman"/>
        </w:rPr>
        <w:t xml:space="preserve"> </w:t>
      </w:r>
      <w:r>
        <w:rPr>
          <w:rFonts w:ascii="Ebrima" w:hAnsi="Ebrima" w:eastAsia="Ebrima" w:cs="Ebrima"/>
        </w:rPr>
        <w:t>ጥፋትንና</w:t>
      </w:r>
      <w:r>
        <w:rPr>
          <w:rFonts w:ascii="Times New Roman" w:hAnsi="Times New Roman" w:eastAsia="Times New Roman" w:cs="Times New Roman"/>
        </w:rPr>
        <w:t xml:space="preserve"> </w:t>
      </w:r>
      <w:r>
        <w:rPr>
          <w:rFonts w:ascii="Ebrima" w:hAnsi="Ebrima" w:eastAsia="Ebrima" w:cs="Ebrima"/>
        </w:rPr>
        <w:t>ሞትን</w:t>
      </w:r>
      <w:r>
        <w:rPr>
          <w:rFonts w:ascii="Times New Roman" w:hAnsi="Times New Roman" w:eastAsia="Times New Roman" w:cs="Times New Roman"/>
        </w:rPr>
        <w:t xml:space="preserve"> </w:t>
      </w:r>
      <w:r>
        <w:rPr>
          <w:rFonts w:ascii="Ebrima" w:hAnsi="Ebrima" w:eastAsia="Ebrima" w:cs="Ebrima"/>
        </w:rPr>
        <w:t>እየተሸከመ</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ለመሮጥ</w:t>
      </w:r>
      <w:r>
        <w:rPr>
          <w:rFonts w:ascii="Times New Roman" w:hAnsi="Times New Roman" w:eastAsia="Times New Roman" w:cs="Times New Roman"/>
        </w:rPr>
        <w:t xml:space="preserve"> </w:t>
      </w:r>
      <w:r>
        <w:rPr>
          <w:rFonts w:ascii="Ebrima" w:hAnsi="Ebrima" w:eastAsia="Ebrima" w:cs="Ebrima"/>
        </w:rPr>
        <w:t>የሚሻ</w:t>
      </w:r>
      <w:r>
        <w:rPr>
          <w:rFonts w:ascii="Times New Roman" w:hAnsi="Times New Roman" w:eastAsia="Times New Roman" w:cs="Times New Roman"/>
        </w:rPr>
        <w:t xml:space="preserve"> </w:t>
      </w:r>
      <w:r>
        <w:rPr>
          <w:rFonts w:ascii="Ebrima" w:hAnsi="Ebrima" w:eastAsia="Ebrima" w:cs="Ebrima"/>
        </w:rPr>
        <w:t>ቁጡ</w:t>
      </w:r>
      <w:r>
        <w:rPr>
          <w:rFonts w:ascii="Times New Roman" w:hAnsi="Times New Roman" w:eastAsia="Times New Roman" w:cs="Times New Roman"/>
        </w:rPr>
        <w:t xml:space="preserve"> </w:t>
      </w:r>
      <w:r>
        <w:rPr>
          <w:rFonts w:ascii="Ebrima" w:hAnsi="Ebrima" w:eastAsia="Ebrima" w:cs="Ebrima"/>
        </w:rPr>
        <w:t>ፈረስ</w:t>
      </w:r>
      <w:r>
        <w:rPr>
          <w:rFonts w:ascii="Times New Roman" w:hAnsi="Times New Roman" w:eastAsia="Times New Roman" w:cs="Times New Roman"/>
        </w:rPr>
        <w:t xml:space="preserve"> </w:t>
      </w:r>
      <w:r>
        <w:rPr>
          <w:rFonts w:ascii="Ebrima" w:hAnsi="Ebrima" w:eastAsia="Ebrima" w:cs="Ebrima"/>
        </w:rPr>
        <w:t>እንደሚወክል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 tulale kwenye ukingo wenyewe wa ulimwengu wa milele? Je, tuwe wazito wa kufahamu na baridi na wafu? Laiti tungalikuwa makanisani mwetu na Roho na pumzi ya Mungu ikiwavuvia watu Wake, ili wapate kusimama kwa miguu yao na kuishi. Tunahitaji kuona kwamba njia ni nyembamba, na lango ni jembamba. Lakini tunapopita katika lango lile jembamba, upana wake hauna kikomo.” Manuscript Releases, juzuu ya 20, 216, 217.</w:t>
      </w:r>
    </w:p>
    <w:p>
      <w:pPr>
        <w:pStyle w:val="ArticleBody"/>
        <w:jc w:val="left"/>
      </w:pPr>
      <w:r>
        <w:rPr>
          <w:rFonts w:ascii="Times New Roman" w:hAnsi="Times New Roman" w:eastAsia="Times New Roman" w:cs="Times New Roman"/>
        </w:rPr>
        <w:t>„Златото масло“ са вестите на Божия Дух, които слизат от горния съд чрез проводника, който представлява двете златни тръби — двамата свидетели, Библията и Духът на пророчеството, или Старият и Новият завет, или законът и пророците, или Мойсей и Илия.</w:t>
      </w:r>
    </w:p>
    <w:p>
      <w:pPr>
        <w:pStyle w:val="ArticleScripture"/>
        <w:jc w:val="left"/>
      </w:pPr>
      <w:r>
        <w:rPr>
          <w:rFonts w:ascii="Times New Roman" w:hAnsi="Times New Roman" w:eastAsia="Times New Roman" w:cs="Times New Roman"/>
        </w:rPr>
        <w:t>“Les oints qui se tiennent auprès du Seigneur de toute la terre occupent la position jadis donnée à Satan comme chérubin protecteur. Par les êtres saints qui entourent son trône, le Seigneur maintient une communication constante avec les habitants de la terre. L’huile d’or représente la grâce par laquelle Dieu alimente continuellement les lampes des croyants, afin qu’elles ne vacillent pas et ne s’éteignent pas. Si cette huile sainte n’était pas déversée du ciel dans les messages de l’Esprit de Dieu, les puissances du mal exerceraient un contrôle absolu sur les hommes.</w:t>
      </w:r>
    </w:p>
    <w:p>
      <w:pPr>
        <w:pStyle w:val="ArticleScripture"/>
        <w:jc w:val="left"/>
      </w:pPr>
      <w:r>
        <w:rPr>
          <w:rFonts w:ascii="Times New Roman" w:hAnsi="Times New Roman" w:eastAsia="Times New Roman" w:cs="Times New Roman"/>
        </w:rPr>
        <w:t>“A Chúa bị xúc phạm khi chúng ta không tiếp nhận những sự truyền đạt mà Ngài gửi đến cho chúng ta. Như vậy, chúng ta từ chối dầu vàng mà Ngài muốn đổ vào linh hồn mình để rồi được truyền ra cho những người ở trong nơi tối tăm. Khi tiếng gọi vang lên: ‘Kìa, chàng rể đến; hãy ra đón người,’ những ai chưa nhận dầu thánh, chưa ấp ủ ân điển của Đấng Christ trong lòng mình, sẽ thấy, như các trinh nữ dại, rằng họ không sẵn sàng để gặp Chúa mình. Tự nơi chính mình, họ không có quyền năng để có được dầu ấy, và đời sống họ bị tan vỡ. Nhưng nếu chúng ta cầu xin Đức Thánh Linh của Đức Chúa Trời, nếu chúng ta nài xin như Môi-se đã làm: ‘Xin cho tôi xem sự vinh hiển của Ngài,’ thì tình yêu thương của Đức Chúa Trời sẽ được đổ đầy trong lòng chúng ta. Qua những ống vàng, dầu vàng sẽ được truyền cho chúng ta. ‘Ấy chẳng phải bởi quyền thế, cũng chẳng phải bởi năng lực, bèn là bởi Thần Ta, Đức Giê-hô-va vạn quân phán vậy.’ Khi tiếp nhận những tia sáng rực rỡ của Mặt Trời Công Bình, con cái Đức Chúa Trời chiếu sáng như những ngọn đèn trong thế gian.” Review and Herald, July 20, 1897.</w:t>
      </w:r>
    </w:p>
    <w:p>
      <w:pPr>
        <w:pStyle w:val="ArticleBody"/>
        <w:jc w:val="left"/>
      </w:pPr>
      <w:r>
        <w:rPr>
          <w:rFonts w:ascii="Times New Roman" w:hAnsi="Times New Roman" w:eastAsia="Times New Roman" w:cs="Times New Roman"/>
        </w:rPr>
        <w:t>Ahasa nni a ɔpowee no ne Ɔdasuakye Su Frɛ no nkra, a anka ɛbɛkɔɔ awiei wɔ Kristo mma a ɔbɛsan aba no mu, sɛ Laodikea akannifo no anka wɔagye nkra a wɔde “somaa” wɔn wɔ 1856 no ama Laodikea no atom. Saa nkra no anka afei atrɛw ayɛ osu frɛ kɛse, na Onyankopɔn nkurɔfo no anka wɔawie adwuma no na wɔatra asomdwoe mu. Nanso mmom, wɔsan kɔɔ fei a wɔayi wɔn afi mu no ho.</w:t>
      </w:r>
    </w:p>
    <w:p>
      <w:pPr>
        <w:pStyle w:val="ArticleBody"/>
        <w:jc w:val="left"/>
      </w:pPr>
      <w:r>
        <w:rPr>
          <w:rFonts w:ascii="Microsoft YaHei" w:hAnsi="Microsoft YaHei" w:eastAsia="Microsoft YaHei" w:cs="Microsoft YaHei"/>
        </w:rPr>
        <w:t>以賽亞與亞哈斯被描繪為正處於漂布田的潔淨過程之中</w:t>
      </w:r>
      <w:r>
        <w:rPr>
          <w:rFonts w:ascii="Times New Roman" w:hAnsi="Times New Roman" w:eastAsia="Times New Roman" w:cs="Times New Roman"/>
        </w:rPr>
        <w:t>;</w:t>
      </w:r>
      <w:r>
        <w:rPr>
          <w:rFonts w:ascii="Microsoft YaHei" w:hAnsi="Microsoft YaHei" w:eastAsia="Microsoft YaHei" w:cs="Microsoft YaHei"/>
        </w:rPr>
        <w:t>此潔淨乃由</w:t>
      </w:r>
      <w:r>
        <w:rPr>
          <w:rFonts w:ascii="Times New Roman" w:hAnsi="Times New Roman" w:eastAsia="Times New Roman" w:cs="Times New Roman"/>
        </w:rPr>
        <w:t>«</w:t>
      </w:r>
      <w:r>
        <w:rPr>
          <w:rFonts w:ascii="Microsoft YaHei" w:hAnsi="Microsoft YaHei" w:eastAsia="Microsoft YaHei" w:cs="Microsoft YaHei"/>
        </w:rPr>
        <w:t>瑪拉基書</w:t>
      </w:r>
      <w:r>
        <w:rPr>
          <w:rFonts w:ascii="Times New Roman" w:hAnsi="Times New Roman" w:eastAsia="Times New Roman" w:cs="Times New Roman"/>
        </w:rPr>
        <w:t>»</w:t>
      </w:r>
      <w:r>
        <w:rPr>
          <w:rFonts w:ascii="Microsoft YaHei" w:hAnsi="Microsoft YaHei" w:eastAsia="Microsoft YaHei" w:cs="Microsoft YaHei"/>
        </w:rPr>
        <w:t>第三章中之立約的使者所成就</w:t>
      </w:r>
      <w:r>
        <w:rPr>
          <w:rFonts w:ascii="Times New Roman" w:hAnsi="Times New Roman" w:eastAsia="Times New Roman" w:cs="Times New Roman"/>
        </w:rPr>
        <w:t>.</w:t>
      </w:r>
      <w:r>
        <w:rPr>
          <w:rFonts w:ascii="Microsoft YaHei" w:hAnsi="Microsoft YaHei" w:eastAsia="Microsoft YaHei" w:cs="Microsoft YaHei"/>
        </w:rPr>
        <w:t>他們在象徵上被安置於撒迦利亞異象中那「油」（即一篇信息）正被傾倒之處</w:t>
      </w:r>
      <w:r>
        <w:rPr>
          <w:rFonts w:ascii="Times New Roman" w:hAnsi="Times New Roman" w:eastAsia="Times New Roman" w:cs="Times New Roman"/>
        </w:rPr>
        <w:t>;</w:t>
      </w:r>
      <w:r>
        <w:rPr>
          <w:rFonts w:ascii="Microsoft YaHei" w:hAnsi="Microsoft YaHei" w:eastAsia="Microsoft YaHei" w:cs="Microsoft YaHei"/>
        </w:rPr>
        <w:t>並且</w:t>
      </w:r>
      <w:r>
        <w:rPr>
          <w:rFonts w:ascii="Times New Roman" w:hAnsi="Times New Roman" w:eastAsia="Times New Roman" w:cs="Times New Roman"/>
        </w:rPr>
        <w:t>,</w:t>
      </w:r>
      <w:r>
        <w:rPr>
          <w:rFonts w:ascii="Microsoft YaHei" w:hAnsi="Microsoft YaHei" w:eastAsia="Microsoft YaHei" w:cs="Microsoft YaHei"/>
        </w:rPr>
        <w:t>在末後的日子裡</w:t>
      </w:r>
      <w:r>
        <w:rPr>
          <w:rFonts w:ascii="Times New Roman" w:hAnsi="Times New Roman" w:eastAsia="Times New Roman" w:cs="Times New Roman"/>
        </w:rPr>
        <w:t>,</w:t>
      </w:r>
      <w:r>
        <w:rPr>
          <w:rFonts w:ascii="Microsoft YaHei" w:hAnsi="Microsoft YaHei" w:eastAsia="Microsoft YaHei" w:cs="Microsoft YaHei"/>
        </w:rPr>
        <w:t>以賽亞對亞哈斯的信息</w:t>
      </w:r>
      <w:r>
        <w:rPr>
          <w:rFonts w:ascii="Times New Roman" w:hAnsi="Times New Roman" w:eastAsia="Times New Roman" w:cs="Times New Roman"/>
        </w:rPr>
        <w:t>,</w:t>
      </w:r>
      <w:r>
        <w:rPr>
          <w:rFonts w:ascii="Microsoft YaHei" w:hAnsi="Microsoft YaHei" w:eastAsia="Microsoft YaHei" w:cs="Microsoft YaHei"/>
        </w:rPr>
        <w:t>就是第三樣災禍之伊斯蘭的信息</w:t>
      </w:r>
      <w:r>
        <w:rPr>
          <w:rFonts w:ascii="Times New Roman" w:hAnsi="Times New Roman" w:eastAsia="Times New Roman" w:cs="Times New Roman"/>
        </w:rPr>
        <w:t>;</w:t>
      </w:r>
      <w:r>
        <w:rPr>
          <w:rFonts w:ascii="Microsoft YaHei" w:hAnsi="Microsoft YaHei" w:eastAsia="Microsoft YaHei" w:cs="Microsoft YaHei"/>
        </w:rPr>
        <w:t>就是七雷隱藏歷史的信息</w:t>
      </w:r>
      <w:r>
        <w:rPr>
          <w:rFonts w:ascii="Times New Roman" w:hAnsi="Times New Roman" w:eastAsia="Times New Roman" w:cs="Times New Roman"/>
        </w:rPr>
        <w:t>;</w:t>
      </w:r>
      <w:r>
        <w:rPr>
          <w:rFonts w:ascii="Microsoft YaHei" w:hAnsi="Microsoft YaHei" w:eastAsia="Microsoft YaHei" w:cs="Microsoft YaHei"/>
        </w:rPr>
        <w:t>就是那第八位出於那七位的信息</w:t>
      </w:r>
      <w:r>
        <w:rPr>
          <w:rFonts w:ascii="Times New Roman" w:hAnsi="Times New Roman" w:eastAsia="Times New Roman" w:cs="Times New Roman"/>
        </w:rPr>
        <w:t>;</w:t>
      </w:r>
      <w:r>
        <w:rPr>
          <w:rFonts w:ascii="Microsoft YaHei" w:hAnsi="Microsoft YaHei" w:eastAsia="Microsoft YaHei" w:cs="Microsoft YaHei"/>
        </w:rPr>
        <w:t>就是葡萄園的信息</w:t>
      </w:r>
      <w:r>
        <w:rPr>
          <w:rFonts w:ascii="Times New Roman" w:hAnsi="Times New Roman" w:eastAsia="Times New Roman" w:cs="Times New Roman"/>
        </w:rPr>
        <w:t>;</w:t>
      </w:r>
      <w:r>
        <w:rPr>
          <w:rFonts w:ascii="Microsoft YaHei" w:hAnsi="Microsoft YaHei" w:eastAsia="Microsoft YaHei" w:cs="Microsoft YaHei"/>
        </w:rPr>
        <w:t>就是「真理」的信息</w:t>
      </w:r>
      <w:r>
        <w:rPr>
          <w:rFonts w:ascii="Times New Roman" w:hAnsi="Times New Roman" w:eastAsia="Times New Roman" w:cs="Times New Roman"/>
        </w:rPr>
        <w:t>;</w:t>
      </w:r>
      <w:r>
        <w:rPr>
          <w:rFonts w:ascii="Microsoft YaHei" w:hAnsi="Microsoft YaHei" w:eastAsia="Microsoft YaHei" w:cs="Microsoft YaHei"/>
        </w:rPr>
        <w:t>這一切都是耶穌基督啟示錄的要素</w:t>
      </w:r>
      <w:r>
        <w:rPr>
          <w:rFonts w:ascii="Times New Roman" w:hAnsi="Times New Roman" w:eastAsia="Times New Roman" w:cs="Times New Roman"/>
        </w:rPr>
        <w:t>,</w:t>
      </w:r>
      <w:r>
        <w:rPr>
          <w:rFonts w:ascii="Microsoft YaHei" w:hAnsi="Microsoft YaHei" w:eastAsia="Microsoft YaHei" w:cs="Microsoft YaHei"/>
        </w:rPr>
        <w:t>而這啟示在末後的日子裡產生了那由漂布田所表徵的潔淨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Waxa ay ahayd welina tahay farriinta “toddobada wakhti” sidoo kale, taas oo ka beddelata dhagaxii aasaaska ee Miller una beddelata madaxa geeska, waayo waxay ahayd runta ugu horraysay, sidaas darteedna waa inay noqotaa runta ugu dambaysa. 1863 waxay calaamadisay dhammaadka hab isdaahirin ah oo bilaabmay markii malaa’igta saddexaad timid Oktoobar 22, 1844, ugu dambayntiina gaadhay iftiinka “toddobada wakhti” sannadkii 1856. Sannadkii 1844 iftiinka labaatanka iyo saddexda boqol ee sannadood wuxuu calaamadeeyey bilow horseeday dhammaadkii lagu calaamadeeyey laba kun shan boqol iyo labaatan sannadood. Habase yeeshee, indho-la’aanta La’odikiya ee bilowga iyo dhammaadka labadaba waxay diiddaa inay aragto xidhiidhka ka dhexeeya labada waxyood. 1863 waxay ka dhigan tahay gunaanadka hab isdaahirin ah oo had iyo goor dhaca marka farriin shaabbadda laga qaado, farriinta malaa’igta saddexaadna shaabbadda ayaa laga qaaday Oktoobar 22, 1844.</w:t>
      </w:r>
    </w:p>
    <w:p>
      <w:pPr>
        <w:pStyle w:val="ArticleBody"/>
        <w:jc w:val="left"/>
      </w:pPr>
      <w:r>
        <w:rPr>
          <w:rFonts w:ascii="Times New Roman" w:hAnsi="Times New Roman" w:eastAsia="Times New Roman" w:cs="Times New Roman"/>
        </w:rPr>
        <w:t>Nuurti malagga saddexaad oo la furay sannadkii 1844 ma ahayn nuur keli ah; waxay ahayd waxa Walaashii White ku tilmaamay “nuurka horumaraya ee malagga saddexaad.” Nuurka horumaraya ee malagga saddexaad wuxuu bilaabmay 1844, wuxuuna sii socdaa inuu hore u socdo ilaa albaabka naxariistu xidhmo; hase yeeshee markii uu markii ugu horraysay yimid, iyo marka uu ugu dambayntii dhammaado, waxaa jira wakhti imtixaan oo gaar ah oo la xidhiidha malagga saddexaad. Wakhtiyadaas imtixaanka ah, bilowga iyo dhammaadka, waxay sidoo kale matalaan hab imtixaan oo Daanyeel ku tilmaamay “korodhka aqoonta,” kaas oo isaguna ah nuurka horumaraya ee malagga saddexaad.</w:t>
      </w:r>
    </w:p>
    <w:p>
      <w:pPr>
        <w:pStyle w:val="ArticleBody"/>
        <w:jc w:val="left"/>
      </w:pPr>
      <w:r>
        <w:rPr>
          <w:rFonts w:ascii="Times New Roman" w:hAnsi="Times New Roman" w:eastAsia="Times New Roman" w:cs="Times New Roman"/>
        </w:rPr>
        <w:t>Ang proseso ng pagsubok sa pasimula ay nagsimula noong 1844, at ang sumusulong na liwanag ay lumago sa kaalaman hanggang sa marating nito ang wakas noong 1856. Ang liwanag sa pasimula at ang liwanag sa wakas ng panahon ng pagsubok ay ang dalawang pangitain ng Daniel kabanata walo, talata labintatlo at labinapat, na kumakatawan sa pundasyon at sa pangunahing haligi ng Adventismo.</w:t>
      </w:r>
    </w:p>
    <w:p>
      <w:pPr>
        <w:pStyle w:val="ArticleBody"/>
        <w:jc w:val="left"/>
      </w:pPr>
      <w:r>
        <w:rPr>
          <w:rFonts w:ascii="Times New Roman" w:hAnsi="Times New Roman" w:eastAsia="Times New Roman" w:cs="Times New Roman"/>
        </w:rPr>
        <w:t>فرشتۂ اوّل کی آزمائش کی مدت 11 اگست 1840 کو شروع ہوئی اور 19 اپریل 1844 کو پہلی مایوسی پر اختتام پذیر ہوئی۔ پھر فرشتۂ دوم کی آزمائش کی مدت شروع ہوئی اور 22 اکتوبر 1844 تک جاری رہی۔ اس موقع پر فرشتۂ سوم آیا، اور فرشتۂ سوم کی آزمائش کی مدت اُس وقت تک جاری رہی جب تک لااودیکیہ کے ایڈونٹ ازم نے 1863 میں تیسرے فرشتے کی روشنی کو رد نہ کر دیا۔</w:t>
      </w:r>
    </w:p>
    <w:p>
      <w:pPr>
        <w:pStyle w:val="ArticleBody"/>
        <w:jc w:val="left"/>
      </w:pPr>
      <w:r>
        <w:rPr>
          <w:rFonts w:ascii="Times New Roman" w:hAnsi="Times New Roman" w:eastAsia="Times New Roman" w:cs="Times New Roman"/>
        </w:rPr>
        <w:t>Dönen ingil derdjang perioden von tredje engel för milleritisk adventism hadde en begynning og en ending, og begynningen og ending må representere det samme, for Jesus illustrerer alltid enden av en ting med begynningen av en ting. Åpningen av det fremadskridende lys fra den tredje engel var lyset om tilsynekomsten (den «mareh»-visjon), i vers fjorten i kapittel åtte av Daniel. Endingen av det fremadskridende lys fra den tredje engel var lyset om nedtrampingen av helligdommen og hæren (den «chazon»-visjon), i vers tretten. De to visjoner er profetisk sammenvevd.</w:t>
      </w:r>
    </w:p>
    <w:p>
      <w:pPr>
        <w:pStyle w:val="ArticleScripture"/>
        <w:jc w:val="left"/>
      </w:pPr>
      <w:r>
        <w:rPr>
          <w:rFonts w:ascii="Times New Roman" w:hAnsi="Times New Roman" w:eastAsia="Times New Roman" w:cs="Times New Roman"/>
        </w:rPr>
        <w:t>Ngươi phải truyền cho kèn của năm hân hỉ vang lên vào ngày mồng mười tháng thứ bảy; trong ngày lễ chuộc tội, các ngươi phải làm cho tiếng kèn vang dội khắp xứ mình. Lê-vi Ký 25:9.</w:t>
      </w:r>
    </w:p>
    <w:p>
      <w:pPr>
        <w:pStyle w:val="ArticleBody"/>
        <w:jc w:val="left"/>
      </w:pPr>
      <w:r>
        <w:rPr>
          <w:rFonts w:ascii="Times New Roman" w:hAnsi="Times New Roman" w:eastAsia="Times New Roman" w:cs="Times New Roman"/>
        </w:rPr>
        <w:t>La trompeta que debía sonar en el Día de la Expiación, que fue el 22 de octubre de 1844, era la trompeta del Jubileo, la cual representa el ciclo sagrado de siete años, que suma dos mil quinientos veinte días. El Señor tenía el propósito de conducir al antiguo Israel directamente a la Tierra Prometida, pero su rebelión impidió que eso sucediera. El Señor tenía el propósito de conducir al Israel moderno directamente a la Tierra Prometida, pero la rebelión impidió que eso sucediera. Si el Israel moderno hubiera sido obediente a la luz progresiva del tercer ángel, habría amonestado al mundo y el Señor habría regresado hace más de cien años.</w:t>
      </w:r>
    </w:p>
    <w:p>
      <w:pPr>
        <w:pStyle w:val="ArticleBody"/>
        <w:jc w:val="left"/>
      </w:pPr>
      <w:r>
        <w:rPr>
          <w:rFonts w:ascii="Times New Roman" w:hAnsi="Times New Roman" w:eastAsia="Times New Roman" w:cs="Times New Roman"/>
        </w:rPr>
        <w:t>Afin que cela puisse se produire, le Seigneur aurait dû opérer une transformation parmi les millérites, et cette transformation est désignée dans les Écritures comme le mystère de Dieu. Si l’adventisme avait suivi la lumière croissante du troisième ange, alors la trompette du Jubilé aurait retenti sans interruption jusqu’à la fin, car c’est aux jours où sonne la septième trompette que le mystère de Dieu s’accomplit. Dans Apocalypse 10, cette trompette, qui est la trompette du Jubilé, et aussi la trompette du troisième malheur, commença à sonner le 22 octobre 1844.</w:t>
      </w:r>
    </w:p>
    <w:p>
      <w:pPr>
        <w:pStyle w:val="ArticleScripture"/>
        <w:jc w:val="left"/>
      </w:pPr>
      <w:r>
        <w:rPr>
          <w:rFonts w:ascii="Times New Roman" w:hAnsi="Times New Roman" w:eastAsia="Times New Roman" w:cs="Times New Roman"/>
        </w:rPr>
        <w:t>Ek het die engel wat ek op die see en op die aarde sien staan het, sy hand na die hemel sien ophef, en hy het gesweer by Hom wat tot in alle ewigheid leef, wat die hemel geskape het en die dinge wat daarin is, en die aarde en die dinge wat daarop is, en die see en die dinge wat daarin is, dat daar geen tyd meer sou wees nie; maar in die dae van die stem van die sewende engel, wanneer hy op die punt staan om te blaas, sou die verborgenheid van God voleindig word, soos Hy dit aan sy diensknegte, die profete, verkondig het. Openbaring 10:5–7.</w:t>
      </w:r>
    </w:p>
    <w:p>
      <w:pPr>
        <w:pStyle w:val="ArticleBody"/>
        <w:jc w:val="left"/>
      </w:pPr>
      <w:r>
        <w:rPr>
          <w:rFonts w:ascii="Times New Roman" w:hAnsi="Times New Roman" w:eastAsia="Times New Roman" w:cs="Times New Roman"/>
        </w:rPr>
        <w:t>Le processus de purification éprouvante qui commença le 22 octobre 1844, lequel constituait la lumière progressive du troisième ange, débuta avec la lumière de Daniel, chapitre huit, verset quatorze, et s’acheva avec la lumière de Daniel, chapitre huit, verset treize. Il commença par la réponse du verset quatorze et se termina par la question du verset treize.</w:t>
      </w:r>
    </w:p>
    <w:p>
      <w:pPr>
        <w:pStyle w:val="ArticleBody"/>
        <w:jc w:val="left"/>
      </w:pPr>
      <w:r>
        <w:rPr>
          <w:rFonts w:ascii="Times New Roman" w:hAnsi="Times New Roman" w:eastAsia="Times New Roman" w:cs="Times New Roman"/>
        </w:rPr>
        <w:t>Ces dix-neuf années furent préfigurées par l’arrivée du message d’avertissement d’Ésaïe à Achaz, roi de Juda littéral, durant une guerre civile entre le nord et le sud. Ces dix-neuf années prirent fin lorsque le roi du nord emmena Israël en captivité. Ces dix-neuf années préfiguraient l’arrivée du troisième ange en 1844, jusqu’à la rébellion de 1863. La lumière progressive du troisième ange était représentée par le message d’Ésaïe.</w:t>
      </w:r>
    </w:p>
    <w:p>
      <w:pPr>
        <w:pStyle w:val="ArticleBody"/>
        <w:jc w:val="left"/>
      </w:pPr>
      <w:r>
        <w:rPr>
          <w:rFonts w:ascii="Times New Roman" w:hAnsi="Times New Roman" w:eastAsia="Times New Roman" w:cs="Times New Roman"/>
        </w:rPr>
        <w:t>Lwanga lo olwali lugenda lwagaanibwa ne luleetera entambula ya ba-Millerite okukoma, era mu kiseera ekyo eky’okukemebwa Entambula ya ba-Millerite ey’e Philadelphia n’eyingira mu Kkanisa y’e Laodikea. Emyaka ekkumi n’omwenda egyatandika mu 742 BC, n’emyaka ekkumi n’omwenda egyatandika mu 1844, gyombi gikiikirira enkola ey’okukemebwa n’okulongoosebwa mu nnaku ez’oluvannyuma, kwe kugamba, ekiseera eky’enkomerero eky’okukemebwa kw’omusana ogweyongera ogw’omumalayika ow’okusatu.</w:t>
      </w:r>
    </w:p>
    <w:p>
      <w:pPr>
        <w:pStyle w:val="ArticleBody"/>
        <w:jc w:val="left"/>
      </w:pPr>
      <w:r>
        <w:rPr>
          <w:rFonts w:ascii="Times New Roman" w:hAnsi="Times New Roman" w:eastAsia="Times New Roman" w:cs="Times New Roman"/>
        </w:rPr>
        <w:t>Dans ce processus final d’épreuve, le mystère de Dieu sera achevé. Les cent quarante-quatre mille sont ceux qui attendent, reviennent et sont scellés.</w:t>
      </w:r>
    </w:p>
    <w:p>
      <w:pPr>
        <w:pStyle w:val="ArticleScripture"/>
        <w:jc w:val="left"/>
      </w:pPr>
      <w:r>
        <w:rPr>
          <w:rFonts w:ascii="Times New Roman" w:hAnsi="Times New Roman" w:eastAsia="Times New Roman" w:cs="Times New Roman"/>
        </w:rPr>
        <w:t>Rafya ubuhamya, ushire ikimenyetso ku mategeko mu bigishwa banjye. Nanjye nzategereza Uwiteka, uhisha mu maso he inzu ya Yakobo, kandi nzamwiringira. Dore, jyewe n’abana Uwiteka yampaye turi ibimenyetso n’ibitangaza muri Isirayeli, biturutse ku Uwiteka Nyiringabo, utuye ku musozi wa Siyoni. Yesaya 8:16–18.</w:t>
      </w:r>
    </w:p>
    <w:p>
      <w:pPr>
        <w:pStyle w:val="ArticleBody"/>
        <w:jc w:val="left"/>
      </w:pPr>
      <w:r>
        <w:rPr>
          <w:rFonts w:ascii="Times New Roman" w:hAnsi="Times New Roman" w:eastAsia="Times New Roman" w:cs="Times New Roman"/>
        </w:rPr>
        <w:t>Le temps d’épreuve final de la lumière croissante du troisième ange dans les derniers jours commença là même où avait commencé la première période d’épreuve. Il commença lorsque Jésus leva la main vers le ciel et proclama « qu’il n’y aurait plus de temps ». Cette déclaration eut lieu le 22 octobre 1844, lorsque la septième trompette annonça le Jubilé à la conclusion du cycle sacré de sept. Le cycle de sept années, répété sept fois, était littéralement de quarante-neuf années, ou de deux mille cinq cent vingt jours.</w:t>
      </w:r>
    </w:p>
    <w:p>
      <w:pPr>
        <w:pStyle w:val="ArticleBody"/>
        <w:jc w:val="left"/>
      </w:pPr>
      <w:r>
        <w:rPr>
          <w:rFonts w:ascii="Times New Roman" w:hAnsi="Times New Roman" w:eastAsia="Times New Roman" w:cs="Times New Roman"/>
        </w:rPr>
        <w:t>1989 marque le « temps de la fin » dans le mouvement des cent quarante-quatre mille, et 1989 marque l’achèvement des cent vingt-six années qui commencèrent lors de la rébellion de 1863. Le mouvement des cent quarante-quatre mille commença au « temps de la fin », avec un symbole des « sept temps », car cent vingt-six est une dîme de mille deux cent soixante, qui à son tour est la moitié de deux mille cinq cent vingt.</w:t>
      </w:r>
    </w:p>
    <w:p>
      <w:pPr>
        <w:pStyle w:val="ArticleBody"/>
        <w:jc w:val="left"/>
      </w:pPr>
      <w:r>
        <w:rPr>
          <w:rFonts w:ascii="Times New Roman" w:hAnsi="Times New Roman" w:eastAsia="Times New Roman" w:cs="Times New Roman"/>
        </w:rPr>
        <w:t>Jésu máa nsochi anya njedebe nke otu ihe site na mmalite nke otu ihe, ma e ji ihe nnọchianya nke “oge asaa” kaa mmalite nke mmegharị nke ndị otu narị puku na iri anọ na anọ, dị nnọọ ka ọ dịkwa na njedebe nke mmegharị ahụ. Ụbọchị ndị a na-afụ opi nke mmụọ ozi nke asaa, mgbe ihe omimi nke Chineke ga-agwụcha, malitere na ngwụcha nke ụbọchị “atọ na ọkara” nke Mkpughe isi nke iri na otu. Opi nke Asaa, nke bụkwa Ahụhụ nke atọ, kpọrọ ụda ya nke abụọ n’ụbọchị Ọktoba 7, 2023, ma ihe omimi nke Chineke ugbu a na-agwụcha, dịka “o kwuputara ya nye ndị ohu ya ndị amụma.” E ji ihe nnọchianya nke “oge asaa” kaa njedebe nke mmegharị ahụ, dịka e si kwa otu ihe nnọchianya ahụ kaa mmalite nke otu mmegharị ahụ ahụ.</w:t>
      </w:r>
    </w:p>
    <w:p>
      <w:pPr>
        <w:pStyle w:val="ArticleBody"/>
        <w:jc w:val="left"/>
      </w:pPr>
      <w:r>
        <w:rPr>
          <w:rFonts w:ascii="Times New Roman" w:hAnsi="Times New Roman" w:eastAsia="Times New Roman" w:cs="Times New Roman"/>
        </w:rPr>
        <w:t>Timpul sfârșitului, în 1798, „șapte vremi” ale indignării lui Dumnezeu împotriva împărăției de nord s-au încheiat, iar la sfârșitul mișcării millerite, respingerea adevărurilor asociate cu „șapte vremi” a marcat răzvrătirea din 1863. Isus ilustrează întotdeauna sfârșitul unui lucru prin începutul unui lucru, iar mișcarea primului înger (milleriții) ilustrează mișcarea celui de-al treilea înger (cei o sută patruzeci și patru de mii). Ambele mișcări încep și se încheie cu „șapte vremi”. Aceste lucruri nu pot fi născocite.</w:t>
      </w:r>
    </w:p>
    <w:p>
      <w:pPr>
        <w:pStyle w:val="ArticleBody"/>
        <w:jc w:val="left"/>
      </w:pPr>
      <w:r>
        <w:rPr>
          <w:rFonts w:ascii="Times New Roman" w:hAnsi="Times New Roman" w:eastAsia="Times New Roman" w:cs="Times New Roman"/>
        </w:rPr>
        <w:t>Muna ci gaba da wannan bincike a talifi na gaba.</w:t>
      </w:r>
    </w:p>
    <w:p>
      <w:pPr>
        <w:pStyle w:val="ArticleScripture"/>
        <w:jc w:val="left"/>
      </w:pPr>
      <w:r>
        <w:rPr>
          <w:rFonts w:ascii="Times New Roman" w:hAnsi="Times New Roman" w:eastAsia="Times New Roman" w:cs="Times New Roman"/>
        </w:rPr>
        <w:t>“Jene, kteří zastávají odpovědná postavení, nesmějí přijmout požitkářské a přepychové zásady světa, neboť si to nemohou dovolit; a i kdyby si to dovolit mohli, zásady podobné Kristu by to nedovolily. Je třeba poskytovat mnohé vyučování. ‘Koho naučí známosti? a komu dá porozuměti učení? Těm, kteří jsou odstaveni od mléka a odtrženi od prsou. Neboť příkaz musí býti na příkaz, příkaz na příkaz; řádek na řádek, řádek na řádek; zde maličko a tam maličko.’ Tak má být slovo Hospodinovo trpělivě předkládáno dětem a uchováváno před nimi rodiči, kteří věří slovu Božímu. ‘Neboť zadrhujícími rty a cizím jazykem bude mluviti k tomuto lidu. Jimž řekl: Toto jest odpočinutí, kde můžete dopřáti odpočinutí zemdlenému; a toto jest občerstvení: ale nechtěli slyšeti. Proto jim bylo slovo Hospodinovo: příkaz na příkaz, příkaz na příkaz; řádek na řádek, řádek na řádek; zde maličko a tam maličko; aby šli a padli nazpět a byli zlomeni a polapeni do léčky a zajati.’ Proč?—protože nedbali slova Hospodinova, které k nim přišlo.”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នេះមានន័យថា</w:t>
      </w:r>
      <w:r>
        <w:rPr>
          <w:rFonts w:ascii="Times New Roman" w:hAnsi="Times New Roman" w:eastAsia="Times New Roman" w:cs="Times New Roman"/>
        </w:rPr>
        <w:t xml:space="preserve"> </w:t>
      </w:r>
      <w:r>
        <w:rPr>
          <w:rFonts w:ascii="Leelawadee UI" w:hAnsi="Leelawadee UI" w:eastAsia="Leelawadee UI" w:cs="Leelawadee UI"/>
        </w:rPr>
        <w:t>អ្នកទាំងឡាយដែលមិនបានទទួលការបង្រៀន</w:t>
      </w:r>
      <w:r>
        <w:rPr>
          <w:rFonts w:ascii="Times New Roman" w:hAnsi="Times New Roman" w:eastAsia="Times New Roman" w:cs="Times New Roman"/>
        </w:rPr>
        <w:t xml:space="preserve"> </w:t>
      </w:r>
      <w:r>
        <w:rPr>
          <w:rFonts w:ascii="Leelawadee UI" w:hAnsi="Leelawadee UI" w:eastAsia="Leelawadee UI" w:cs="Leelawadee UI"/>
        </w:rPr>
        <w:t>ប៉ុន្តែបានថែរក្សាប្រាជ្ញារបស់ខ្លួនឯង</w:t>
      </w:r>
      <w:r>
        <w:rPr>
          <w:rFonts w:ascii="Times New Roman" w:hAnsi="Times New Roman" w:eastAsia="Times New Roman" w:cs="Times New Roman"/>
        </w:rPr>
        <w:t xml:space="preserve"> </w:t>
      </w:r>
      <w:r>
        <w:rPr>
          <w:rFonts w:ascii="Leelawadee UI" w:hAnsi="Leelawadee UI" w:eastAsia="Leelawadee UI" w:cs="Leelawadee UI"/>
        </w:rPr>
        <w:t>ហើយបានជ្រើសរើសប្រព្រឹត្តិការរបស់ខ្លួនតាមគំនិតរបស់ខ្លួនឯង។</w:t>
      </w:r>
      <w:r>
        <w:rPr>
          <w:rFonts w:ascii="Times New Roman" w:hAnsi="Times New Roman" w:eastAsia="Times New Roman" w:cs="Times New Roman"/>
        </w:rPr>
        <w:t xml:space="preserve"> </w:t>
      </w:r>
      <w:r>
        <w:rPr>
          <w:rFonts w:ascii="Leelawadee UI" w:hAnsi="Leelawadee UI" w:eastAsia="Leelawadee UI" w:cs="Leelawadee UI"/>
        </w:rPr>
        <w:t>ព្រះអម្ចាស់ប្រទានការសាកល្បងនេះដល់ពួកគេ</w:t>
      </w:r>
      <w:r>
        <w:rPr>
          <w:rFonts w:ascii="Times New Roman" w:hAnsi="Times New Roman" w:eastAsia="Times New Roman" w:cs="Times New Roman"/>
        </w:rPr>
        <w:t xml:space="preserve"> </w:t>
      </w:r>
      <w:r>
        <w:rPr>
          <w:rFonts w:ascii="Leelawadee UI" w:hAnsi="Leelawadee UI" w:eastAsia="Leelawadee UI" w:cs="Leelawadee UI"/>
        </w:rPr>
        <w:t>ដើម្បីឲ្យពួកគេនឹងទទួលយកទីតាំងរបស់ខ្លួនក្នុងការដើរតាមព្រះបន្ទូលព្រះអង្គ</w:t>
      </w:r>
      <w:r>
        <w:rPr>
          <w:rFonts w:ascii="Times New Roman" w:hAnsi="Times New Roman" w:eastAsia="Times New Roman" w:cs="Times New Roman"/>
        </w:rPr>
        <w:t xml:space="preserve"> </w:t>
      </w:r>
      <w:r>
        <w:rPr>
          <w:rFonts w:ascii="Leelawadee UI" w:hAnsi="Leelawadee UI" w:eastAsia="Leelawadee UI" w:cs="Leelawadee UI"/>
        </w:rPr>
        <w:t>ឬបដិសេធ</w:t>
      </w:r>
      <w:r>
        <w:rPr>
          <w:rFonts w:ascii="Times New Roman" w:hAnsi="Times New Roman" w:eastAsia="Times New Roman" w:cs="Times New Roman"/>
        </w:rPr>
        <w:t xml:space="preserve"> </w:t>
      </w:r>
      <w:r>
        <w:rPr>
          <w:rFonts w:ascii="Leelawadee UI" w:hAnsi="Leelawadee UI" w:eastAsia="Leelawadee UI" w:cs="Leelawadee UI"/>
        </w:rPr>
        <w:t>ហើយប្រព្រឹត្តិតាមគំនិតរបស់ខ្លួនឯង</w:t>
      </w:r>
      <w:r>
        <w:rPr>
          <w:rFonts w:ascii="Times New Roman" w:hAnsi="Times New Roman" w:eastAsia="Times New Roman" w:cs="Times New Roman"/>
        </w:rPr>
        <w:t xml:space="preserve"> </w:t>
      </w:r>
      <w:r>
        <w:rPr>
          <w:rFonts w:ascii="Leelawadee UI" w:hAnsi="Leelawadee UI" w:eastAsia="Leelawadee UI" w:cs="Leelawadee UI"/>
        </w:rPr>
        <w:t>ហើយនៅពេលនោះ</w:t>
      </w:r>
      <w:r>
        <w:rPr>
          <w:rFonts w:ascii="Times New Roman" w:hAnsi="Times New Roman" w:eastAsia="Times New Roman" w:cs="Times New Roman"/>
        </w:rPr>
        <w:t xml:space="preserve"> </w:t>
      </w:r>
      <w:r>
        <w:rPr>
          <w:rFonts w:ascii="Leelawadee UI" w:hAnsi="Leelawadee UI" w:eastAsia="Leelawadee UI" w:cs="Leelawadee UI"/>
        </w:rPr>
        <w:t>ព្រះអម្ចាស់នឹងទុកពួកគេទៅកាន់ផលវិបាកដ៏ប្រាកដនោះ។</w:t>
      </w:r>
      <w:r>
        <w:rPr>
          <w:rFonts w:ascii="Times New Roman" w:hAnsi="Times New Roman" w:eastAsia="Times New Roman" w:cs="Times New Roman"/>
        </w:rPr>
        <w:t xml:space="preserve"> </w:t>
      </w:r>
      <w:r>
        <w:rPr>
          <w:rFonts w:ascii="Leelawadee UI" w:hAnsi="Leelawadee UI" w:eastAsia="Leelawadee UI" w:cs="Leelawadee UI"/>
        </w:rPr>
        <w:t>នៅក្នុងគ្រប់មាគ៌ារបស់យើង</w:t>
      </w:r>
      <w:r>
        <w:rPr>
          <w:rFonts w:ascii="Times New Roman" w:hAnsi="Times New Roman" w:eastAsia="Times New Roman" w:cs="Times New Roman"/>
        </w:rPr>
        <w:t xml:space="preserve"> </w:t>
      </w:r>
      <w:r>
        <w:rPr>
          <w:rFonts w:ascii="Leelawadee UI" w:hAnsi="Leelawadee UI" w:eastAsia="Leelawadee UI" w:cs="Leelawadee UI"/>
        </w:rPr>
        <w:t>នៅក្នុងគ្រប់ការបម្រើរបស់យើងចំពោះព្រះ</w:t>
      </w:r>
      <w:r>
        <w:rPr>
          <w:rFonts w:ascii="Times New Roman" w:hAnsi="Times New Roman" w:eastAsia="Times New Roman" w:cs="Times New Roman"/>
        </w:rPr>
        <w:t xml:space="preserve"> </w:t>
      </w:r>
      <w:r>
        <w:rPr>
          <w:rFonts w:ascii="Leelawadee UI" w:hAnsi="Leelawadee UI" w:eastAsia="Leelawadee UI" w:cs="Leelawadee UI"/>
        </w:rPr>
        <w:t>ទ្រង់មានព្រះបន្ទូលមកកាន់យើងថា</w:t>
      </w:r>
      <w:r>
        <w:rPr>
          <w:rFonts w:ascii="Times New Roman" w:hAnsi="Times New Roman" w:eastAsia="Times New Roman" w:cs="Times New Roman"/>
        </w:rPr>
        <w:t xml:space="preserve"> “</w:t>
      </w:r>
      <w:r>
        <w:rPr>
          <w:rFonts w:ascii="Leelawadee UI" w:hAnsi="Leelawadee UI" w:eastAsia="Leelawadee UI" w:cs="Leelawadee UI"/>
        </w:rPr>
        <w:t>ចូរប្រគល់ចិត្តរបស់អ្នកមកឲ្យយើងចុះ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គឺជាវិញ្ញាណដែលចុះចូល</w:t>
      </w:r>
      <w:r>
        <w:rPr>
          <w:rFonts w:ascii="Times New Roman" w:hAnsi="Times New Roman" w:eastAsia="Times New Roman" w:cs="Times New Roman"/>
        </w:rPr>
        <w:t xml:space="preserve"> </w:t>
      </w:r>
      <w:r>
        <w:rPr>
          <w:rFonts w:ascii="Leelawadee UI" w:hAnsi="Leelawadee UI" w:eastAsia="Leelawadee UI" w:cs="Leelawadee UI"/>
        </w:rPr>
        <w:t>និងអាចបង្រៀនបាន</w:t>
      </w:r>
      <w:r>
        <w:rPr>
          <w:rFonts w:ascii="Times New Roman" w:hAnsi="Times New Roman" w:eastAsia="Times New Roman" w:cs="Times New Roman"/>
        </w:rPr>
        <w:t xml:space="preserve"> </w:t>
      </w:r>
      <w:r>
        <w:rPr>
          <w:rFonts w:ascii="Leelawadee UI" w:hAnsi="Leelawadee UI" w:eastAsia="Leelawadee UI" w:cs="Leelawadee UI"/>
        </w:rPr>
        <w:t>ដែលព្រះជាម្ចាស់ទ្រង់សព្វព្រះទ័យ។</w:t>
      </w:r>
      <w:r>
        <w:rPr>
          <w:rFonts w:ascii="Times New Roman" w:hAnsi="Times New Roman" w:eastAsia="Times New Roman" w:cs="Times New Roman"/>
        </w:rPr>
        <w:t xml:space="preserve"> </w:t>
      </w:r>
      <w:r>
        <w:rPr>
          <w:rFonts w:ascii="Leelawadee UI" w:hAnsi="Leelawadee UI" w:eastAsia="Leelawadee UI" w:cs="Leelawadee UI"/>
        </w:rPr>
        <w:t>អ្វីដែលប្រទានសេចក្តីល្អឥតខ្ចោះដល់ការអធិស្ឋាន</w:t>
      </w:r>
      <w:r>
        <w:rPr>
          <w:rFonts w:ascii="Times New Roman" w:hAnsi="Times New Roman" w:eastAsia="Times New Roman" w:cs="Times New Roman"/>
        </w:rPr>
        <w:t xml:space="preserve"> </w:t>
      </w:r>
      <w:r>
        <w:rPr>
          <w:rFonts w:ascii="Leelawadee UI" w:hAnsi="Leelawadee UI" w:eastAsia="Leelawadee UI" w:cs="Leelawadee UI"/>
        </w:rPr>
        <w:t>គឺជាការពិតដែលថា</w:t>
      </w:r>
      <w:r>
        <w:rPr>
          <w:rFonts w:ascii="Times New Roman" w:hAnsi="Times New Roman" w:eastAsia="Times New Roman" w:cs="Times New Roman"/>
        </w:rPr>
        <w:t xml:space="preserve"> </w:t>
      </w:r>
      <w:r>
        <w:rPr>
          <w:rFonts w:ascii="Leelawadee UI" w:hAnsi="Leelawadee UI" w:eastAsia="Leelawadee UI" w:cs="Leelawadee UI"/>
        </w:rPr>
        <w:t>ការអធិស្ឋាននោះបានហូរចេញពីចិត្តដែលពេញដោយសេចក្តីស្រឡាញ់</w:t>
      </w:r>
      <w:r>
        <w:rPr>
          <w:rFonts w:ascii="Times New Roman" w:hAnsi="Times New Roman" w:eastAsia="Times New Roman" w:cs="Times New Roman"/>
        </w:rPr>
        <w:t xml:space="preserve"> </w:t>
      </w:r>
      <w:r>
        <w:rPr>
          <w:rFonts w:ascii="Leelawadee UI" w:hAnsi="Leelawadee UI" w:eastAsia="Leelawadee UI" w:cs="Leelawadee UI"/>
        </w:rPr>
        <w:t>និងការគោរពប្រតិបត្តិ។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“Gudh kërkon disa gjëra prej popullit të Tij; nëse ata thonë: Unë nuk do ta dorëzoj zemrën time për ta bërë këtë gjë, Zoti i lë të ecin përpara në atë që e quajnë gjykim të urtë, por pa urtësi qiellore, derisa të përmbushet ky shkrim [Isaia 28:13]. Ju nuk duhet të thoni: Unë do ta ndjek udhëheqjen e Zotit deri në një pikë të caktuar që është në harmoni me gjykimin tim, e pastaj të mbaheni fort pas ideve tuaja, duke refuzuar të formoheni sipas shëmbëllesës së Zotit. Le të shtrohet pyetja: A është kjo vullneti i Zotit? jo: A është ky mendimi apo gjykimi i —–?” Dëshmi për Predikuesit,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پنج</dc:title>
  <dc:subject>Les parallèles prophétiques : du message d’Ésaïe aux révélations des temps modernes</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