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soixante-seize</w:t>
      </w:r>
    </w:p>
    <w:p>
      <w:pPr>
        <w:pStyle w:val="ArticleSubtitle"/>
        <w:jc w:val="left"/>
      </w:pPr>
      <w:r>
        <w:rPr>
          <w:rFonts w:ascii="Arial" w:hAnsi="Arial" w:eastAsia="Arial" w:cs="Arial"/>
        </w:rPr>
        <w:t>Dévoiler les prophéties : le rejet de la lumière en 1856 et ses conséquences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En 1856, la lumière des « sept temps » fut descellée, et en 1863 cette lumière fut rejetée. Le prophète venu de Juda apporta cette lumière au roi impie Jéroboam, et Jéroboam rejeta la lumière. Ésaïe apporta la même lumière au roi impie Achaz, et lui aussi la rejeta. Pour avoir refusé la lumière associée au réservoir de Siloé, les royaumes tant de Jéroboam (celui du nord) que d’Achaz (celui du sud) furent emmenés en captivité par un roi venant du nord, respectivement en 723 av. J.-C. et en 677 av. J.-C.</w:t>
      </w:r>
    </w:p>
    <w:p>
      <w:pPr>
        <w:pStyle w:val="ArticleBody"/>
        <w:jc w:val="left"/>
      </w:pPr>
      <w:r>
        <w:rPr>
          <w:rFonts w:ascii="Times New Roman" w:hAnsi="Times New Roman" w:eastAsia="Times New Roman" w:cs="Times New Roman"/>
        </w:rPr>
        <w:t>Mose, in Aarons Auflehnung, Jesaja bei Ahas und Jeremia bei anderen Königen, stellten die Treuen der milleritischen Geschichte dar, die allesamt die Boten des Lichts in der Rebellion der letzten Tage repräsentierten. Die „erste“ Endzeitkrise von 1863 und die „letzte“ Endzeitkrise des „großen Erdbebens“ aus Offenbarung Kapitel elf (das bald kommende Sonntagsgesetz) werden durch all diese prophetischen Linien dargestellt. Der Prophet aus Juda stellt einen Propheten dar, der von seiner Verantwortung abfiel und schließlich in demselben Grab wie der abgefallene Protestantismus bestattet wurde. Sein Tod und seine Bestattung waren die Folge seiner Entscheidung, die Speise und den Trank der lügnerischen Propheten von Bethel zu sich zu nehmen.</w:t>
      </w:r>
    </w:p>
    <w:p>
      <w:pPr>
        <w:pStyle w:val="ArticleBody"/>
        <w:jc w:val="left"/>
      </w:pPr>
      <w:r>
        <w:rPr>
          <w:rFonts w:ascii="Times New Roman" w:hAnsi="Times New Roman" w:eastAsia="Times New Roman" w:cs="Times New Roman"/>
        </w:rPr>
        <w:t>Le jugement consistant à être vaincu par la papauté (le roi d’Assyrie) lors de la loi dominicale, lequel fut préfiguré par la dispersion des royaumes du Nord et du Sud sous Jéroboam et Achaz, correspond au sort du prophète de Juda, car il mourut entre un « lion » et un « âne ». Le « lion » est le symbole de Babylone, qui, dans les derniers jours, est la papauté.</w:t>
      </w:r>
    </w:p>
    <w:p>
      <w:pPr>
        <w:pStyle w:val="ArticleScripture"/>
        <w:jc w:val="left"/>
      </w:pPr>
      <w:r>
        <w:rPr>
          <w:rFonts w:ascii="Times New Roman" w:hAnsi="Times New Roman" w:eastAsia="Times New Roman" w:cs="Times New Roman"/>
        </w:rPr>
        <w:t>And it came to pass, after he had eaten bread, and after he had drunk, that he saddled for him the ass, to wit, for the prophet whom he had brought back. And when he was gone, a lion met him by the way, and slew him: and his carcase was cast in the way, and the ass stood by it, the lion also stood by the carcase. And, behold, men passed by, and saw the carcase cast in the way, and the lion standing by the carcase: and they came and told it in the city where the old prophet dwelt. And when the prophet that brought him back from the way heard thereof, he said, It is the man of God, who was disobedient unto the word of the Lord: therefore the Lord hath delivered him unto the lion, which hath torn him, and slain him, according to the word of the Lord, which he spake unto him. And he spake to his sons, saying, Saddle me the ass. And they saddled him. And he went and found his carcase cast in the way, and the ass and the lion standing by the carcase: the lion had not eaten the carcase, nor torn the ass. And the prophet took up the carcase of the man of God, and laid it upon the ass, and brought it back: and the old prophet came to the city, to mourn and to bury him. And he laid his carcase in his own grave; and they mourned over him, saying, Alas, my brother! And it came to pass, after he had buried him, that he spake to his sons, saying, When I am dead, then bury me in the sepulchre wherein the man of God is buried; lay my bones beside his bones: For the saying which he cried by the word of the Lord against the altar in Bethel, and against all the houses of the high places which are in the cities of Samaria, shall surely come to pass. 1 Kings 13:11–32.</w:t>
      </w:r>
    </w:p>
    <w:p>
      <w:pPr>
        <w:pStyle w:val="ArticleBody"/>
        <w:jc w:val="left"/>
      </w:pPr>
      <w:r>
        <w:rPr>
          <w:rFonts w:ascii="Microsoft YaHei" w:hAnsi="Microsoft YaHei" w:eastAsia="Microsoft YaHei" w:cs="Microsoft YaHei"/>
        </w:rPr>
        <w:t>先知死在两个表号之间</w:t>
      </w:r>
      <w:r>
        <w:rPr>
          <w:rFonts w:ascii="Times New Roman" w:hAnsi="Times New Roman" w:eastAsia="Times New Roman" w:cs="Times New Roman"/>
        </w:rPr>
        <w:t>.</w:t>
      </w:r>
      <w:r>
        <w:rPr>
          <w:rFonts w:ascii="Microsoft YaHei" w:hAnsi="Microsoft YaHei" w:eastAsia="Microsoft YaHei" w:cs="Microsoft YaHei"/>
        </w:rPr>
        <w:t>狮子是巴比伦的表号</w:t>
      </w:r>
      <w:r>
        <w:rPr>
          <w:rFonts w:ascii="Times New Roman" w:hAnsi="Times New Roman" w:eastAsia="Times New Roman" w:cs="Times New Roman"/>
        </w:rPr>
        <w:t>,</w:t>
      </w:r>
      <w:r>
        <w:rPr>
          <w:rFonts w:ascii="Microsoft YaHei" w:hAnsi="Microsoft YaHei" w:eastAsia="Microsoft YaHei" w:cs="Microsoft YaHei"/>
        </w:rPr>
        <w:t>而末后的现代巴比伦乃是北方王</w:t>
      </w:r>
      <w:r>
        <w:rPr>
          <w:rFonts w:ascii="Times New Roman" w:hAnsi="Times New Roman" w:eastAsia="Times New Roman" w:cs="Times New Roman"/>
        </w:rPr>
        <w:t>;</w:t>
      </w:r>
      <w:r>
        <w:rPr>
          <w:rFonts w:ascii="Microsoft YaHei" w:hAnsi="Microsoft YaHei" w:eastAsia="Microsoft YaHei" w:cs="Microsoft YaHei"/>
        </w:rPr>
        <w:t>照但以理书十一章四十五节所言</w:t>
      </w:r>
      <w:r>
        <w:rPr>
          <w:rFonts w:ascii="Times New Roman" w:hAnsi="Times New Roman" w:eastAsia="Times New Roman" w:cs="Times New Roman"/>
        </w:rPr>
        <w:t>,</w:t>
      </w:r>
      <w:r>
        <w:rPr>
          <w:rFonts w:ascii="Microsoft YaHei" w:hAnsi="Microsoft YaHei" w:eastAsia="Microsoft YaHei" w:cs="Microsoft YaHei"/>
        </w:rPr>
        <w:t>他到了结局</w:t>
      </w:r>
      <w:r>
        <w:rPr>
          <w:rFonts w:ascii="Times New Roman" w:hAnsi="Times New Roman" w:eastAsia="Times New Roman" w:cs="Times New Roman"/>
        </w:rPr>
        <w:t>,</w:t>
      </w:r>
      <w:r>
        <w:rPr>
          <w:rFonts w:ascii="Microsoft YaHei" w:hAnsi="Microsoft YaHei" w:eastAsia="Microsoft YaHei" w:cs="Microsoft YaHei"/>
        </w:rPr>
        <w:t>必无人帮助他</w:t>
      </w:r>
      <w:r>
        <w:rPr>
          <w:rFonts w:ascii="Times New Roman" w:hAnsi="Times New Roman" w:eastAsia="Times New Roman" w:cs="Times New Roman"/>
        </w:rPr>
        <w:t>.</w:t>
      </w:r>
      <w:r>
        <w:rPr>
          <w:rFonts w:ascii="Microsoft YaHei" w:hAnsi="Microsoft YaHei" w:eastAsia="Microsoft YaHei" w:cs="Microsoft YaHei"/>
        </w:rPr>
        <w:t>他权柄的记号乃是敬拜太阳</w:t>
      </w:r>
      <w:r>
        <w:rPr>
          <w:rFonts w:ascii="Times New Roman" w:hAnsi="Times New Roman" w:eastAsia="Times New Roman" w:cs="Times New Roman"/>
        </w:rPr>
        <w:t>,</w:t>
      </w:r>
      <w:r>
        <w:rPr>
          <w:rFonts w:ascii="Microsoft YaHei" w:hAnsi="Microsoft YaHei" w:eastAsia="Microsoft YaHei" w:cs="Microsoft YaHei"/>
        </w:rPr>
        <w:t>这就是第四件可憎之事</w:t>
      </w:r>
      <w:r>
        <w:rPr>
          <w:rFonts w:ascii="Times New Roman" w:hAnsi="Times New Roman" w:eastAsia="Times New Roman" w:cs="Times New Roman"/>
        </w:rPr>
        <w:t>;</w:t>
      </w:r>
      <w:r>
        <w:rPr>
          <w:rFonts w:ascii="Microsoft YaHei" w:hAnsi="Microsoft YaHei" w:eastAsia="Microsoft YaHei" w:cs="Microsoft YaHei"/>
        </w:rPr>
        <w:t>在以西结书第八章中</w:t>
      </w:r>
      <w:r>
        <w:rPr>
          <w:rFonts w:ascii="Times New Roman" w:hAnsi="Times New Roman" w:eastAsia="Times New Roman" w:cs="Times New Roman"/>
        </w:rPr>
        <w:t>,</w:t>
      </w:r>
      <w:r>
        <w:rPr>
          <w:rFonts w:ascii="Microsoft YaHei" w:hAnsi="Microsoft YaHei" w:eastAsia="Microsoft YaHei" w:cs="Microsoft YaHei"/>
        </w:rPr>
        <w:t>老底嘉式复临信仰的第四代被描绘为面向太阳下拜</w:t>
      </w:r>
      <w:r>
        <w:rPr>
          <w:rFonts w:ascii="Times New Roman" w:hAnsi="Times New Roman" w:eastAsia="Times New Roman" w:cs="Times New Roman"/>
        </w:rPr>
        <w:t>.</w:t>
      </w:r>
      <w:r>
        <w:rPr>
          <w:rFonts w:ascii="Microsoft YaHei" w:hAnsi="Microsoft YaHei" w:eastAsia="Microsoft YaHei" w:cs="Microsoft YaHei"/>
        </w:rPr>
        <w:t>在米勒的梦中</w:t>
      </w:r>
      <w:r>
        <w:rPr>
          <w:rFonts w:ascii="Times New Roman" w:hAnsi="Times New Roman" w:eastAsia="Times New Roman" w:cs="Times New Roman"/>
        </w:rPr>
        <w:t>,</w:t>
      </w:r>
      <w:r>
        <w:rPr>
          <w:rFonts w:ascii="Microsoft YaHei" w:hAnsi="Microsoft YaHei" w:eastAsia="Microsoft YaHei" w:cs="Microsoft YaHei"/>
        </w:rPr>
        <w:t>向他显明</w:t>
      </w:r>
      <w:r>
        <w:rPr>
          <w:rFonts w:ascii="Times New Roman" w:hAnsi="Times New Roman" w:eastAsia="Times New Roman" w:cs="Times New Roman"/>
        </w:rPr>
        <w:t>,</w:t>
      </w:r>
      <w:r>
        <w:rPr>
          <w:rFonts w:ascii="Microsoft YaHei" w:hAnsi="Microsoft YaHei" w:eastAsia="Microsoft YaHei" w:cs="Microsoft YaHei"/>
        </w:rPr>
        <w:t>不但那些宝石被散落并被遮盖起来</w:t>
      </w:r>
      <w:r>
        <w:rPr>
          <w:rFonts w:ascii="Times New Roman" w:hAnsi="Times New Roman" w:eastAsia="Times New Roman" w:cs="Times New Roman"/>
        </w:rPr>
        <w:t>,</w:t>
      </w:r>
      <w:r>
        <w:rPr>
          <w:rFonts w:ascii="Microsoft YaHei" w:hAnsi="Microsoft YaHei" w:eastAsia="Microsoft YaHei" w:cs="Microsoft YaHei"/>
        </w:rPr>
        <w:t>而且那代表</w:t>
      </w:r>
      <w:r>
        <w:rPr>
          <w:rFonts w:ascii="Times New Roman" w:hAnsi="Times New Roman" w:eastAsia="Times New Roman" w:cs="Times New Roman"/>
        </w:rPr>
        <w:t>«</w:t>
      </w:r>
      <w:r>
        <w:rPr>
          <w:rFonts w:ascii="Microsoft YaHei" w:hAnsi="Microsoft YaHei" w:eastAsia="Microsoft YaHei" w:cs="Microsoft YaHei"/>
        </w:rPr>
        <w:t>圣经</w:t>
      </w:r>
      <w:r>
        <w:rPr>
          <w:rFonts w:ascii="Times New Roman" w:hAnsi="Times New Roman" w:eastAsia="Times New Roman" w:cs="Times New Roman"/>
        </w:rPr>
        <w:t>»</w:t>
      </w:r>
      <w:r>
        <w:rPr>
          <w:rFonts w:ascii="Microsoft YaHei" w:hAnsi="Microsoft YaHei" w:eastAsia="Microsoft YaHei" w:cs="Microsoft YaHei"/>
        </w:rPr>
        <w:t>的匣子本身也被撕裂了</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במהלך הדור השלישי של האדוונטיזם קידמה הנהגת האדוונטיזם את המלאכה של הנהגת השימוש במה שמכונה תרגומי המקרא המודרניים. אותם תרגומים מודרניים כביכול נבעו ממערכת כתבי־יד מושחתת, המקודמת בידי התיאולוגים של איש החטא ושל הפרוטסטנטיות הכופרת. ארונו של מילר היה נוסח המלך ג׳יימס, שתורגם מתוך כתבי־היד הבלתי־מושחתים.</w:t>
      </w:r>
    </w:p>
    <w:p>
      <w:pPr>
        <w:pStyle w:val="ArticleBody"/>
        <w:jc w:val="left"/>
      </w:pP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ਪਹੁੰਚਦੇ</w:t>
      </w:r>
      <w:r>
        <w:rPr>
          <w:rFonts w:ascii="Times New Roman" w:hAnsi="Times New Roman" w:eastAsia="Times New Roman" w:cs="Times New Roman"/>
        </w:rPr>
        <w:t>-</w:t>
      </w:r>
      <w:r>
        <w:rPr>
          <w:rFonts w:ascii="Nirmala UI" w:hAnsi="Nirmala UI" w:eastAsia="Nirmala UI" w:cs="Nirmala UI"/>
        </w:rPr>
        <w:t>ਪਹੁੰਚਦੇ</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ਪਰਿਸ਼ਦ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ਰੋਮਨ</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ਧੀਆਂ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w:t>
      </w:r>
      <w:r>
        <w:rPr>
          <w:rFonts w:ascii="Nirmala UI" w:hAnsi="Nirmala UI" w:eastAsia="Nirmala UI" w:cs="Nirmala UI"/>
        </w:rPr>
        <w:t>ਬੰਧੀ</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ਲਾਭ</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ਦਲੀਲ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ਪਰਿਸ਼ਦ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“observer”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w:t>
      </w:r>
      <w:r>
        <w:rPr>
          <w:rFonts w:ascii="Nirmala UI" w:hAnsi="Nirmala UI" w:eastAsia="Nirmala UI" w:cs="Nirmala UI"/>
        </w:rPr>
        <w:t>ਬੰਧੀ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ਉਪ</w:t>
      </w:r>
      <w:r>
        <w:rPr>
          <w:rFonts w:ascii="Times New Roman" w:hAnsi="Times New Roman" w:eastAsia="Times New Roman" w:cs="Times New Roman"/>
        </w:rPr>
        <w:t>-</w:t>
      </w:r>
      <w:r>
        <w:rPr>
          <w:rFonts w:ascii="Nirmala UI" w:hAnsi="Nirmala UI" w:eastAsia="Nirmala UI" w:cs="Nirmala UI"/>
        </w:rPr>
        <w:t>ਨਿਯਮਾਂ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“observer”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ਦਰਜਾ</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ਵੋਟ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ਮੈਂਬਰ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خلال جيلهم الرابع، منحوا «رجل الخطية» ميدالية ذهبية مرتين. وكانت واحدة من الميداليتين على الأقل منقوشًا عليها الفهم الكاثوليكي للمجيء الثاني للمسيح، إذ صوّرت يسوع واضعًا قدمه على الأرض عند رجوعه، كما اشتملت على الهالة الشمسية الكاثوليكية خلف المسيح، وعلى الصياغة الكاثوليكية المختصرة للوصية الرابعة، التي قالت ببساطة: «اذكر السبت». وفي إجراء قضائي (وهو تصريح قانوني)، أدلى رئيس المؤتمر العام بشهادة عرّف فيها بأن كنيسة السبتيين الأدڤنتست كانت تؤمن في السابق بأن البابوية هي ضدّ المسيح، غير أن كنيسته كانت قد ألقت ذلك الاعتقاد منذ زمن بعيد «في مزبلة التاريخ».</w:t>
      </w:r>
    </w:p>
    <w:p>
      <w:pPr>
        <w:pStyle w:val="ArticleBody"/>
        <w:jc w:val="left"/>
      </w:pPr>
      <w:r>
        <w:rPr>
          <w:rFonts w:ascii="Times New Roman" w:hAnsi="Times New Roman" w:eastAsia="Times New Roman" w:cs="Times New Roman"/>
        </w:rPr>
        <w:t>L’abomination (génération) quatrième est celle où les vingt-cinq conducteurs de l’Église de Jérusalem se prosternent devant le soleil. Les abominations progressives ont commencé avec l’image de la jalousie qui fut dressée à l’entrée, marquant le commencement. Le prophète de Juda finit enseveli avec le protestantisme apostat, et le lion (Babylone) le tue, car il est revenu à la méthodologie du protestantisme apostat et se trouve dès lors incapable de reconnaître que c’est Rome qui établit la vision; et là où il n’y a pas de vision établie par le symbole de l’homme de péché, on finit inévitablement du côté de l’homme de péché.</w:t>
      </w:r>
    </w:p>
    <w:p>
      <w:pPr>
        <w:pStyle w:val="ArticleScripture"/>
        <w:jc w:val="left"/>
      </w:pPr>
      <w:r>
        <w:rPr>
          <w:rFonts w:ascii="Times New Roman" w:hAnsi="Times New Roman" w:eastAsia="Times New Roman" w:cs="Times New Roman"/>
        </w:rPr>
        <w:t>« Ceux qui se troublent dans leur compréhension de la parole, et qui ne discernent pas la signification de l’antichrist, se placeront assurément du côté de l’antichrist. » Kress Collection, 105.</w:t>
      </w:r>
    </w:p>
    <w:p>
      <w:pPr>
        <w:pStyle w:val="ArticleBody"/>
        <w:jc w:val="left"/>
      </w:pPr>
      <w:r>
        <w:rPr>
          <w:rFonts w:ascii="Times New Roman" w:hAnsi="Times New Roman" w:eastAsia="Times New Roman" w:cs="Times New Roman"/>
        </w:rPr>
        <w:t>Пријудејскиот пророк беше погребан со лажливиот пророк од Ветил, кој го нарече свој „брат“, и беше најден мртов меѓу два симбола. „Лавот“ го претставуваше неговиот неуспех да го разбере антихристот, а „магарето“ е симбол на исламот. Лаодикискиот адвентизам веќе покажа, преку своето молчење во врска со 11 септември 2001 година, дека не препознава оти темата за исламот на третото тешко е полноќниот вик, пораката на доцниот дожд. Неуспехот да се препознае пораката на доцниот дожд е смрт! Доцниот дожд започна на 11 септември 2001 година, кога се спушти моќниот ангел од Откровение осумнаесет, кога беа урнати големите згради на Њујорк. „Дождот“ е порака, и пораката мора да се препознае за да се прими.</w:t>
      </w:r>
    </w:p>
    <w:p>
      <w:pPr>
        <w:pStyle w:val="ArticleScripture"/>
        <w:jc w:val="left"/>
      </w:pPr>
      <w:r>
        <w:rPr>
          <w:rFonts w:ascii="Times New Roman" w:hAnsi="Times New Roman" w:eastAsia="Times New Roman" w:cs="Times New Roman"/>
        </w:rPr>
        <w:t>“Fodkan wali henyo kutini mvula ya kunyuma. Ileyisa kuli bonse abakaishiba no kulangulukila ikumbi ne mvula sha chisomo ishileponena pali ifwe. Ilyo twasangulula ututuntulu twa lubuto, ilyo twatotela uluse lwakwa Lesa ulwa cine, uwatemwa ukuti tumutetekele, elyo ubulayo bonse bukafikilishiwa. [Esaya 61:11 quoted.] Icalo conse cikaisushiwa no bukata bwakwa Lesa.” The Seventh-day Adventist Bible Commentary, volume 7, 984.</w:t>
      </w:r>
    </w:p>
    <w:p>
      <w:pPr>
        <w:pStyle w:val="ArticleBody"/>
        <w:jc w:val="left"/>
      </w:pPr>
      <w:r>
        <w:rPr>
          <w:rFonts w:ascii="Times New Roman" w:hAnsi="Times New Roman" w:eastAsia="Times New Roman" w:cs="Times New Roman"/>
        </w:rPr>
        <w:t>“Ny tany rehetra” dia mahalala izay nitranga tamin’ny 11 Septambra 2001, kanefa mba handraisana ny hafatra izay manomboka eo ary amin’ny farany manazava ny tany rehetra amin’ny voninahitr’Andriamanitra, dia tsy maintsy ekena ho fantatra izany hafatra izany. Ny teny hoe “mahafantatra indray” dia midika hoe “mampahatsiaro na mamerina ny fahalalana momba ny zavatra iray, na miaraka amin’ny fanekena izany fahalalana izany na tsia. Mahafantatra olona iray eny lavitra eny isika, rehefa tsaroantsika fa efa hitantsika izy taloha, na efa fantatsika fahiny izy. Mahafantatra ny endriny na ny feony isika.” Webster’s 1828 Dictionary.</w:t>
      </w:r>
    </w:p>
    <w:p>
      <w:pPr>
        <w:pStyle w:val="ArticleBody"/>
        <w:jc w:val="left"/>
      </w:pPr>
      <w:r>
        <w:rPr>
          <w:rFonts w:ascii="Nirmala UI" w:hAnsi="Nirmala UI" w:eastAsia="Nirmala UI" w:cs="Nirmala UI"/>
        </w:rPr>
        <w:t>୨୦୦୧</w:t>
      </w:r>
      <w:r>
        <w:rPr>
          <w:rFonts w:ascii="Times New Roman" w:hAnsi="Times New Roman" w:eastAsia="Times New Roman" w:cs="Times New Roman"/>
        </w:rPr>
        <w:t xml:space="preserve"> </w:t>
      </w:r>
      <w:r>
        <w:rPr>
          <w:rFonts w:ascii="Nirmala UI" w:hAnsi="Nirmala UI" w:eastAsia="Nirmala UI" w:cs="Nirmala UI"/>
        </w:rPr>
        <w:t>ସେପ୍ଟେମ୍ବର</w:t>
      </w:r>
      <w:r>
        <w:rPr>
          <w:rFonts w:ascii="Times New Roman" w:hAnsi="Times New Roman" w:eastAsia="Times New Roman" w:cs="Times New Roman"/>
        </w:rPr>
        <w:t xml:space="preserve"> </w:t>
      </w:r>
      <w:r>
        <w:rPr>
          <w:rFonts w:ascii="Nirmala UI" w:hAnsi="Nirmala UI" w:eastAsia="Nirmala UI" w:cs="Nirmala UI"/>
        </w:rPr>
        <w:t>୧୧</w:t>
      </w:r>
      <w:r>
        <w:rPr>
          <w:rFonts w:ascii="Times New Roman" w:hAnsi="Times New Roman" w:eastAsia="Times New Roman" w:cs="Times New Roman"/>
        </w:rPr>
        <w:t xml:space="preserve">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ଆସିଥିବା</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ସନ୍ଦେଶକୁ</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ଲାଓଡିସିୟ</w:t>
      </w:r>
      <w:r>
        <w:rPr>
          <w:rFonts w:ascii="Times New Roman" w:hAnsi="Times New Roman" w:eastAsia="Times New Roman" w:cs="Times New Roman"/>
        </w:rPr>
        <w:t xml:space="preserve"> </w:t>
      </w:r>
      <w:r>
        <w:rPr>
          <w:rFonts w:ascii="Nirmala UI" w:hAnsi="Nirmala UI" w:eastAsia="Nirmala UI" w:cs="Nirmala UI"/>
        </w:rPr>
        <w:t>ଆଡଭେଣ୍ଟିଷ୍ଟ</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ସେଥିରେହି</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ସ୍ୱୀକାର</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ଅତୀତରେ</w:t>
      </w:r>
      <w:r>
        <w:rPr>
          <w:rFonts w:ascii="Times New Roman" w:hAnsi="Times New Roman" w:eastAsia="Times New Roman" w:cs="Times New Roman"/>
        </w:rPr>
        <w:t xml:space="preserve"> </w:t>
      </w:r>
      <w:r>
        <w:rPr>
          <w:rFonts w:ascii="Nirmala UI" w:hAnsi="Nirmala UI" w:eastAsia="Nirmala UI" w:cs="Nirmala UI"/>
        </w:rPr>
        <w:t>ଦିବ୍ୟ</w:t>
      </w:r>
      <w:r>
        <w:rPr>
          <w:rFonts w:ascii="Times New Roman" w:hAnsi="Times New Roman" w:eastAsia="Times New Roman" w:cs="Times New Roman"/>
        </w:rPr>
        <w:t xml:space="preserve"> </w:t>
      </w:r>
      <w:r>
        <w:rPr>
          <w:rFonts w:ascii="Nirmala UI" w:hAnsi="Nirmala UI" w:eastAsia="Nirmala UI" w:cs="Nirmala UI"/>
        </w:rPr>
        <w:t>ଶକ୍ତିର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ଏକେଇ</w:t>
      </w:r>
      <w:r>
        <w:rPr>
          <w:rFonts w:ascii="Times New Roman" w:hAnsi="Times New Roman" w:eastAsia="Times New Roman" w:cs="Times New Roman"/>
        </w:rPr>
        <w:t xml:space="preserve"> </w:t>
      </w:r>
      <w:r>
        <w:rPr>
          <w:rFonts w:ascii="Nirmala UI" w:hAnsi="Nirmala UI" w:eastAsia="Nirmala UI" w:cs="Nirmala UI"/>
        </w:rPr>
        <w:t>ପ୍ରକାଶକୁ</w:t>
      </w:r>
      <w:r>
        <w:rPr>
          <w:rFonts w:ascii="Times New Roman" w:hAnsi="Times New Roman" w:eastAsia="Times New Roman" w:cs="Times New Roman"/>
        </w:rPr>
        <w:t xml:space="preserve"> </w:t>
      </w:r>
      <w:r>
        <w:rPr>
          <w:rFonts w:ascii="Nirmala UI" w:hAnsi="Nirmala UI" w:eastAsia="Nirmala UI" w:cs="Nirmala UI"/>
        </w:rPr>
        <w:t>ଦେଖିଥିଲେ।</w:t>
      </w:r>
      <w:r>
        <w:rPr>
          <w:rFonts w:ascii="Times New Roman" w:hAnsi="Times New Roman" w:eastAsia="Times New Roman" w:cs="Times New Roman"/>
        </w:rPr>
        <w:t xml:space="preserve"> </w:t>
      </w:r>
      <w:r>
        <w:rPr>
          <w:rFonts w:ascii="Nirmala UI" w:hAnsi="Nirmala UI" w:eastAsia="Nirmala UI" w:cs="Nirmala UI"/>
        </w:rPr>
        <w:t>୧୮୪୦</w:t>
      </w:r>
      <w:r>
        <w:rPr>
          <w:rFonts w:ascii="Times New Roman" w:hAnsi="Times New Roman" w:eastAsia="Times New Roman" w:cs="Times New Roman"/>
        </w:rPr>
        <w:t xml:space="preserve"> </w:t>
      </w:r>
      <w:r>
        <w:rPr>
          <w:rFonts w:ascii="Nirmala UI" w:hAnsi="Nirmala UI" w:eastAsia="Nirmala UI" w:cs="Nirmala UI"/>
        </w:rPr>
        <w:t>ଅଗଷ୍ଟ</w:t>
      </w:r>
      <w:r>
        <w:rPr>
          <w:rFonts w:ascii="Times New Roman" w:hAnsi="Times New Roman" w:eastAsia="Times New Roman" w:cs="Times New Roman"/>
        </w:rPr>
        <w:t xml:space="preserve"> </w:t>
      </w:r>
      <w:r>
        <w:rPr>
          <w:rFonts w:ascii="Nirmala UI" w:hAnsi="Nirmala UI" w:eastAsia="Nirmala UI" w:cs="Nirmala UI"/>
        </w:rPr>
        <w:t>୧୧</w:t>
      </w:r>
      <w:r>
        <w:rPr>
          <w:rFonts w:ascii="Times New Roman" w:hAnsi="Times New Roman" w:eastAsia="Times New Roman" w:cs="Times New Roman"/>
        </w:rPr>
        <w:t xml:space="preserve">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ଦଶର</w:t>
      </w:r>
      <w:r>
        <w:rPr>
          <w:rFonts w:ascii="Times New Roman" w:hAnsi="Times New Roman" w:eastAsia="Times New Roman" w:cs="Times New Roman"/>
        </w:rPr>
        <w:t xml:space="preserve"> </w:t>
      </w:r>
      <w:r>
        <w:rPr>
          <w:rFonts w:ascii="Nirmala UI" w:hAnsi="Nirmala UI" w:eastAsia="Nirmala UI" w:cs="Nirmala UI"/>
        </w:rPr>
        <w:t>ପରାକ୍ରମୀ</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ଅବତରଣ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ଇସ୍ଲାମର</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ହାୟର</w:t>
      </w:r>
      <w:r>
        <w:rPr>
          <w:rFonts w:ascii="Times New Roman" w:hAnsi="Times New Roman" w:eastAsia="Times New Roman" w:cs="Times New Roman"/>
        </w:rPr>
        <w:t xml:space="preserve"> </w:t>
      </w:r>
      <w:r>
        <w:rPr>
          <w:rFonts w:ascii="Nirmala UI" w:hAnsi="Nirmala UI" w:eastAsia="Nirmala UI" w:cs="Nirmala UI"/>
        </w:rPr>
        <w:t>ଭବିଷ୍ୟଦ୍ବାଣୀ</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ସମ୍ପୂର୍ଣ୍ଣରୂପେ</w:t>
      </w:r>
      <w:r>
        <w:rPr>
          <w:rFonts w:ascii="Times New Roman" w:hAnsi="Times New Roman" w:eastAsia="Times New Roman" w:cs="Times New Roman"/>
        </w:rPr>
        <w:t xml:space="preserve"> </w:t>
      </w:r>
      <w:r>
        <w:rPr>
          <w:rFonts w:ascii="Nirmala UI" w:hAnsi="Nirmala UI" w:eastAsia="Nirmala UI" w:cs="Nirmala UI"/>
        </w:rPr>
        <w:t>ପୁନରାବୃତ୍ତ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୨୦୦୧</w:t>
      </w:r>
      <w:r>
        <w:rPr>
          <w:rFonts w:ascii="Times New Roman" w:hAnsi="Times New Roman" w:eastAsia="Times New Roman" w:cs="Times New Roman"/>
        </w:rPr>
        <w:t xml:space="preserve"> </w:t>
      </w:r>
      <w:r>
        <w:rPr>
          <w:rFonts w:ascii="Nirmala UI" w:hAnsi="Nirmala UI" w:eastAsia="Nirmala UI" w:cs="Nirmala UI"/>
        </w:rPr>
        <w:t>ସେପ୍ଟେମ୍ବର</w:t>
      </w:r>
      <w:r>
        <w:rPr>
          <w:rFonts w:ascii="Times New Roman" w:hAnsi="Times New Roman" w:eastAsia="Times New Roman" w:cs="Times New Roman"/>
        </w:rPr>
        <w:t xml:space="preserve"> </w:t>
      </w:r>
      <w:r>
        <w:rPr>
          <w:rFonts w:ascii="Nirmala UI" w:hAnsi="Nirmala UI" w:eastAsia="Nirmala UI" w:cs="Nirmala UI"/>
        </w:rPr>
        <w:t>୧୧</w:t>
      </w:r>
      <w:r>
        <w:rPr>
          <w:rFonts w:ascii="Times New Roman" w:hAnsi="Times New Roman" w:eastAsia="Times New Roman" w:cs="Times New Roman"/>
        </w:rPr>
        <w:t xml:space="preserve">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ଅଠାରର</w:t>
      </w:r>
      <w:r>
        <w:rPr>
          <w:rFonts w:ascii="Times New Roman" w:hAnsi="Times New Roman" w:eastAsia="Times New Roman" w:cs="Times New Roman"/>
        </w:rPr>
        <w:t xml:space="preserve"> </w:t>
      </w:r>
      <w:r>
        <w:rPr>
          <w:rFonts w:ascii="Nirmala UI" w:hAnsi="Nirmala UI" w:eastAsia="Nirmala UI" w:cs="Nirmala UI"/>
        </w:rPr>
        <w:t>ପରାକ୍ରମୀ</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ଅବତରଣ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ଇସ୍ଲାମର</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ହାୟର</w:t>
      </w:r>
      <w:r>
        <w:rPr>
          <w:rFonts w:ascii="Times New Roman" w:hAnsi="Times New Roman" w:eastAsia="Times New Roman" w:cs="Times New Roman"/>
        </w:rPr>
        <w:t xml:space="preserve"> </w:t>
      </w:r>
      <w:r>
        <w:rPr>
          <w:rFonts w:ascii="Nirmala UI" w:hAnsi="Nirmala UI" w:eastAsia="Nirmala UI" w:cs="Nirmala UI"/>
        </w:rPr>
        <w:t>ଭବିଷ୍ୟଦ୍ବାଣୀ</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ହାୟର</w:t>
      </w:r>
      <w:r>
        <w:rPr>
          <w:rFonts w:ascii="Times New Roman" w:hAnsi="Times New Roman" w:eastAsia="Times New Roman" w:cs="Times New Roman"/>
        </w:rPr>
        <w:t xml:space="preserve"> </w:t>
      </w:r>
      <w:r>
        <w:rPr>
          <w:rFonts w:ascii="Nirmala UI" w:hAnsi="Nirmala UI" w:eastAsia="Nirmala UI" w:cs="Nirmala UI"/>
        </w:rPr>
        <w:t>ଇସ୍ଲାମକୁ</w:t>
      </w:r>
      <w:r>
        <w:rPr>
          <w:rFonts w:ascii="Times New Roman" w:hAnsi="Times New Roman" w:eastAsia="Times New Roman" w:cs="Times New Roman"/>
        </w:rPr>
        <w:t xml:space="preserve"> </w:t>
      </w:r>
      <w:r>
        <w:rPr>
          <w:rFonts w:ascii="Nirmala UI" w:hAnsi="Nirmala UI" w:eastAsia="Nirmala UI" w:cs="Nirmala UI"/>
        </w:rPr>
        <w:t>ଚିହ୍ନିବାରେ</w:t>
      </w:r>
      <w:r>
        <w:rPr>
          <w:rFonts w:ascii="Times New Roman" w:hAnsi="Times New Roman" w:eastAsia="Times New Roman" w:cs="Times New Roman"/>
        </w:rPr>
        <w:t xml:space="preserve"> </w:t>
      </w:r>
      <w:r>
        <w:rPr>
          <w:rFonts w:ascii="Nirmala UI" w:hAnsi="Nirmala UI" w:eastAsia="Nirmala UI" w:cs="Nirmala UI"/>
        </w:rPr>
        <w:t>ବିଫଳତାର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ଆଧୁନିକ</w:t>
      </w:r>
      <w:r>
        <w:rPr>
          <w:rFonts w:ascii="Times New Roman" w:hAnsi="Times New Roman" w:eastAsia="Times New Roman" w:cs="Times New Roman"/>
        </w:rPr>
        <w:t xml:space="preserve"> </w:t>
      </w:r>
      <w:r>
        <w:rPr>
          <w:rFonts w:ascii="Nirmala UI" w:hAnsi="Nirmala UI" w:eastAsia="Nirmala UI" w:cs="Nirmala UI"/>
        </w:rPr>
        <w:t>ବାବିଲୋନର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ମୃତ୍ୟୁ</w:t>
      </w:r>
      <w:r>
        <w:rPr>
          <w:rFonts w:ascii="Times New Roman" w:hAnsi="Times New Roman" w:eastAsia="Times New Roman" w:cs="Times New Roman"/>
        </w:rPr>
        <w:t xml:space="preserve"> </w:t>
      </w:r>
      <w:r>
        <w:rPr>
          <w:rFonts w:ascii="Nirmala UI" w:hAnsi="Nirmala UI" w:eastAsia="Nirmala UI" w:cs="Nirmala UI"/>
        </w:rPr>
        <w:t>ଆଣେ</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ମୃତ୍ୟୁକୁ</w:t>
      </w:r>
      <w:r>
        <w:rPr>
          <w:rFonts w:ascii="Times New Roman" w:hAnsi="Times New Roman" w:eastAsia="Times New Roman" w:cs="Times New Roman"/>
        </w:rPr>
        <w:t xml:space="preserve"> </w:t>
      </w:r>
      <w:r>
        <w:rPr>
          <w:rFonts w:ascii="Nirmala UI" w:hAnsi="Nirmala UI" w:eastAsia="Nirmala UI" w:cs="Nirmala UI"/>
        </w:rPr>
        <w:t>ବନ୍ୟ</w:t>
      </w:r>
      <w:r>
        <w:rPr>
          <w:rFonts w:ascii="Times New Roman" w:hAnsi="Times New Roman" w:eastAsia="Times New Roman" w:cs="Times New Roman"/>
        </w:rPr>
        <w:t xml:space="preserve"> </w:t>
      </w:r>
      <w:r>
        <w:rPr>
          <w:rFonts w:ascii="Nirmala UI" w:hAnsi="Nirmala UI" w:eastAsia="Nirmala UI" w:cs="Nirmala UI"/>
        </w:rPr>
        <w:t>ଆରବୀୟ</w:t>
      </w:r>
      <w:r>
        <w:rPr>
          <w:rFonts w:ascii="Times New Roman" w:hAnsi="Times New Roman" w:eastAsia="Times New Roman" w:cs="Times New Roman"/>
        </w:rPr>
        <w:t xml:space="preserve"> </w:t>
      </w:r>
      <w:r>
        <w:rPr>
          <w:rFonts w:ascii="Nirmala UI" w:hAnsi="Nirmala UI" w:eastAsia="Nirmala UI" w:cs="Nirmala UI"/>
        </w:rPr>
        <w:t>ଗଧା</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ବହି</w:t>
      </w:r>
      <w:r>
        <w:rPr>
          <w:rFonts w:ascii="Times New Roman" w:hAnsi="Times New Roman" w:eastAsia="Times New Roman" w:cs="Times New Roman"/>
        </w:rPr>
        <w:t xml:space="preserve"> </w:t>
      </w:r>
      <w:r>
        <w:rPr>
          <w:rFonts w:ascii="Nirmala UI" w:hAnsi="Nirmala UI" w:eastAsia="Nirmala UI" w:cs="Nirmala UI"/>
        </w:rPr>
        <w:t>ନେଇଯିବା।</w:t>
      </w:r>
    </w:p>
    <w:p>
      <w:pPr>
        <w:pStyle w:val="ArticleBody"/>
        <w:jc w:val="left"/>
      </w:pPr>
      <w:r>
        <w:rPr>
          <w:rFonts w:ascii="Times New Roman" w:hAnsi="Times New Roman" w:eastAsia="Times New Roman" w:cs="Times New Roman"/>
        </w:rPr>
        <w:t>Efraimin juopuneet, jotka eivät kykene lukemaan sinetöityä kirjaa, eivät voi nähdä milleriläisen historian toistumista, sillä tuo tunnistaminen perustuu myöhäissateen menetelmään, “rivi rivin päälle”. Käsitystä siitä, että Jumalan voiman ilmeneminen milleriläisessä historiassa toistuu viimeisinä päivinä, ei voida ylläpitää luopuneen protestantismin ja katolilaisuuden menetelmäopilla.</w:t>
      </w:r>
    </w:p>
    <w:p>
      <w:pPr>
        <w:pStyle w:val="ArticleScripture"/>
        <w:jc w:val="left"/>
      </w:pPr>
      <w:r>
        <w:rPr>
          <w:rFonts w:ascii="Microsoft YaHei" w:hAnsi="Microsoft YaHei" w:eastAsia="Microsoft YaHei" w:cs="Microsoft YaHei"/>
        </w:rPr>
        <w:t>「第三</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の</w:t>
      </w:r>
      <w:r>
        <w:rPr>
          <w:rFonts w:ascii="Microsoft YaHei" w:hAnsi="Microsoft YaHei" w:eastAsia="Microsoft YaHei" w:cs="Microsoft YaHei"/>
        </w:rPr>
        <w:t>宣言</w:t>
      </w:r>
      <w:r>
        <w:rPr>
          <w:rFonts w:ascii="MS Gothic" w:hAnsi="MS Gothic" w:eastAsia="MS Gothic" w:cs="MS Gothic"/>
        </w:rPr>
        <w:t>においてこれと</w:t>
      </w:r>
      <w:r>
        <w:rPr>
          <w:rFonts w:ascii="Microsoft YaHei" w:hAnsi="Microsoft YaHei" w:eastAsia="Microsoft YaHei" w:cs="Microsoft YaHei"/>
        </w:rPr>
        <w:t>結合</w:t>
      </w:r>
      <w:r>
        <w:rPr>
          <w:rFonts w:ascii="MS Gothic" w:hAnsi="MS Gothic" w:eastAsia="MS Gothic" w:cs="MS Gothic"/>
        </w:rPr>
        <w:t>する</w:t>
      </w:r>
      <w:r>
        <w:rPr>
          <w:rFonts w:ascii="Microsoft YaHei" w:hAnsi="Microsoft YaHei" w:eastAsia="Microsoft YaHei" w:cs="Microsoft YaHei"/>
        </w:rPr>
        <w:t>天使</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栄光</w:t>
      </w:r>
      <w:r>
        <w:rPr>
          <w:rFonts w:ascii="MS Gothic" w:hAnsi="MS Gothic" w:eastAsia="MS Gothic" w:cs="MS Gothic"/>
        </w:rPr>
        <w:t>をもって</w:t>
      </w:r>
      <w:r>
        <w:rPr>
          <w:rFonts w:ascii="Microsoft YaHei" w:hAnsi="Microsoft YaHei" w:eastAsia="Microsoft YaHei" w:cs="Microsoft YaHei"/>
        </w:rPr>
        <w:t>全地</w:t>
      </w:r>
      <w:r>
        <w:rPr>
          <w:rFonts w:ascii="MS Gothic" w:hAnsi="MS Gothic" w:eastAsia="MS Gothic" w:cs="MS Gothic"/>
        </w:rPr>
        <w:t>を</w:t>
      </w:r>
      <w:r>
        <w:rPr>
          <w:rFonts w:ascii="Microsoft YaHei" w:hAnsi="Microsoft YaHei" w:eastAsia="Microsoft YaHei" w:cs="Microsoft YaHei"/>
        </w:rPr>
        <w:t>照</w:t>
      </w:r>
      <w:r>
        <w:rPr>
          <w:rFonts w:ascii="MS Gothic" w:hAnsi="MS Gothic" w:eastAsia="MS Gothic" w:cs="MS Gothic"/>
        </w:rPr>
        <w:t>らすのである</w:t>
      </w:r>
      <w:r>
        <w:rPr>
          <w:rFonts w:ascii="Times New Roman" w:hAnsi="Times New Roman" w:eastAsia="Times New Roman" w:cs="Times New Roman"/>
        </w:rPr>
        <w:t>.</w:t>
      </w:r>
      <w:r>
        <w:rPr>
          <w:rFonts w:ascii="MS Gothic" w:hAnsi="MS Gothic" w:eastAsia="MS Gothic" w:cs="MS Gothic"/>
        </w:rPr>
        <w:t>ここには</w:t>
      </w:r>
      <w:r>
        <w:rPr>
          <w:rFonts w:ascii="Microsoft YaHei" w:hAnsi="Microsoft YaHei" w:eastAsia="Microsoft YaHei" w:cs="Microsoft YaHei"/>
        </w:rPr>
        <w:t>、世界的</w:t>
      </w:r>
      <w:r>
        <w:rPr>
          <w:rFonts w:ascii="MS Gothic" w:hAnsi="MS Gothic" w:eastAsia="MS Gothic" w:cs="MS Gothic"/>
        </w:rPr>
        <w:t>な</w:t>
      </w:r>
      <w:r>
        <w:rPr>
          <w:rFonts w:ascii="Microsoft YaHei" w:hAnsi="Microsoft YaHei" w:eastAsia="Microsoft YaHei" w:cs="Microsoft YaHei"/>
        </w:rPr>
        <w:t>広</w:t>
      </w:r>
      <w:r>
        <w:rPr>
          <w:rFonts w:ascii="MS Gothic" w:hAnsi="MS Gothic" w:eastAsia="MS Gothic" w:cs="MS Gothic"/>
        </w:rPr>
        <w:t>がりと</w:t>
      </w:r>
      <w:r>
        <w:rPr>
          <w:rFonts w:ascii="Microsoft YaHei" w:hAnsi="Microsoft YaHei" w:eastAsia="Microsoft YaHei" w:cs="Microsoft YaHei"/>
        </w:rPr>
        <w:t>未曾有</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を</w:t>
      </w:r>
      <w:r>
        <w:rPr>
          <w:rFonts w:ascii="Microsoft YaHei" w:hAnsi="Microsoft YaHei" w:eastAsia="Microsoft YaHei" w:cs="Microsoft YaHei"/>
        </w:rPr>
        <w:t>備</w:t>
      </w:r>
      <w:r>
        <w:rPr>
          <w:rFonts w:ascii="MS Gothic" w:hAnsi="MS Gothic" w:eastAsia="MS Gothic" w:cs="MS Gothic"/>
        </w:rPr>
        <w:t>えた</w:t>
      </w:r>
      <w:r>
        <w:rPr>
          <w:rFonts w:ascii="Microsoft YaHei" w:hAnsi="Microsoft YaHei" w:eastAsia="Microsoft YaHei" w:cs="Microsoft YaHei"/>
        </w:rPr>
        <w:t>働</w:t>
      </w:r>
      <w:r>
        <w:rPr>
          <w:rFonts w:ascii="MS Gothic" w:hAnsi="MS Gothic" w:eastAsia="MS Gothic" w:cs="MS Gothic"/>
        </w:rPr>
        <w:t>きが</w:t>
      </w:r>
      <w:r>
        <w:rPr>
          <w:rFonts w:ascii="Microsoft YaHei" w:hAnsi="Microsoft YaHei" w:eastAsia="Microsoft YaHei" w:cs="Microsoft YaHei"/>
        </w:rPr>
        <w:t>予告</w:t>
      </w:r>
      <w:r>
        <w:rPr>
          <w:rFonts w:ascii="MS Gothic" w:hAnsi="MS Gothic" w:eastAsia="MS Gothic" w:cs="MS Gothic"/>
        </w:rPr>
        <w:t>されている</w:t>
      </w:r>
      <w:r>
        <w:rPr>
          <w:rFonts w:ascii="Times New Roman" w:hAnsi="Times New Roman" w:eastAsia="Times New Roman" w:cs="Times New Roman"/>
        </w:rPr>
        <w:t>.1840</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再臨運動</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の</w:t>
      </w:r>
      <w:r>
        <w:rPr>
          <w:rFonts w:ascii="Microsoft YaHei" w:hAnsi="Microsoft YaHei" w:eastAsia="Microsoft YaHei" w:cs="Microsoft YaHei"/>
        </w:rPr>
        <w:t>輝</w:t>
      </w:r>
      <w:r>
        <w:rPr>
          <w:rFonts w:ascii="MS Gothic" w:hAnsi="MS Gothic" w:eastAsia="MS Gothic" w:cs="MS Gothic"/>
        </w:rPr>
        <w:t>かしい</w:t>
      </w:r>
      <w:r>
        <w:rPr>
          <w:rFonts w:ascii="Microsoft YaHei" w:hAnsi="Microsoft YaHei" w:eastAsia="Microsoft YaHei" w:cs="Microsoft YaHei"/>
        </w:rPr>
        <w:t>現</w:t>
      </w:r>
      <w:r>
        <w:rPr>
          <w:rFonts w:ascii="MS Gothic" w:hAnsi="MS Gothic" w:eastAsia="MS Gothic" w:cs="MS Gothic"/>
        </w:rPr>
        <w:t>れであった</w:t>
      </w:r>
      <w:r>
        <w:rPr>
          <w:rFonts w:ascii="Times New Roman" w:hAnsi="Times New Roman" w:eastAsia="Times New Roman" w:cs="Times New Roman"/>
        </w:rPr>
        <w:t>.</w:t>
      </w:r>
      <w:r>
        <w:rPr>
          <w:rFonts w:ascii="Microsoft YaHei" w:hAnsi="Microsoft YaHei" w:eastAsia="Microsoft YaHei" w:cs="Microsoft YaHei"/>
        </w:rPr>
        <w:t>第一</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は</w:t>
      </w:r>
      <w:r>
        <w:rPr>
          <w:rFonts w:ascii="Microsoft YaHei" w:hAnsi="Microsoft YaHei" w:eastAsia="Microsoft YaHei" w:cs="Microsoft YaHei"/>
        </w:rPr>
        <w:t>世界</w:t>
      </w:r>
      <w:r>
        <w:rPr>
          <w:rFonts w:ascii="MS Gothic" w:hAnsi="MS Gothic" w:eastAsia="MS Gothic" w:cs="MS Gothic"/>
        </w:rPr>
        <w:t>のあらゆる</w:t>
      </w:r>
      <w:r>
        <w:rPr>
          <w:rFonts w:ascii="Microsoft YaHei" w:hAnsi="Microsoft YaHei" w:eastAsia="Microsoft YaHei" w:cs="Microsoft YaHei"/>
        </w:rPr>
        <w:t>宣教地</w:t>
      </w:r>
      <w:r>
        <w:rPr>
          <w:rFonts w:ascii="MS Gothic" w:hAnsi="MS Gothic" w:eastAsia="MS Gothic" w:cs="MS Gothic"/>
        </w:rPr>
        <w:t>にまで</w:t>
      </w:r>
      <w:r>
        <w:rPr>
          <w:rFonts w:ascii="Microsoft YaHei" w:hAnsi="Microsoft YaHei" w:eastAsia="Microsoft YaHei" w:cs="Microsoft YaHei"/>
        </w:rPr>
        <w:t>携</w:t>
      </w:r>
      <w:r>
        <w:rPr>
          <w:rFonts w:ascii="MS Gothic" w:hAnsi="MS Gothic" w:eastAsia="MS Gothic" w:cs="MS Gothic"/>
        </w:rPr>
        <w:t>えられ</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幾</w:t>
      </w:r>
      <w:r>
        <w:rPr>
          <w:rFonts w:ascii="MS Gothic" w:hAnsi="MS Gothic" w:eastAsia="MS Gothic" w:cs="MS Gothic"/>
        </w:rPr>
        <w:t>つかの</w:t>
      </w:r>
      <w:r>
        <w:rPr>
          <w:rFonts w:ascii="Microsoft YaHei" w:hAnsi="Microsoft YaHei" w:eastAsia="Microsoft YaHei" w:cs="Microsoft YaHei"/>
        </w:rPr>
        <w:t>国々</w:t>
      </w:r>
      <w:r>
        <w:rPr>
          <w:rFonts w:ascii="MS Gothic" w:hAnsi="MS Gothic" w:eastAsia="MS Gothic" w:cs="MS Gothic"/>
        </w:rPr>
        <w:t>においては</w:t>
      </w:r>
      <w:r>
        <w:rPr>
          <w:rFonts w:ascii="Microsoft YaHei" w:hAnsi="Microsoft YaHei" w:eastAsia="Microsoft YaHei" w:cs="Microsoft YaHei"/>
        </w:rPr>
        <w:t>、十六世紀</w:t>
      </w:r>
      <w:r>
        <w:rPr>
          <w:rFonts w:ascii="MS Gothic" w:hAnsi="MS Gothic" w:eastAsia="MS Gothic" w:cs="MS Gothic"/>
        </w:rPr>
        <w:t>の</w:t>
      </w:r>
      <w:r>
        <w:rPr>
          <w:rFonts w:ascii="Microsoft YaHei" w:hAnsi="Microsoft YaHei" w:eastAsia="Microsoft YaHei" w:cs="Microsoft YaHei"/>
        </w:rPr>
        <w:t>宗教改革以来、</w:t>
      </w:r>
      <w:r>
        <w:rPr>
          <w:rFonts w:ascii="MS Gothic" w:hAnsi="MS Gothic" w:eastAsia="MS Gothic" w:cs="MS Gothic"/>
        </w:rPr>
        <w:t>いかなる</w:t>
      </w:r>
      <w:r>
        <w:rPr>
          <w:rFonts w:ascii="Microsoft YaHei" w:hAnsi="Microsoft YaHei" w:eastAsia="Microsoft YaHei" w:cs="Microsoft YaHei"/>
        </w:rPr>
        <w:t>地</w:t>
      </w:r>
      <w:r>
        <w:rPr>
          <w:rFonts w:ascii="MS Gothic" w:hAnsi="MS Gothic" w:eastAsia="MS Gothic" w:cs="MS Gothic"/>
        </w:rPr>
        <w:t>においても</w:t>
      </w:r>
      <w:r>
        <w:rPr>
          <w:rFonts w:ascii="Microsoft YaHei" w:hAnsi="Microsoft YaHei" w:eastAsia="Microsoft YaHei" w:cs="Microsoft YaHei"/>
        </w:rPr>
        <w:t>見</w:t>
      </w:r>
      <w:r>
        <w:rPr>
          <w:rFonts w:ascii="MS Gothic" w:hAnsi="MS Gothic" w:eastAsia="MS Gothic" w:cs="MS Gothic"/>
        </w:rPr>
        <w:t>られたことのないほどの</w:t>
      </w:r>
      <w:r>
        <w:rPr>
          <w:rFonts w:ascii="Microsoft YaHei" w:hAnsi="Microsoft YaHei" w:eastAsia="Microsoft YaHei" w:cs="Microsoft YaHei"/>
        </w:rPr>
        <w:t>偉大</w:t>
      </w:r>
      <w:r>
        <w:rPr>
          <w:rFonts w:ascii="MS Gothic" w:hAnsi="MS Gothic" w:eastAsia="MS Gothic" w:cs="MS Gothic"/>
        </w:rPr>
        <w:t>な</w:t>
      </w:r>
      <w:r>
        <w:rPr>
          <w:rFonts w:ascii="Microsoft YaHei" w:hAnsi="Microsoft YaHei" w:eastAsia="Microsoft YaHei" w:cs="Microsoft YaHei"/>
        </w:rPr>
        <w:t>宗教的関心</w:t>
      </w:r>
      <w:r>
        <w:rPr>
          <w:rFonts w:ascii="MS Gothic" w:hAnsi="MS Gothic" w:eastAsia="MS Gothic" w:cs="MS Gothic"/>
        </w:rPr>
        <w:t>が</w:t>
      </w:r>
      <w:r>
        <w:rPr>
          <w:rFonts w:ascii="Microsoft YaHei" w:hAnsi="Microsoft YaHei" w:eastAsia="Microsoft YaHei" w:cs="Microsoft YaHei"/>
        </w:rPr>
        <w:t>起</w:t>
      </w:r>
      <w:r>
        <w:rPr>
          <w:rFonts w:ascii="MS Gothic" w:hAnsi="MS Gothic" w:eastAsia="MS Gothic" w:cs="MS Gothic"/>
        </w:rPr>
        <w:t>こった</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これらもなお</w:t>
      </w:r>
      <w:r>
        <w:rPr>
          <w:rFonts w:ascii="Microsoft YaHei" w:hAnsi="Microsoft YaHei" w:eastAsia="Microsoft YaHei" w:cs="Microsoft YaHei"/>
        </w:rPr>
        <w:t>、第三</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の</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警告</w:t>
      </w:r>
      <w:r>
        <w:rPr>
          <w:rFonts w:ascii="MS Gothic" w:hAnsi="MS Gothic" w:eastAsia="MS Gothic" w:cs="MS Gothic"/>
        </w:rPr>
        <w:t>のもとに</w:t>
      </w:r>
      <w:r>
        <w:rPr>
          <w:rFonts w:ascii="Microsoft YaHei" w:hAnsi="Microsoft YaHei" w:eastAsia="Microsoft YaHei" w:cs="Microsoft YaHei"/>
        </w:rPr>
        <w:t>起</w:t>
      </w:r>
      <w:r>
        <w:rPr>
          <w:rFonts w:ascii="MS Gothic" w:hAnsi="MS Gothic" w:eastAsia="MS Gothic" w:cs="MS Gothic"/>
        </w:rPr>
        <w:t>こる</w:t>
      </w:r>
      <w:r>
        <w:rPr>
          <w:rFonts w:ascii="Microsoft YaHei" w:hAnsi="Microsoft YaHei" w:eastAsia="Microsoft YaHei" w:cs="Microsoft YaHei"/>
        </w:rPr>
        <w:t>力強</w:t>
      </w:r>
      <w:r>
        <w:rPr>
          <w:rFonts w:ascii="MS Gothic" w:hAnsi="MS Gothic" w:eastAsia="MS Gothic" w:cs="MS Gothic"/>
        </w:rPr>
        <w:t>い</w:t>
      </w:r>
      <w:r>
        <w:rPr>
          <w:rFonts w:ascii="Microsoft YaHei" w:hAnsi="Microsoft YaHei" w:eastAsia="Microsoft YaHei" w:cs="Microsoft YaHei"/>
        </w:rPr>
        <w:t>運動</w:t>
      </w:r>
      <w:r>
        <w:rPr>
          <w:rFonts w:ascii="MS Gothic" w:hAnsi="MS Gothic" w:eastAsia="MS Gothic" w:cs="MS Gothic"/>
        </w:rPr>
        <w:t>によって</w:t>
      </w:r>
      <w:r>
        <w:rPr>
          <w:rFonts w:ascii="Microsoft YaHei" w:hAnsi="Microsoft YaHei" w:eastAsia="Microsoft YaHei" w:cs="Microsoft YaHei"/>
        </w:rPr>
        <w:t>凌駕</w:t>
      </w:r>
      <w:r>
        <w:rPr>
          <w:rFonts w:ascii="MS Gothic" w:hAnsi="MS Gothic" w:eastAsia="MS Gothic" w:cs="MS Gothic"/>
        </w:rPr>
        <w:t>されるのである</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大争闘』</w:t>
      </w:r>
      <w:r>
        <w:rPr>
          <w:rFonts w:ascii="Times New Roman" w:hAnsi="Times New Roman" w:eastAsia="Times New Roman" w:cs="Times New Roman"/>
        </w:rPr>
        <w:t>611</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Los dirigentes ciegos del Israel moderno se ven obligados, por su metodología, a rechazar la verdad de que habrá una repetición de la manifestación del poder de Dios en los postreros días, como la hubo en tiempos pasados.</w:t>
      </w:r>
    </w:p>
    <w:p>
      <w:pPr>
        <w:pStyle w:val="ArticleScripture"/>
        <w:jc w:val="left"/>
      </w:pPr>
      <w:r>
        <w:rPr>
          <w:rFonts w:ascii="Times New Roman" w:hAnsi="Times New Roman" w:eastAsia="Times New Roman" w:cs="Times New Roman"/>
        </w:rPr>
        <w:t>“Ici nous voyons que l’Église — le sanctuaire du Seigneur — fut la première à sentir le coup de la colère de Dieu. Les anciens, ceux à qui Dieu avait donné une grande lumière et qui s’étaient tenus comme gardiens des intérêts spirituels du peuple, avaient trahi leur dépôt sacré. Ils avaient adopté la position selon laquelle nous n’avons pas à nous attendre à des miracles ni à la manifestation marquée de la puissance de Dieu comme aux jours passés. Les temps ont changé. Ces paroles affermissent leur incrédulité, et ils disent : Le Seigneur ne fera ni bien ni mal. Il est trop miséricordieux pour visiter son peuple par des jugements. Ainsi, “Paix et sûreté” est le cri d’hommes qui ne feront plus jamais retentir leur voix comme une trompette pour montrer au peuple de Dieu ses transgressions et à la maison de Jacob ses péchés. Ces chiens muets qui n’aboyaient pas sont ceux-là mêmes qui ressentent la juste vengeance d’un Dieu offensé. Hommes, jeunes filles et petits enfants périssent tous ensemble.” Témoignages, volume 5, 211.</w:t>
      </w:r>
    </w:p>
    <w:p>
      <w:pPr>
        <w:pStyle w:val="ArticleBody"/>
        <w:jc w:val="left"/>
      </w:pPr>
      <w:r>
        <w:rPr>
          <w:rFonts w:ascii="Nirmala UI" w:hAnsi="Nirmala UI" w:eastAsia="Nirmala UI" w:cs="Nirmala UI"/>
        </w:rPr>
        <w:t>ලාඔදිකියානු</w:t>
      </w:r>
      <w:r>
        <w:rPr>
          <w:rFonts w:ascii="Times New Roman" w:hAnsi="Times New Roman" w:eastAsia="Times New Roman" w:cs="Times New Roman"/>
        </w:rPr>
        <w:t xml:space="preserve"> </w:t>
      </w:r>
      <w:r>
        <w:rPr>
          <w:rFonts w:ascii="Nirmala UI" w:hAnsi="Nirmala UI" w:eastAsia="Nirmala UI" w:cs="Nirmala UI"/>
        </w:rPr>
        <w:t>අන්ධභාවයෙන්</w:t>
      </w:r>
      <w:r>
        <w:rPr>
          <w:rFonts w:ascii="Times New Roman" w:hAnsi="Times New Roman" w:eastAsia="Times New Roman" w:cs="Times New Roman"/>
        </w:rPr>
        <w:t xml:space="preserve"> </w:t>
      </w:r>
      <w:r>
        <w:rPr>
          <w:rFonts w:ascii="Nirmala UI" w:hAnsi="Nirmala UI" w:eastAsia="Nirmala UI" w:cs="Nirmala UI"/>
        </w:rPr>
        <w:t>පෙළෙන</w:t>
      </w:r>
      <w:r>
        <w:rPr>
          <w:rFonts w:ascii="Times New Roman" w:hAnsi="Times New Roman" w:eastAsia="Times New Roman" w:cs="Times New Roman"/>
        </w:rPr>
        <w:t xml:space="preserve">, </w:t>
      </w:r>
      <w:r>
        <w:rPr>
          <w:rFonts w:ascii="Nirmala UI" w:hAnsi="Nirmala UI" w:eastAsia="Nirmala UI" w:cs="Nirmala UI"/>
        </w:rPr>
        <w:t>යෙරුසලමේ</w:t>
      </w:r>
      <w:r>
        <w:rPr>
          <w:rFonts w:ascii="Times New Roman" w:hAnsi="Times New Roman" w:eastAsia="Times New Roman" w:cs="Times New Roman"/>
        </w:rPr>
        <w:t xml:space="preserve"> </w:t>
      </w:r>
      <w:r>
        <w:rPr>
          <w:rFonts w:ascii="Nirmala UI" w:hAnsi="Nirmala UI" w:eastAsia="Nirmala UI" w:cs="Nirmala UI"/>
        </w:rPr>
        <w:t>අශික්ෂිතයන්</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ශික්ෂිත</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යයන්ට</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වර්ෂාව</w:t>
      </w:r>
      <w:r>
        <w:rPr>
          <w:rFonts w:ascii="Times New Roman" w:hAnsi="Times New Roman" w:eastAsia="Times New Roman" w:cs="Times New Roman"/>
        </w:rPr>
        <w:t xml:space="preserve"> </w:t>
      </w:r>
      <w:r>
        <w:rPr>
          <w:rFonts w:ascii="Nirmala UI" w:hAnsi="Nirmala UI" w:eastAsia="Nirmala UI" w:cs="Nirmala UI"/>
        </w:rPr>
        <w:t>හඳුනාගැනීමට</w:t>
      </w:r>
      <w:r>
        <w:rPr>
          <w:rFonts w:ascii="Times New Roman" w:hAnsi="Times New Roman" w:eastAsia="Times New Roman" w:cs="Times New Roman"/>
        </w:rPr>
        <w:t xml:space="preserve"> </w:t>
      </w:r>
      <w:r>
        <w:rPr>
          <w:rFonts w:ascii="Nirmala UI" w:hAnsi="Nirmala UI" w:eastAsia="Nirmala UI" w:cs="Nirmala UI"/>
        </w:rPr>
        <w:t>නොහැකි</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විකෘති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බයිබලාත්මක</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රමවේදයක්</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කරනවා</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යාජ</w:t>
      </w:r>
      <w:r>
        <w:rPr>
          <w:rFonts w:ascii="Times New Roman" w:hAnsi="Times New Roman" w:eastAsia="Times New Roman" w:cs="Times New Roman"/>
        </w:rPr>
        <w:t xml:space="preserve"> </w:t>
      </w:r>
      <w:r>
        <w:rPr>
          <w:rFonts w:ascii="Nirmala UI" w:hAnsi="Nirmala UI" w:eastAsia="Nirmala UI" w:cs="Nirmala UI"/>
        </w:rPr>
        <w:t>තර්කය</w:t>
      </w:r>
      <w:r>
        <w:rPr>
          <w:rFonts w:ascii="Times New Roman" w:hAnsi="Times New Roman" w:eastAsia="Times New Roman" w:cs="Times New Roman"/>
        </w:rPr>
        <w:t xml:space="preserve"> </w:t>
      </w:r>
      <w:r>
        <w:rPr>
          <w:rFonts w:ascii="Nirmala UI" w:hAnsi="Nirmala UI" w:eastAsia="Nirmala UI" w:cs="Nirmala UI"/>
        </w:rPr>
        <w:t>ඔවුන්ව</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යුගවල</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අනාගත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රකාශනයක්</w:t>
      </w:r>
      <w:r>
        <w:rPr>
          <w:rFonts w:ascii="Times New Roman" w:hAnsi="Times New Roman" w:eastAsia="Times New Roman" w:cs="Times New Roman"/>
        </w:rPr>
        <w:t xml:space="preserve"> </w:t>
      </w:r>
      <w:r>
        <w:rPr>
          <w:rFonts w:ascii="Nirmala UI" w:hAnsi="Nirmala UI" w:eastAsia="Nirmala UI" w:cs="Nirmala UI"/>
        </w:rPr>
        <w:t>වුව</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ස්ථානයකට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මලාකි</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කරන්නේ</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ලෙවිගේ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රයන්</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පූජාව</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දවස්වල</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શ્રેષ્ઠ</w:t>
      </w:r>
      <w:r>
        <w:rPr>
          <w:rFonts w:ascii="Times New Roman" w:hAnsi="Times New Roman" w:eastAsia="Times New Roman" w:cs="Times New Roman"/>
        </w:rPr>
        <w:t xml:space="preserve"> </w:t>
      </w:r>
      <w:r>
        <w:rPr>
          <w:rFonts w:ascii="Nirmala UI" w:hAnsi="Nirmala UI" w:eastAsia="Nirmala UI" w:cs="Nirmala UI"/>
        </w:rPr>
        <w:t>સાક્ષી</w:t>
      </w:r>
      <w:r>
        <w:rPr>
          <w:rFonts w:ascii="Times New Roman" w:hAnsi="Times New Roman" w:eastAsia="Times New Roman" w:cs="Times New Roman"/>
        </w:rPr>
        <w:t xml:space="preserve"> </w:t>
      </w:r>
      <w:r>
        <w:rPr>
          <w:rFonts w:ascii="Nirmala UI" w:hAnsi="Nirmala UI" w:eastAsia="Nirmala UI" w:cs="Nirmala UI"/>
        </w:rPr>
        <w:t>જાહેર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પશ્ચાત્તાપ</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પહેલાંનાં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કસોટી</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આત્મા</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હૃદયમાં</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જેથી</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પ્રેમથી</w:t>
      </w:r>
      <w:r>
        <w:rPr>
          <w:rFonts w:ascii="Times New Roman" w:hAnsi="Times New Roman" w:eastAsia="Times New Roman" w:cs="Times New Roman"/>
        </w:rPr>
        <w:t xml:space="preserve"> </w:t>
      </w:r>
      <w:r>
        <w:rPr>
          <w:rFonts w:ascii="Nirmala UI" w:hAnsi="Nirmala UI" w:eastAsia="Nirmala UI" w:cs="Nirmala UI"/>
        </w:rPr>
        <w:t>પરિપૂર્ણ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જલદી</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પશ્ચાત્તાપ</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દીવટીને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જગ્યાથી</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દઈશ</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નિષ્ફળ</w:t>
      </w:r>
      <w:r>
        <w:rPr>
          <w:rFonts w:ascii="Times New Roman" w:hAnsi="Times New Roman" w:eastAsia="Times New Roman" w:cs="Times New Roman"/>
        </w:rPr>
        <w:t xml:space="preserve"> </w:t>
      </w:r>
      <w:r>
        <w:rPr>
          <w:rFonts w:ascii="Nirmala UI" w:hAnsi="Nirmala UI" w:eastAsia="Nirmala UI" w:cs="Nirmala UI"/>
        </w:rPr>
        <w:t>વૃક્ષ</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શબનમ</w:t>
      </w:r>
      <w:r>
        <w:rPr>
          <w:rFonts w:ascii="Times New Roman" w:hAnsi="Times New Roman" w:eastAsia="Times New Roman" w:cs="Times New Roman"/>
        </w:rPr>
        <w:t xml:space="preserve">, </w:t>
      </w:r>
      <w:r>
        <w:rPr>
          <w:rFonts w:ascii="Nirmala UI" w:hAnsi="Nirmala UI" w:eastAsia="Nirmala UI" w:cs="Nirmala UI"/>
        </w:rPr>
        <w:t>વરસાદ</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સૂર્યપ્રકાશ</w:t>
      </w:r>
      <w:r>
        <w:rPr>
          <w:rFonts w:ascii="Times New Roman" w:hAnsi="Times New Roman" w:eastAsia="Times New Roman" w:cs="Times New Roman"/>
        </w:rPr>
        <w:t xml:space="preserve"> </w:t>
      </w:r>
      <w:r>
        <w:rPr>
          <w:rFonts w:ascii="Nirmala UI" w:hAnsi="Nirmala UI" w:eastAsia="Nirmala UI" w:cs="Nirmala UI"/>
        </w:rPr>
        <w:t>મળ્યા</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 xml:space="preserve"> </w:t>
      </w:r>
      <w:r>
        <w:rPr>
          <w:rFonts w:ascii="Nirmala UI" w:hAnsi="Nirmala UI" w:eastAsia="Nirmala UI" w:cs="Nirmala UI"/>
        </w:rPr>
        <w:t>ફળની</w:t>
      </w:r>
      <w:r>
        <w:rPr>
          <w:rFonts w:ascii="Times New Roman" w:hAnsi="Times New Roman" w:eastAsia="Times New Roman" w:cs="Times New Roman"/>
        </w:rPr>
        <w:t xml:space="preserve"> </w:t>
      </w:r>
      <w:r>
        <w:rPr>
          <w:rFonts w:ascii="Nirmala UI" w:hAnsi="Nirmala UI" w:eastAsia="Nirmala UI" w:cs="Nirmala UI"/>
        </w:rPr>
        <w:t>સમૃદ્ધ</w:t>
      </w:r>
      <w:r>
        <w:rPr>
          <w:rFonts w:ascii="Times New Roman" w:hAnsi="Times New Roman" w:eastAsia="Times New Roman" w:cs="Times New Roman"/>
        </w:rPr>
        <w:t xml:space="preserve"> </w:t>
      </w:r>
      <w:r>
        <w:rPr>
          <w:rFonts w:ascii="Nirmala UI" w:hAnsi="Nirmala UI" w:eastAsia="Nirmala UI" w:cs="Nirmala UI"/>
        </w:rPr>
        <w:t>ઉપજ</w:t>
      </w:r>
      <w:r>
        <w:rPr>
          <w:rFonts w:ascii="Times New Roman" w:hAnsi="Times New Roman" w:eastAsia="Times New Roman" w:cs="Times New Roman"/>
        </w:rPr>
        <w:t xml:space="preserve"> </w:t>
      </w:r>
      <w:r>
        <w:rPr>
          <w:rFonts w:ascii="Nirmala UI" w:hAnsi="Nirmala UI" w:eastAsia="Nirmala UI" w:cs="Nirmala UI"/>
        </w:rPr>
        <w:t>આપવી</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શોધને</w:t>
      </w:r>
      <w:r>
        <w:rPr>
          <w:rFonts w:ascii="Times New Roman" w:hAnsi="Times New Roman" w:eastAsia="Times New Roman" w:cs="Times New Roman"/>
        </w:rPr>
        <w:t xml:space="preserve"> </w:t>
      </w:r>
      <w:r>
        <w:rPr>
          <w:rFonts w:ascii="Nirmala UI" w:hAnsi="Nirmala UI" w:eastAsia="Nirmala UI" w:cs="Nirmala UI"/>
        </w:rPr>
        <w:t>પાંદડાં</w:t>
      </w:r>
      <w:r>
        <w:rPr>
          <w:rFonts w:ascii="Times New Roman" w:hAnsi="Times New Roman" w:eastAsia="Times New Roman" w:cs="Times New Roman"/>
        </w:rPr>
        <w:t xml:space="preserve"> </w:t>
      </w:r>
      <w:r>
        <w:rPr>
          <w:rFonts w:ascii="Nirmala UI" w:hAnsi="Nirmala UI" w:eastAsia="Nirmala UI" w:cs="Nirmala UI"/>
        </w:rPr>
        <w:t>સિવાય</w:t>
      </w:r>
      <w:r>
        <w:rPr>
          <w:rFonts w:ascii="Times New Roman" w:hAnsi="Times New Roman" w:eastAsia="Times New Roman" w:cs="Times New Roman"/>
        </w:rPr>
        <w:t xml:space="preserve"> </w:t>
      </w:r>
      <w:r>
        <w:rPr>
          <w:rFonts w:ascii="Nirmala UI" w:hAnsi="Nirmala UI" w:eastAsia="Nirmala UI" w:cs="Nirmala UI"/>
        </w:rPr>
        <w:t>કશું</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મળતું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કેવો</w:t>
      </w:r>
      <w:r>
        <w:rPr>
          <w:rFonts w:ascii="Times New Roman" w:hAnsi="Times New Roman" w:eastAsia="Times New Roman" w:cs="Times New Roman"/>
        </w:rPr>
        <w:t xml:space="preserve"> </w:t>
      </w:r>
      <w:r>
        <w:rPr>
          <w:rFonts w:ascii="Nirmala UI" w:hAnsi="Nirmala UI" w:eastAsia="Nirmala UI" w:cs="Nirmala UI"/>
        </w:rPr>
        <w:t>ગંભીર</w:t>
      </w:r>
      <w:r>
        <w:rPr>
          <w:rFonts w:ascii="Times New Roman" w:hAnsi="Times New Roman" w:eastAsia="Times New Roman" w:cs="Times New Roman"/>
        </w:rPr>
        <w:t xml:space="preserve"> </w:t>
      </w:r>
      <w:r>
        <w:rPr>
          <w:rFonts w:ascii="Nirmala UI" w:hAnsi="Nirmala UI" w:eastAsia="Nirmala UI" w:cs="Nirmala UI"/>
        </w:rPr>
        <w:t>વિચાર</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દરેક</w:t>
      </w:r>
      <w:r>
        <w:rPr>
          <w:rFonts w:ascii="Times New Roman" w:hAnsi="Times New Roman" w:eastAsia="Times New Roman" w:cs="Times New Roman"/>
        </w:rPr>
        <w:t xml:space="preserve"> </w:t>
      </w:r>
      <w:r>
        <w:rPr>
          <w:rFonts w:ascii="Nirmala UI" w:hAnsi="Nirmala UI" w:eastAsia="Nirmala UI" w:cs="Nirmala UI"/>
        </w:rPr>
        <w:t>વ્યક્તિ</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ખરેખર</w:t>
      </w:r>
      <w:r>
        <w:rPr>
          <w:rFonts w:ascii="Times New Roman" w:hAnsi="Times New Roman" w:eastAsia="Times New Roman" w:cs="Times New Roman"/>
        </w:rPr>
        <w:t xml:space="preserve"> </w:t>
      </w:r>
      <w:r>
        <w:rPr>
          <w:rFonts w:ascii="Nirmala UI" w:hAnsi="Nirmala UI" w:eastAsia="Nirmala UI" w:cs="Nirmala UI"/>
        </w:rPr>
        <w:t>ગંભીર</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ધીરજ</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સહનશીલતા</w:t>
      </w:r>
      <w:r>
        <w:rPr>
          <w:rFonts w:ascii="Times New Roman" w:hAnsi="Times New Roman" w:eastAsia="Times New Roman" w:cs="Times New Roman"/>
        </w:rPr>
        <w:t xml:space="preserve"> </w:t>
      </w:r>
      <w:r>
        <w:rPr>
          <w:rFonts w:ascii="Nirmala UI" w:hAnsi="Nirmala UI" w:eastAsia="Nirmala UI" w:cs="Nirmala UI"/>
        </w:rPr>
        <w:t>અદ્ભુત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પશ્ચાત્તાપ</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સંસ્થાઓ</w:t>
      </w:r>
      <w:r>
        <w:rPr>
          <w:rFonts w:ascii="Times New Roman" w:hAnsi="Times New Roman" w:eastAsia="Times New Roman" w:cs="Times New Roman"/>
        </w:rPr>
        <w:t xml:space="preserve">, </w:t>
      </w:r>
      <w:r>
        <w:rPr>
          <w:rFonts w:ascii="Nirmala UI" w:hAnsi="Nirmala UI" w:eastAsia="Nirmala UI" w:cs="Nirmala UI"/>
        </w:rPr>
        <w:t>દુર્બળતાથી</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દુર્બળતામાં</w:t>
      </w:r>
      <w:r>
        <w:rPr>
          <w:rFonts w:ascii="Times New Roman" w:hAnsi="Times New Roman" w:eastAsia="Times New Roman" w:cs="Times New Roman"/>
        </w:rPr>
        <w:t xml:space="preserve">, </w:t>
      </w:r>
      <w:r>
        <w:rPr>
          <w:rFonts w:ascii="Nirmala UI" w:hAnsi="Nirmala UI" w:eastAsia="Nirmala UI" w:cs="Nirmala UI"/>
        </w:rPr>
        <w:t>શીતળ</w:t>
      </w:r>
      <w:r>
        <w:rPr>
          <w:rFonts w:ascii="Times New Roman" w:hAnsi="Times New Roman" w:eastAsia="Times New Roman" w:cs="Times New Roman"/>
        </w:rPr>
        <w:t xml:space="preserve"> </w:t>
      </w:r>
      <w:r>
        <w:rPr>
          <w:rFonts w:ascii="Nirmala UI" w:hAnsi="Nirmala UI" w:eastAsia="Nirmala UI" w:cs="Nirmala UI"/>
        </w:rPr>
        <w:t>ઔપચારિકતાથી</w:t>
      </w:r>
      <w:r>
        <w:rPr>
          <w:rFonts w:ascii="Times New Roman" w:hAnsi="Times New Roman" w:eastAsia="Times New Roman" w:cs="Times New Roman"/>
        </w:rPr>
        <w:t xml:space="preserve"> </w:t>
      </w:r>
      <w:r>
        <w:rPr>
          <w:rFonts w:ascii="Nirmala UI" w:hAnsi="Nirmala UI" w:eastAsia="Nirmala UI" w:cs="Nirmala UI"/>
        </w:rPr>
        <w:t>આત્મિક</w:t>
      </w:r>
      <w:r>
        <w:rPr>
          <w:rFonts w:ascii="Times New Roman" w:hAnsi="Times New Roman" w:eastAsia="Times New Roman" w:cs="Times New Roman"/>
        </w:rPr>
        <w:t xml:space="preserve"> </w:t>
      </w:r>
      <w:r>
        <w:rPr>
          <w:rFonts w:ascii="Nirmala UI" w:hAnsi="Nirmala UI" w:eastAsia="Nirmala UI" w:cs="Nirmala UI"/>
        </w:rPr>
        <w:t>જડતામાં</w:t>
      </w:r>
      <w:r>
        <w:rPr>
          <w:rFonts w:ascii="Times New Roman" w:hAnsi="Times New Roman" w:eastAsia="Times New Roman" w:cs="Times New Roman"/>
        </w:rPr>
        <w:t xml:space="preserve"> </w:t>
      </w:r>
      <w:r>
        <w:rPr>
          <w:rFonts w:ascii="Nirmala UI" w:hAnsi="Nirmala UI" w:eastAsia="Nirmala UI" w:cs="Nirmala UI"/>
        </w:rPr>
        <w:t>ઉતરી</w:t>
      </w:r>
      <w:r>
        <w:rPr>
          <w:rFonts w:ascii="Times New Roman" w:hAnsi="Times New Roman" w:eastAsia="Times New Roman" w:cs="Times New Roman"/>
        </w:rPr>
        <w:t xml:space="preserve"> </w:t>
      </w:r>
      <w:r>
        <w:rPr>
          <w:rFonts w:ascii="Nirmala UI" w:hAnsi="Nirmala UI" w:eastAsia="Nirmala UI" w:cs="Nirmala UI"/>
        </w:rPr>
        <w:t>જશે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દરમિયાન</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હશે</w:t>
      </w:r>
      <w:r>
        <w:rPr>
          <w:rFonts w:ascii="Times New Roman" w:hAnsi="Times New Roman" w:eastAsia="Times New Roman" w:cs="Times New Roman"/>
        </w:rPr>
        <w:t>,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ધનવાન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સંપત્તિથી</w:t>
      </w:r>
      <w:r>
        <w:rPr>
          <w:rFonts w:ascii="Times New Roman" w:hAnsi="Times New Roman" w:eastAsia="Times New Roman" w:cs="Times New Roman"/>
        </w:rPr>
        <w:t xml:space="preserve"> </w:t>
      </w:r>
      <w:r>
        <w:rPr>
          <w:rFonts w:ascii="Nirmala UI" w:hAnsi="Nirmala UI" w:eastAsia="Nirmala UI" w:cs="Nirmala UI"/>
        </w:rPr>
        <w:t>સમૃદ્ધ</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વસ્તુની</w:t>
      </w:r>
      <w:r>
        <w:rPr>
          <w:rFonts w:ascii="Times New Roman" w:hAnsi="Times New Roman" w:eastAsia="Times New Roman" w:cs="Times New Roman"/>
        </w:rPr>
        <w:t xml:space="preserve"> </w:t>
      </w:r>
      <w:r>
        <w:rPr>
          <w:rFonts w:ascii="Nirmala UI" w:hAnsi="Nirmala UI" w:eastAsia="Nirmala UI" w:cs="Nirmala UI"/>
        </w:rPr>
        <w:t>જરૂર</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શ્રેષ્ઠ</w:t>
      </w:r>
      <w:r>
        <w:rPr>
          <w:rFonts w:ascii="Times New Roman" w:hAnsi="Times New Roman" w:eastAsia="Times New Roman" w:cs="Times New Roman"/>
        </w:rPr>
        <w:t xml:space="preserve"> </w:t>
      </w:r>
      <w:r>
        <w:rPr>
          <w:rFonts w:ascii="Nirmala UI" w:hAnsi="Nirmala UI" w:eastAsia="Nirmala UI" w:cs="Nirmala UI"/>
        </w:rPr>
        <w:t>સાક્ષી</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જાણતો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દુર્ભાગી</w:t>
      </w:r>
      <w:r>
        <w:rPr>
          <w:rFonts w:ascii="Times New Roman" w:hAnsi="Times New Roman" w:eastAsia="Times New Roman" w:cs="Times New Roman"/>
        </w:rPr>
        <w:t xml:space="preserve">, </w:t>
      </w:r>
      <w:r>
        <w:rPr>
          <w:rFonts w:ascii="Nirmala UI" w:hAnsi="Nirmala UI" w:eastAsia="Nirmala UI" w:cs="Nirmala UI"/>
        </w:rPr>
        <w:t>દયનીય</w:t>
      </w:r>
      <w:r>
        <w:rPr>
          <w:rFonts w:ascii="Times New Roman" w:hAnsi="Times New Roman" w:eastAsia="Times New Roman" w:cs="Times New Roman"/>
        </w:rPr>
        <w:t xml:space="preserve">, </w:t>
      </w:r>
      <w:r>
        <w:rPr>
          <w:rFonts w:ascii="Nirmala UI" w:hAnsi="Nirmala UI" w:eastAsia="Nirmala UI" w:cs="Nirmala UI"/>
        </w:rPr>
        <w:t>ગરીબ</w:t>
      </w:r>
      <w:r>
        <w:rPr>
          <w:rFonts w:ascii="Times New Roman" w:hAnsi="Times New Roman" w:eastAsia="Times New Roman" w:cs="Times New Roman"/>
        </w:rPr>
        <w:t xml:space="preserve">, </w:t>
      </w:r>
      <w:r>
        <w:rPr>
          <w:rFonts w:ascii="Nirmala UI" w:hAnsi="Nirmala UI" w:eastAsia="Nirmala UI" w:cs="Nirmala UI"/>
        </w:rPr>
        <w:t>અંધ</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નિર્વસ્ત્ર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કદી</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સ્થિતિને</w:t>
      </w:r>
      <w:r>
        <w:rPr>
          <w:rFonts w:ascii="Times New Roman" w:hAnsi="Times New Roman" w:eastAsia="Times New Roman" w:cs="Times New Roman"/>
        </w:rPr>
        <w:t xml:space="preserve"> </w:t>
      </w:r>
      <w:r>
        <w:rPr>
          <w:rFonts w:ascii="Nirmala UI" w:hAnsi="Nirmala UI" w:eastAsia="Nirmala UI" w:cs="Nirmala UI"/>
        </w:rPr>
        <w:t>સ્પષ્ટ</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જોઈ</w:t>
      </w:r>
      <w:r>
        <w:rPr>
          <w:rFonts w:ascii="Times New Roman" w:hAnsi="Times New Roman" w:eastAsia="Times New Roman" w:cs="Times New Roman"/>
        </w:rPr>
        <w:t xml:space="preserve"> </w:t>
      </w:r>
      <w:r>
        <w:rPr>
          <w:rFonts w:ascii="Nirmala UI" w:hAnsi="Nirmala UI" w:eastAsia="Nirmala UI" w:cs="Nirmala UI"/>
        </w:rPr>
        <w:t>શકશે</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«در کلیساها تجلّی شگفت‌انگیزی از قدرت خدا خواهد بود، امّا بر کسانی اثر نخواهد گذاشت که خود را در حضور خداوند فروتن نساخته‌اند و درِ دل را به‌وسیلهٔ اعتراف و توبه نگشوده‌اند. در ظهور آن قدرتی که زمین را با جلال خدا روشن می‌سازد، آنان فقط چیزی را خواهند دید که در کوریِ خود آن را خطرناک می‌پندارند، چیزی که ترس‌های ایشان را برخواهد انگیخت، و خود را برای مقاومت در برابر آن آماده خواهند ساخت. چون خداوند مطابق تصوّرات و انتظارات ایشان عمل نمی‌کند، با این کار مخالفت خواهند ورزید. آنان می‌گویند: «چرا ما روح خدا را نشناسیم، در حالی که این همه سال در این کار بوده‌ایم؟»—زیرا به هشدارها و استدعای پیام‌های خدا پاسخ ندادند، بلکه پیوسته گفتند: «دولتمندم و ثروت اندوخته‌ام و به هیچ چیز محتاج نیستم.» استعداد و تجربهٔ طولانی، انسان‌ها را مجرای نور نخواهد ساخت، مگر آنکه خویشتن را زیر پرتوهای درخشانِ آفتابِ عدالت قرار دهند و به‌واسطهٔ عطای روح‌القدس خوانده و برگزیده و مهیا شوند. هنگامی که مردانی که با امور مقدّس سر و کار دارند، خود را زیر دست نیرومند خدا فروتن سازند، خداوند آنان را سرافراز خواهد کرد. او ایشان را مردانی صاحب تمییز خواهد ساخت—مردانی غنی در فیض روح او. خصال نیرومند و خودخواهانهٔ ایشان، سرسختی آنان، در نوری که از نورِ جهان می‌تابد آشکار خواهد شد. «به‌زودی نزد تو خواهم آمد و اگر توبه نکنی، چراغدانت را از جای خود برخواهم داشت.» اگر خداوند را با تمامی دل خود بطلبید، او خود را به شما خواهد یافت.» Review and Herald, December 23, 1890.</w:t>
      </w:r>
    </w:p>
    <w:p>
      <w:pPr>
        <w:pStyle w:val="ArticleBody"/>
        <w:jc w:val="left"/>
      </w:pPr>
      <w:r>
        <w:rPr>
          <w:rFonts w:ascii="Times New Roman" w:hAnsi="Times New Roman" w:eastAsia="Times New Roman" w:cs="Times New Roman"/>
        </w:rPr>
        <w:t>La mort du prophète judéen est représentée à la fois par le « lion » de la Babylone moderne, qui est le symbole prophétique établissant la vision de l’histoire prophétique, et aussi par l’« âne ». La première mention de l’islam dans les Écritures apparaît lorsque Ismaël est présenté comme un « homme sauvage ».</w:t>
      </w:r>
    </w:p>
    <w:p>
      <w:pPr>
        <w:pStyle w:val="ArticleScripture"/>
        <w:jc w:val="left"/>
      </w:pPr>
      <w:r>
        <w:rPr>
          <w:rFonts w:ascii="Times New Roman" w:hAnsi="Times New Roman" w:eastAsia="Times New Roman" w:cs="Times New Roman"/>
        </w:rPr>
        <w:t>“Na ye akakuwa mtu wa porini; mkono wake utakuwa juu ya kila mtu, na mkono wa kila mtu juu yake; naye atakaa mbele ya nduguze wote.” Mwanzo 16:12.</w:t>
      </w:r>
    </w:p>
    <w:p>
      <w:pPr>
        <w:pStyle w:val="ArticleBody"/>
        <w:jc w:val="left"/>
      </w:pPr>
      <w:r>
        <w:rPr>
          <w:rFonts w:ascii="Times New Roman" w:hAnsi="Times New Roman" w:eastAsia="Times New Roman" w:cs="Times New Roman"/>
        </w:rPr>
        <w:t>قاعدة الذكر الأول في الأسفار المقدسة تُبيِّن أن جميع خصائص الرمز تكون متضمَّنة فيه، لأن كلمة الله هي بذرة، والبذرة تشتمل على كل الحمض الوراثي اللازم لإثمار النبات كله. والكلمة المترجمة «إنسانًا وحشيًّا» هي الكلمة الدالة على «حمار عربيّ بريّ». و«الحمار» في أسفار الحق هو أحد رموز الإسلام.</w:t>
      </w:r>
    </w:p>
    <w:p>
      <w:pPr>
        <w:pStyle w:val="ArticleBody"/>
        <w:jc w:val="left"/>
      </w:pPr>
      <w:r>
        <w:rPr>
          <w:rFonts w:ascii="Times New Roman" w:hAnsi="Times New Roman" w:eastAsia="Times New Roman" w:cs="Times New Roman"/>
        </w:rPr>
        <w:t>Ezequieli sura ya thelathini na saba inayorejesha mifupa iliyokufa uzimani, ambapo inasimama na kuwa jeshi kubwa mno, ndiyo ujumbe wa Uislamu wa Ole ya tatu, na ujumbe huo ndio ujumbe wa Kilio cha Usiku wa manane cha siku za mwisho. Dada White anafundisha moja kwa moja kwamba kuingia kwa ushindi kwa Kristo ndani ya Yerusalemu kulikuwa ni mfano wa ujumbe wa Kilio cha Usiku wa manane.</w:t>
      </w:r>
    </w:p>
    <w:p>
      <w:pPr>
        <w:pStyle w:val="ArticleScripture"/>
        <w:jc w:val="left"/>
      </w:pPr>
      <w:r>
        <w:rPr>
          <w:rFonts w:ascii="Microsoft YaHei" w:hAnsi="Microsoft YaHei" w:eastAsia="Microsoft YaHei" w:cs="Microsoft YaHei"/>
        </w:rPr>
        <w:t>「</w:t>
      </w:r>
      <w:r>
        <w:rPr>
          <w:rFonts w:ascii="Nirmala UI" w:hAnsi="Nirmala UI" w:eastAsia="Nirmala UI" w:cs="Nirmala UI"/>
        </w:rPr>
        <w:t>நள்ளிரவுக்</w:t>
      </w:r>
      <w:r>
        <w:rPr>
          <w:rFonts w:ascii="Times New Roman" w:hAnsi="Times New Roman" w:eastAsia="Times New Roman" w:cs="Times New Roman"/>
        </w:rPr>
        <w:t xml:space="preserve"> </w:t>
      </w:r>
      <w:r>
        <w:rPr>
          <w:rFonts w:ascii="Nirmala UI" w:hAnsi="Nirmala UI" w:eastAsia="Nirmala UI" w:cs="Nirmala UI"/>
        </w:rPr>
        <w:t>கூக்குரல்</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வேதாகமச்</w:t>
      </w:r>
      <w:r>
        <w:rPr>
          <w:rFonts w:ascii="Times New Roman" w:hAnsi="Times New Roman" w:eastAsia="Times New Roman" w:cs="Times New Roman"/>
        </w:rPr>
        <w:t xml:space="preserve"> </w:t>
      </w:r>
      <w:r>
        <w:rPr>
          <w:rFonts w:ascii="Nirmala UI" w:hAnsi="Nirmala UI" w:eastAsia="Nirmala UI" w:cs="Nirmala UI"/>
        </w:rPr>
        <w:t>சான்று</w:t>
      </w:r>
      <w:r>
        <w:rPr>
          <w:rFonts w:ascii="Times New Roman" w:hAnsi="Times New Roman" w:eastAsia="Times New Roman" w:cs="Times New Roman"/>
        </w:rPr>
        <w:t xml:space="preserve"> </w:t>
      </w:r>
      <w:r>
        <w:rPr>
          <w:rFonts w:ascii="Nirmala UI" w:hAnsi="Nirmala UI" w:eastAsia="Nirmala UI" w:cs="Nirmala UI"/>
        </w:rPr>
        <w:t>தெளிவாகவும்</w:t>
      </w:r>
      <w:r>
        <w:rPr>
          <w:rFonts w:ascii="Times New Roman" w:hAnsi="Times New Roman" w:eastAsia="Times New Roman" w:cs="Times New Roman"/>
        </w:rPr>
        <w:t xml:space="preserve"> </w:t>
      </w:r>
      <w:r>
        <w:rPr>
          <w:rFonts w:ascii="Nirmala UI" w:hAnsi="Nirmala UI" w:eastAsia="Nirmala UI" w:cs="Nirmala UI"/>
        </w:rPr>
        <w:t>முடிவுறுதியானதாகவும்</w:t>
      </w:r>
      <w:r>
        <w:rPr>
          <w:rFonts w:ascii="Times New Roman" w:hAnsi="Times New Roman" w:eastAsia="Times New Roman" w:cs="Times New Roman"/>
        </w:rPr>
        <w:t xml:space="preserve"> </w:t>
      </w:r>
      <w:r>
        <w:rPr>
          <w:rFonts w:ascii="Nirmala UI" w:hAnsi="Nirmala UI" w:eastAsia="Nirmala UI" w:cs="Nirmala UI"/>
        </w:rPr>
        <w:t>இருந்தபோதிலும்</w:t>
      </w:r>
      <w:r>
        <w:rPr>
          <w:rFonts w:ascii="Times New Roman" w:hAnsi="Times New Roman" w:eastAsia="Times New Roman" w:cs="Times New Roman"/>
        </w:rPr>
        <w:t xml:space="preserve">, </w:t>
      </w:r>
      <w:r>
        <w:rPr>
          <w:rFonts w:ascii="Nirmala UI" w:hAnsi="Nirmala UI" w:eastAsia="Nirmala UI" w:cs="Nirmala UI"/>
        </w:rPr>
        <w:t>அவ்வளவாக</w:t>
      </w:r>
      <w:r>
        <w:rPr>
          <w:rFonts w:ascii="Times New Roman" w:hAnsi="Times New Roman" w:eastAsia="Times New Roman" w:cs="Times New Roman"/>
        </w:rPr>
        <w:t xml:space="preserve"> </w:t>
      </w:r>
      <w:r>
        <w:rPr>
          <w:rFonts w:ascii="Nirmala UI" w:hAnsi="Nirmala UI" w:eastAsia="Nirmala UI" w:cs="Nirmala UI"/>
        </w:rPr>
        <w:t>வாதத்தின்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எடுத்துச்</w:t>
      </w:r>
      <w:r>
        <w:rPr>
          <w:rFonts w:ascii="Times New Roman" w:hAnsi="Times New Roman" w:eastAsia="Times New Roman" w:cs="Times New Roman"/>
        </w:rPr>
        <w:t xml:space="preserve"> </w:t>
      </w:r>
      <w:r>
        <w:rPr>
          <w:rFonts w:ascii="Nirmala UI" w:hAnsi="Nirmala UI" w:eastAsia="Nirmala UI" w:cs="Nirmala UI"/>
        </w:rPr>
        <w:t>செல்லப்பட்டதல்ல</w:t>
      </w:r>
      <w:r>
        <w:rPr>
          <w:rFonts w:ascii="Times New Roman" w:hAnsi="Times New Roman" w:eastAsia="Times New Roman" w:cs="Times New Roman"/>
        </w:rPr>
        <w:t xml:space="preserve">. </w:t>
      </w:r>
      <w:r>
        <w:rPr>
          <w:rFonts w:ascii="Nirmala UI" w:hAnsi="Nirmala UI" w:eastAsia="Nirmala UI" w:cs="Nirmala UI"/>
        </w:rPr>
        <w:t>அதனுடன்</w:t>
      </w:r>
      <w:r>
        <w:rPr>
          <w:rFonts w:ascii="Times New Roman" w:hAnsi="Times New Roman" w:eastAsia="Times New Roman" w:cs="Times New Roman"/>
        </w:rPr>
        <w:t xml:space="preserve"> </w:t>
      </w:r>
      <w:r>
        <w:rPr>
          <w:rFonts w:ascii="Nirmala UI" w:hAnsi="Nirmala UI" w:eastAsia="Nirmala UI" w:cs="Nirmala UI"/>
        </w:rPr>
        <w:t>ஆத்துமாவை</w:t>
      </w:r>
      <w:r>
        <w:rPr>
          <w:rFonts w:ascii="Times New Roman" w:hAnsi="Times New Roman" w:eastAsia="Times New Roman" w:cs="Times New Roman"/>
        </w:rPr>
        <w:t xml:space="preserve"> </w:t>
      </w:r>
      <w:r>
        <w:rPr>
          <w:rFonts w:ascii="Nirmala UI" w:hAnsi="Nirmala UI" w:eastAsia="Nirmala UI" w:cs="Nirmala UI"/>
        </w:rPr>
        <w:t>உந்திச்</w:t>
      </w:r>
      <w:r>
        <w:rPr>
          <w:rFonts w:ascii="Times New Roman" w:hAnsi="Times New Roman" w:eastAsia="Times New Roman" w:cs="Times New Roman"/>
        </w:rPr>
        <w:t xml:space="preserve"> </w:t>
      </w:r>
      <w:r>
        <w:rPr>
          <w:rFonts w:ascii="Nirmala UI" w:hAnsi="Nirmala UI" w:eastAsia="Nirmala UI" w:cs="Nirmala UI"/>
        </w:rPr>
        <w:t>செலுத்தும்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வல்லமை</w:t>
      </w:r>
      <w:r>
        <w:rPr>
          <w:rFonts w:ascii="Times New Roman" w:hAnsi="Times New Roman" w:eastAsia="Times New Roman" w:cs="Times New Roman"/>
        </w:rPr>
        <w:t xml:space="preserve"> </w:t>
      </w:r>
      <w:r>
        <w:rPr>
          <w:rFonts w:ascii="Nirmala UI" w:hAnsi="Nirmala UI" w:eastAsia="Nirmala UI" w:cs="Nirmala UI"/>
        </w:rPr>
        <w:t>இணைந்திருந்தது</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ஐயமோ</w:t>
      </w:r>
      <w:r>
        <w:rPr>
          <w:rFonts w:ascii="Times New Roman" w:hAnsi="Times New Roman" w:eastAsia="Times New Roman" w:cs="Times New Roman"/>
        </w:rPr>
        <w:t xml:space="preserve"> </w:t>
      </w:r>
      <w:r>
        <w:rPr>
          <w:rFonts w:ascii="Nirmala UI" w:hAnsi="Nirmala UI" w:eastAsia="Nirmala UI" w:cs="Nirmala UI"/>
        </w:rPr>
        <w:t>கேள்வியோ</w:t>
      </w:r>
      <w:r>
        <w:rPr>
          <w:rFonts w:ascii="Times New Roman" w:hAnsi="Times New Roman" w:eastAsia="Times New Roman" w:cs="Times New Roman"/>
        </w:rPr>
        <w:t xml:space="preserve"> </w:t>
      </w:r>
      <w:r>
        <w:rPr>
          <w:rFonts w:ascii="Nirmala UI" w:hAnsi="Nirmala UI" w:eastAsia="Nirmala UI" w:cs="Nirmala UI"/>
        </w:rPr>
        <w:t>எதுவும்</w:t>
      </w:r>
      <w:r>
        <w:rPr>
          <w:rFonts w:ascii="Times New Roman" w:hAnsi="Times New Roman" w:eastAsia="Times New Roman" w:cs="Times New Roman"/>
        </w:rPr>
        <w:t xml:space="preserve"> </w:t>
      </w:r>
      <w:r>
        <w:rPr>
          <w:rFonts w:ascii="Nirmala UI" w:hAnsi="Nirmala UI" w:eastAsia="Nirmala UI" w:cs="Nirmala UI"/>
        </w:rPr>
        <w:t>இருக்கவில்லை</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எருசலேமுக்குள்</w:t>
      </w:r>
      <w:r>
        <w:rPr>
          <w:rFonts w:ascii="Times New Roman" w:hAnsi="Times New Roman" w:eastAsia="Times New Roman" w:cs="Times New Roman"/>
        </w:rPr>
        <w:t xml:space="preserve"> </w:t>
      </w:r>
      <w:r>
        <w:rPr>
          <w:rFonts w:ascii="Nirmala UI" w:hAnsi="Nirmala UI" w:eastAsia="Nirmala UI" w:cs="Nirmala UI"/>
        </w:rPr>
        <w:t>வெற்றிகரமாகப்</w:t>
      </w:r>
      <w:r>
        <w:rPr>
          <w:rFonts w:ascii="Times New Roman" w:hAnsi="Times New Roman" w:eastAsia="Times New Roman" w:cs="Times New Roman"/>
        </w:rPr>
        <w:t xml:space="preserve"> </w:t>
      </w:r>
      <w:r>
        <w:rPr>
          <w:rFonts w:ascii="Nirmala UI" w:hAnsi="Nirmala UI" w:eastAsia="Nirmala UI" w:cs="Nirmala UI"/>
        </w:rPr>
        <w:t>பிரவேசித்த</w:t>
      </w:r>
      <w:r>
        <w:rPr>
          <w:rFonts w:ascii="Times New Roman" w:hAnsi="Times New Roman" w:eastAsia="Times New Roman" w:cs="Times New Roman"/>
        </w:rPr>
        <w:t xml:space="preserve"> </w:t>
      </w:r>
      <w:r>
        <w:rPr>
          <w:rFonts w:ascii="Nirmala UI" w:hAnsi="Nirmala UI" w:eastAsia="Nirmala UI" w:cs="Nirmala UI"/>
        </w:rPr>
        <w:t>சமயத்தில்</w:t>
      </w:r>
      <w:r>
        <w:rPr>
          <w:rFonts w:ascii="Times New Roman" w:hAnsi="Times New Roman" w:eastAsia="Times New Roman" w:cs="Times New Roman"/>
        </w:rPr>
        <w:t xml:space="preserve">, </w:t>
      </w:r>
      <w:r>
        <w:rPr>
          <w:rFonts w:ascii="Nirmala UI" w:hAnsi="Nirmala UI" w:eastAsia="Nirmala UI" w:cs="Nirmala UI"/>
        </w:rPr>
        <w:t>பண்டிகையைக்</w:t>
      </w:r>
      <w:r>
        <w:rPr>
          <w:rFonts w:ascii="Times New Roman" w:hAnsi="Times New Roman" w:eastAsia="Times New Roman" w:cs="Times New Roman"/>
        </w:rPr>
        <w:t xml:space="preserve"> </w:t>
      </w:r>
      <w:r>
        <w:rPr>
          <w:rFonts w:ascii="Nirmala UI" w:hAnsi="Nirmala UI" w:eastAsia="Nirmala UI" w:cs="Nirmala UI"/>
        </w:rPr>
        <w:t>கைக்கொள்ள</w:t>
      </w:r>
      <w:r>
        <w:rPr>
          <w:rFonts w:ascii="Times New Roman" w:hAnsi="Times New Roman" w:eastAsia="Times New Roman" w:cs="Times New Roman"/>
        </w:rPr>
        <w:t xml:space="preserve"> </w:t>
      </w:r>
      <w:r>
        <w:rPr>
          <w:rFonts w:ascii="Nirmala UI" w:hAnsi="Nirmala UI" w:eastAsia="Nirmala UI" w:cs="Nirmala UI"/>
        </w:rPr>
        <w:t>தேசத்தின்</w:t>
      </w:r>
      <w:r>
        <w:rPr>
          <w:rFonts w:ascii="Times New Roman" w:hAnsi="Times New Roman" w:eastAsia="Times New Roman" w:cs="Times New Roman"/>
        </w:rPr>
        <w:t xml:space="preserve"> </w:t>
      </w:r>
      <w:r>
        <w:rPr>
          <w:rFonts w:ascii="Nirmala UI" w:hAnsi="Nirmala UI" w:eastAsia="Nirmala UI" w:cs="Nirmala UI"/>
        </w:rPr>
        <w:t>எல்லாப்</w:t>
      </w:r>
      <w:r>
        <w:rPr>
          <w:rFonts w:ascii="Times New Roman" w:hAnsi="Times New Roman" w:eastAsia="Times New Roman" w:cs="Times New Roman"/>
        </w:rPr>
        <w:t xml:space="preserve"> </w:t>
      </w:r>
      <w:r>
        <w:rPr>
          <w:rFonts w:ascii="Nirmala UI" w:hAnsi="Nirmala UI" w:eastAsia="Nirmala UI" w:cs="Nirmala UI"/>
        </w:rPr>
        <w:t>பகுதிகளிலிருந்தும்</w:t>
      </w:r>
      <w:r>
        <w:rPr>
          <w:rFonts w:ascii="Times New Roman" w:hAnsi="Times New Roman" w:eastAsia="Times New Roman" w:cs="Times New Roman"/>
        </w:rPr>
        <w:t xml:space="preserve"> </w:t>
      </w:r>
      <w:r>
        <w:rPr>
          <w:rFonts w:ascii="Nirmala UI" w:hAnsi="Nirmala UI" w:eastAsia="Nirmala UI" w:cs="Nirmala UI"/>
        </w:rPr>
        <w:t>கூடியிருந்த</w:t>
      </w:r>
      <w:r>
        <w:rPr>
          <w:rFonts w:ascii="Times New Roman" w:hAnsi="Times New Roman" w:eastAsia="Times New Roman" w:cs="Times New Roman"/>
        </w:rPr>
        <w:t xml:space="preserve"> </w:t>
      </w:r>
      <w:r>
        <w:rPr>
          <w:rFonts w:ascii="Nirmala UI" w:hAnsi="Nirmala UI" w:eastAsia="Nirmala UI" w:cs="Nirmala UI"/>
        </w:rPr>
        <w:t>மக்கள்</w:t>
      </w:r>
      <w:r>
        <w:rPr>
          <w:rFonts w:ascii="Times New Roman" w:hAnsi="Times New Roman" w:eastAsia="Times New Roman" w:cs="Times New Roman"/>
        </w:rPr>
        <w:t xml:space="preserve"> </w:t>
      </w:r>
      <w:r>
        <w:rPr>
          <w:rFonts w:ascii="Nirmala UI" w:hAnsi="Nirmala UI" w:eastAsia="Nirmala UI" w:cs="Nirmala UI"/>
        </w:rPr>
        <w:t>ஒலிவுமலையினிடமே</w:t>
      </w:r>
      <w:r>
        <w:rPr>
          <w:rFonts w:ascii="Times New Roman" w:hAnsi="Times New Roman" w:eastAsia="Times New Roman" w:cs="Times New Roman"/>
        </w:rPr>
        <w:t xml:space="preserve"> </w:t>
      </w:r>
      <w:r>
        <w:rPr>
          <w:rFonts w:ascii="Nirmala UI" w:hAnsi="Nirmala UI" w:eastAsia="Nirmala UI" w:cs="Nirmala UI"/>
        </w:rPr>
        <w:t>திரண்டு</w:t>
      </w:r>
      <w:r>
        <w:rPr>
          <w:rFonts w:ascii="Times New Roman" w:hAnsi="Times New Roman" w:eastAsia="Times New Roman" w:cs="Times New Roman"/>
        </w:rPr>
        <w:t xml:space="preserve"> </w:t>
      </w:r>
      <w:r>
        <w:rPr>
          <w:rFonts w:ascii="Nirmala UI" w:hAnsi="Nirmala UI" w:eastAsia="Nirmala UI" w:cs="Nirmala UI"/>
        </w:rPr>
        <w:t>வந்தார்கள்</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இயேசுவை</w:t>
      </w:r>
      <w:r>
        <w:rPr>
          <w:rFonts w:ascii="Times New Roman" w:hAnsi="Times New Roman" w:eastAsia="Times New Roman" w:cs="Times New Roman"/>
        </w:rPr>
        <w:t xml:space="preserve"> </w:t>
      </w:r>
      <w:r>
        <w:rPr>
          <w:rFonts w:ascii="Nirmala UI" w:hAnsi="Nirmala UI" w:eastAsia="Nirmala UI" w:cs="Nirmala UI"/>
        </w:rPr>
        <w:t>உடனிருந்து</w:t>
      </w:r>
      <w:r>
        <w:rPr>
          <w:rFonts w:ascii="Times New Roman" w:hAnsi="Times New Roman" w:eastAsia="Times New Roman" w:cs="Times New Roman"/>
        </w:rPr>
        <w:t xml:space="preserve"> </w:t>
      </w:r>
      <w:r>
        <w:rPr>
          <w:rFonts w:ascii="Nirmala UI" w:hAnsi="Nirmala UI" w:eastAsia="Nirmala UI" w:cs="Nirmala UI"/>
        </w:rPr>
        <w:t>அழைத்துச்</w:t>
      </w:r>
      <w:r>
        <w:rPr>
          <w:rFonts w:ascii="Times New Roman" w:hAnsi="Times New Roman" w:eastAsia="Times New Roman" w:cs="Times New Roman"/>
        </w:rPr>
        <w:t xml:space="preserve"> </w:t>
      </w:r>
      <w:r>
        <w:rPr>
          <w:rFonts w:ascii="Nirmala UI" w:hAnsi="Nirmala UI" w:eastAsia="Nirmala UI" w:cs="Nirmala UI"/>
        </w:rPr>
        <w:t>சென்ற</w:t>
      </w:r>
      <w:r>
        <w:rPr>
          <w:rFonts w:ascii="Times New Roman" w:hAnsi="Times New Roman" w:eastAsia="Times New Roman" w:cs="Times New Roman"/>
        </w:rPr>
        <w:t xml:space="preserve"> </w:t>
      </w:r>
      <w:r>
        <w:rPr>
          <w:rFonts w:ascii="Nirmala UI" w:hAnsi="Nirmala UI" w:eastAsia="Nirmala UI" w:cs="Nirmala UI"/>
        </w:rPr>
        <w:t>கூட்டத்தோடு</w:t>
      </w:r>
      <w:r>
        <w:rPr>
          <w:rFonts w:ascii="Times New Roman" w:hAnsi="Times New Roman" w:eastAsia="Times New Roman" w:cs="Times New Roman"/>
        </w:rPr>
        <w:t xml:space="preserve"> </w:t>
      </w:r>
      <w:r>
        <w:rPr>
          <w:rFonts w:ascii="Nirmala UI" w:hAnsi="Nirmala UI" w:eastAsia="Nirmala UI" w:cs="Nirmala UI"/>
        </w:rPr>
        <w:t>சேர்ந்தபோது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நேரத்தின்</w:t>
      </w:r>
      <w:r>
        <w:rPr>
          <w:rFonts w:ascii="Times New Roman" w:hAnsi="Times New Roman" w:eastAsia="Times New Roman" w:cs="Times New Roman"/>
        </w:rPr>
        <w:t xml:space="preserve"> </w:t>
      </w:r>
      <w:r>
        <w:rPr>
          <w:rFonts w:ascii="Nirmala UI" w:hAnsi="Nirmala UI" w:eastAsia="Nirmala UI" w:cs="Nirmala UI"/>
        </w:rPr>
        <w:t>உந்துதலைப்</w:t>
      </w:r>
      <w:r>
        <w:rPr>
          <w:rFonts w:ascii="Times New Roman" w:hAnsi="Times New Roman" w:eastAsia="Times New Roman" w:cs="Times New Roman"/>
        </w:rPr>
        <w:t xml:space="preserve"> </w:t>
      </w:r>
      <w:r>
        <w:rPr>
          <w:rFonts w:ascii="Nirmala UI" w:hAnsi="Nirmala UI" w:eastAsia="Nirmala UI" w:cs="Nirmala UI"/>
        </w:rPr>
        <w:t>பற்றிக்கொண்டு</w:t>
      </w:r>
      <w:r>
        <w:rPr>
          <w:rFonts w:ascii="Times New Roman" w:hAnsi="Times New Roman" w:eastAsia="Times New Roman" w:cs="Times New Roman"/>
        </w:rPr>
        <w:t>, ‘</w:t>
      </w:r>
      <w:r>
        <w:rPr>
          <w:rFonts w:ascii="Nirmala UI" w:hAnsi="Nirmala UI" w:eastAsia="Nirmala UI" w:cs="Nirmala UI"/>
        </w:rPr>
        <w:t>கர்த்தருடைய</w:t>
      </w:r>
      <w:r>
        <w:rPr>
          <w:rFonts w:ascii="Times New Roman" w:hAnsi="Times New Roman" w:eastAsia="Times New Roman" w:cs="Times New Roman"/>
        </w:rPr>
        <w:t xml:space="preserve"> </w:t>
      </w:r>
      <w:r>
        <w:rPr>
          <w:rFonts w:ascii="Nirmala UI" w:hAnsi="Nirmala UI" w:eastAsia="Nirmala UI" w:cs="Nirmala UI"/>
        </w:rPr>
        <w:t>நாமத்தில்</w:t>
      </w:r>
      <w:r>
        <w:rPr>
          <w:rFonts w:ascii="Times New Roman" w:hAnsi="Times New Roman" w:eastAsia="Times New Roman" w:cs="Times New Roman"/>
        </w:rPr>
        <w:t xml:space="preserve"> </w:t>
      </w:r>
      <w:r>
        <w:rPr>
          <w:rFonts w:ascii="Nirmala UI" w:hAnsi="Nirmala UI" w:eastAsia="Nirmala UI" w:cs="Nirmala UI"/>
        </w:rPr>
        <w:t>வருகிறவர்</w:t>
      </w:r>
      <w:r>
        <w:rPr>
          <w:rFonts w:ascii="Times New Roman" w:hAnsi="Times New Roman" w:eastAsia="Times New Roman" w:cs="Times New Roman"/>
        </w:rPr>
        <w:t xml:space="preserve"> </w:t>
      </w:r>
      <w:r>
        <w:rPr>
          <w:rFonts w:ascii="Nirmala UI" w:hAnsi="Nirmala UI" w:eastAsia="Nirmala UI" w:cs="Nirmala UI"/>
        </w:rPr>
        <w:t>ஆசீர்வதிக்கப்பட்டவர்</w:t>
      </w:r>
      <w:r>
        <w:rPr>
          <w:rFonts w:ascii="Times New Roman" w:hAnsi="Times New Roman" w:eastAsia="Times New Roman" w:cs="Times New Roman"/>
        </w:rPr>
        <w:t xml:space="preserve">!’ [Matthew 21:9.]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முழக்கத்தை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பெருக்க</w:t>
      </w:r>
      <w:r>
        <w:rPr>
          <w:rFonts w:ascii="Times New Roman" w:hAnsi="Times New Roman" w:eastAsia="Times New Roman" w:cs="Times New Roman"/>
        </w:rPr>
        <w:t xml:space="preserve"> </w:t>
      </w:r>
      <w:r>
        <w:rPr>
          <w:rFonts w:ascii="Nirmala UI" w:hAnsi="Nirmala UI" w:eastAsia="Nirmala UI" w:cs="Nirmala UI"/>
        </w:rPr>
        <w:t>உதவினார்கள்</w:t>
      </w:r>
      <w:r>
        <w:rPr>
          <w:rFonts w:ascii="Times New Roman" w:hAnsi="Times New Roman" w:eastAsia="Times New Roman" w:cs="Times New Roman"/>
        </w:rPr>
        <w:t xml:space="preserve">. </w:t>
      </w:r>
      <w:r>
        <w:rPr>
          <w:rFonts w:ascii="Nirmala UI" w:hAnsi="Nirmala UI" w:eastAsia="Nirmala UI" w:cs="Nirmala UI"/>
        </w:rPr>
        <w:t>அதுபோலவே</w:t>
      </w:r>
      <w:r>
        <w:rPr>
          <w:rFonts w:ascii="Times New Roman" w:hAnsi="Times New Roman" w:eastAsia="Times New Roman" w:cs="Times New Roman"/>
        </w:rPr>
        <w:t xml:space="preserve">, </w:t>
      </w:r>
      <w:r>
        <w:rPr>
          <w:rFonts w:ascii="Nirmala UI" w:hAnsi="Nirmala UI" w:eastAsia="Nirmala UI" w:cs="Nirmala UI"/>
        </w:rPr>
        <w:t>அட்வென்டிஸ்ட்</w:t>
      </w:r>
      <w:r>
        <w:rPr>
          <w:rFonts w:ascii="Times New Roman" w:hAnsi="Times New Roman" w:eastAsia="Times New Roman" w:cs="Times New Roman"/>
        </w:rPr>
        <w:t xml:space="preserve"> </w:t>
      </w:r>
      <w:r>
        <w:rPr>
          <w:rFonts w:ascii="Nirmala UI" w:hAnsi="Nirmala UI" w:eastAsia="Nirmala UI" w:cs="Nirmala UI"/>
        </w:rPr>
        <w:t>கூட்டங்களுக்கு</w:t>
      </w:r>
      <w:r>
        <w:rPr>
          <w:rFonts w:ascii="Times New Roman" w:hAnsi="Times New Roman" w:eastAsia="Times New Roman" w:cs="Times New Roman"/>
        </w:rPr>
        <w:t xml:space="preserve"> </w:t>
      </w:r>
      <w:r>
        <w:rPr>
          <w:rFonts w:ascii="Nirmala UI" w:hAnsi="Nirmala UI" w:eastAsia="Nirmala UI" w:cs="Nirmala UI"/>
        </w:rPr>
        <w:t>திரண்டுவந்த</w:t>
      </w:r>
      <w:r>
        <w:rPr>
          <w:rFonts w:ascii="Times New Roman" w:hAnsi="Times New Roman" w:eastAsia="Times New Roman" w:cs="Times New Roman"/>
        </w:rPr>
        <w:t xml:space="preserve"> </w:t>
      </w:r>
      <w:r>
        <w:rPr>
          <w:rFonts w:ascii="Nirmala UI" w:hAnsi="Nirmala UI" w:eastAsia="Nirmala UI" w:cs="Nirmala UI"/>
        </w:rPr>
        <w:t>அவிசுவாசிகளும்</w:t>
      </w:r>
      <w:r>
        <w:rPr>
          <w:rFonts w:ascii="Times New Roman" w:hAnsi="Times New Roman" w:eastAsia="Times New Roman" w:cs="Times New Roman"/>
        </w:rPr>
        <w:t>—</w:t>
      </w:r>
      <w:r>
        <w:rPr>
          <w:rFonts w:ascii="Nirmala UI" w:hAnsi="Nirmala UI" w:eastAsia="Nirmala UI" w:cs="Nirmala UI"/>
        </w:rPr>
        <w:t>சிலர்</w:t>
      </w:r>
      <w:r>
        <w:rPr>
          <w:rFonts w:ascii="Times New Roman" w:hAnsi="Times New Roman" w:eastAsia="Times New Roman" w:cs="Times New Roman"/>
        </w:rPr>
        <w:t xml:space="preserve"> </w:t>
      </w:r>
      <w:r>
        <w:rPr>
          <w:rFonts w:ascii="Nirmala UI" w:hAnsi="Nirmala UI" w:eastAsia="Nirmala UI" w:cs="Nirmala UI"/>
        </w:rPr>
        <w:t>ஆர்வத்தினால்</w:t>
      </w:r>
      <w:r>
        <w:rPr>
          <w:rFonts w:ascii="Times New Roman" w:hAnsi="Times New Roman" w:eastAsia="Times New Roman" w:cs="Times New Roman"/>
        </w:rPr>
        <w:t xml:space="preserve">, </w:t>
      </w:r>
      <w:r>
        <w:rPr>
          <w:rFonts w:ascii="Nirmala UI" w:hAnsi="Nirmala UI" w:eastAsia="Nirmala UI" w:cs="Nirmala UI"/>
        </w:rPr>
        <w:t>சிலர்</w:t>
      </w:r>
      <w:r>
        <w:rPr>
          <w:rFonts w:ascii="Times New Roman" w:hAnsi="Times New Roman" w:eastAsia="Times New Roman" w:cs="Times New Roman"/>
        </w:rPr>
        <w:t xml:space="preserve"> </w:t>
      </w:r>
      <w:r>
        <w:rPr>
          <w:rFonts w:ascii="Nirmala UI" w:hAnsi="Nirmala UI" w:eastAsia="Nirmala UI" w:cs="Nirmala UI"/>
        </w:rPr>
        <w:t>வெறுமனே</w:t>
      </w:r>
      <w:r>
        <w:rPr>
          <w:rFonts w:ascii="Times New Roman" w:hAnsi="Times New Roman" w:eastAsia="Times New Roman" w:cs="Times New Roman"/>
        </w:rPr>
        <w:t xml:space="preserve"> </w:t>
      </w:r>
      <w:r>
        <w:rPr>
          <w:rFonts w:ascii="Nirmala UI" w:hAnsi="Nirmala UI" w:eastAsia="Nirmala UI" w:cs="Nirmala UI"/>
        </w:rPr>
        <w:t>பரிகசிப்பதற்காக</w:t>
      </w:r>
      <w:r>
        <w:rPr>
          <w:rFonts w:ascii="Times New Roman" w:hAnsi="Times New Roman" w:eastAsia="Times New Roman" w:cs="Times New Roman"/>
        </w:rPr>
        <w:t>—‘</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மணவாளன்</w:t>
      </w:r>
      <w:r>
        <w:rPr>
          <w:rFonts w:ascii="Times New Roman" w:hAnsi="Times New Roman" w:eastAsia="Times New Roman" w:cs="Times New Roman"/>
        </w:rPr>
        <w:t xml:space="preserve"> </w:t>
      </w:r>
      <w:r>
        <w:rPr>
          <w:rFonts w:ascii="Nirmala UI" w:hAnsi="Nirmala UI" w:eastAsia="Nirmala UI" w:cs="Nirmala UI"/>
        </w:rPr>
        <w:t>வருகிறான்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செய்தியோடு</w:t>
      </w:r>
      <w:r>
        <w:rPr>
          <w:rFonts w:ascii="Times New Roman" w:hAnsi="Times New Roman" w:eastAsia="Times New Roman" w:cs="Times New Roman"/>
        </w:rPr>
        <w:t xml:space="preserve"> </w:t>
      </w:r>
      <w:r>
        <w:rPr>
          <w:rFonts w:ascii="Nirmala UI" w:hAnsi="Nirmala UI" w:eastAsia="Nirmala UI" w:cs="Nirmala UI"/>
        </w:rPr>
        <w:t>சேர்ந்திருந்த</w:t>
      </w:r>
      <w:r>
        <w:rPr>
          <w:rFonts w:ascii="Times New Roman" w:hAnsi="Times New Roman" w:eastAsia="Times New Roman" w:cs="Times New Roman"/>
        </w:rPr>
        <w:t xml:space="preserve"> </w:t>
      </w:r>
      <w:r>
        <w:rPr>
          <w:rFonts w:ascii="Nirmala UI" w:hAnsi="Nirmala UI" w:eastAsia="Nirmala UI" w:cs="Nirmala UI"/>
        </w:rPr>
        <w:t>உறுதியூட்டும்</w:t>
      </w:r>
      <w:r>
        <w:rPr>
          <w:rFonts w:ascii="Times New Roman" w:hAnsi="Times New Roman" w:eastAsia="Times New Roman" w:cs="Times New Roman"/>
        </w:rPr>
        <w:t xml:space="preserve"> </w:t>
      </w:r>
      <w:r>
        <w:rPr>
          <w:rFonts w:ascii="Nirmala UI" w:hAnsi="Nirmala UI" w:eastAsia="Nirmala UI" w:cs="Nirmala UI"/>
        </w:rPr>
        <w:t>வல்லமையை</w:t>
      </w:r>
      <w:r>
        <w:rPr>
          <w:rFonts w:ascii="Times New Roman" w:hAnsi="Times New Roman" w:eastAsia="Times New Roman" w:cs="Times New Roman"/>
        </w:rPr>
        <w:t xml:space="preserve"> </w:t>
      </w:r>
      <w:r>
        <w:rPr>
          <w:rFonts w:ascii="Nirmala UI" w:hAnsi="Nirmala UI" w:eastAsia="Nirmala UI" w:cs="Nirmala UI"/>
        </w:rPr>
        <w:t>உணர்ந்தார்கள்</w:t>
      </w:r>
      <w:r>
        <w:rPr>
          <w:rFonts w:ascii="Times New Roman" w:hAnsi="Times New Roman" w:eastAsia="Times New Roman" w:cs="Times New Roman"/>
        </w:rPr>
        <w:t>.” Spirit of Prophecy, volume 4, 250.</w:t>
      </w:r>
    </w:p>
    <w:p>
      <w:pPr>
        <w:pStyle w:val="ArticleBody"/>
        <w:jc w:val="left"/>
      </w:pPr>
      <w:r>
        <w:rPr>
          <w:rFonts w:ascii="Times New Roman" w:hAnsi="Times New Roman" w:eastAsia="Times New Roman" w:cs="Times New Roman"/>
        </w:rPr>
        <w:t>L’Apocalypse de Jésus-Christ est le message final qui est descellé dans les derniers jours, et il inclut l’islam du troisième Malheur. Lorsque le Christ, qui est le message descellé, entra dans Jérusalem, et typifia ainsi le Cri de Minuit des derniers jours, il fut porté (son message fut porté) par un « âne ». Le message final de la justice du Christ est porté par l’islam.</w:t>
      </w:r>
    </w:p>
    <w:p>
      <w:pPr>
        <w:pStyle w:val="ArticleBody"/>
        <w:jc w:val="left"/>
      </w:pPr>
      <w:r>
        <w:rPr>
          <w:rFonts w:ascii="Times New Roman" w:hAnsi="Times New Roman" w:eastAsia="Times New Roman" w:cs="Times New Roman"/>
        </w:rPr>
        <w:t>L’Islam fut, est, et sera un homme sauvage, ainsi que le représente l’âne sauvage arabe; et quiconque veut voir (et il y en a beaucoup qui ne veulent pas voir) peut aisément « reconnaître » que la guerre que l’Islam mène maintenant est une folie sauvage. La disposition à se suicider, en croyant qu’il y aura quelque grande récompense sexuelle dans l’au-delà, est une folie satanique. La première mention de l’Islam indiquait que l’Islam serait un homme sauvage.</w:t>
      </w:r>
    </w:p>
    <w:p>
      <w:pPr>
        <w:pStyle w:val="ArticleBody"/>
        <w:jc w:val="left"/>
      </w:pPr>
      <w:r>
        <w:rPr>
          <w:rFonts w:ascii="Times New Roman" w:hAnsi="Times New Roman" w:eastAsia="Times New Roman" w:cs="Times New Roman"/>
        </w:rPr>
        <w:t>Исламын дайн хүн төрөлхтнийг бүхэлд нь нэгтгэн, гурав дахь Гаслангийн улам ширүүсэх дайнд оролцохоор хүргэдэг. Ислам нь нэг дэлхийн засгийн газрыг хэрэгжүүлэх эш үзүүллэгийн логик мөн бөгөөд, даяарчлагчид Дэлхийн хоёрдугаар дайны дараа еврейчүүдийг Израилийн нутагт санаатайгаар буцаан суурьшуулсан гэж заадаг; ингэснээр еврейчүүдэд чиглэсэн Исламын эртний үзэн ядалтыг ашиглан Дэлхийн гуравдугаар дайныг өдөөх боломжтой болно гэж тэд үздэг. Даяарчлагчид нэг дэлхийн засгийн газраа тогтоохын тулд Дэлхийн гуравдугаар дайн шаардлагатай гэж итгэдэг бөгөөд үүнийг олон арван жилийн турш сургаж ирсэн. Даяарчлагчдын өөрсдийнх нь үгээр илэрхийлэгдсэн завхарсан сэдэл нь Исламын Библийн үүрэгтэй нийцдэг.</w:t>
      </w:r>
    </w:p>
    <w:p>
      <w:pPr>
        <w:pStyle w:val="ArticleBody"/>
        <w:jc w:val="left"/>
      </w:pPr>
      <w:r>
        <w:rPr>
          <w:rFonts w:ascii="Nirmala UI" w:hAnsi="Nirmala UI" w:eastAsia="Nirmala UI" w:cs="Nirmala UI"/>
        </w:rPr>
        <w:t>शायद</w:t>
      </w:r>
      <w:r>
        <w:rPr>
          <w:rFonts w:ascii="Times New Roman" w:hAnsi="Times New Roman" w:eastAsia="Times New Roman" w:cs="Times New Roman"/>
        </w:rPr>
        <w:t xml:space="preserve"> </w:t>
      </w:r>
      <w:r>
        <w:rPr>
          <w:rFonts w:ascii="Nirmala UI" w:hAnsi="Nirmala UI" w:eastAsia="Nirmala UI" w:cs="Nirmala UI"/>
        </w:rPr>
        <w:t>इश्माएल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डीएनए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वनपुरुष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निवास</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कट्टरपंथी</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संप्रदाय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प्रचलित</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शिष्ट</w:t>
      </w:r>
      <w:r>
        <w:rPr>
          <w:rFonts w:ascii="Times New Roman" w:hAnsi="Times New Roman" w:eastAsia="Times New Roman" w:cs="Times New Roman"/>
        </w:rPr>
        <w:t xml:space="preserve"> </w:t>
      </w:r>
      <w:r>
        <w:rPr>
          <w:rFonts w:ascii="Nirmala UI" w:hAnsi="Nirmala UI" w:eastAsia="Nirmala UI" w:cs="Nirmala UI"/>
        </w:rPr>
        <w:t>दृष्टिकोण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तत्व</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मुस्लिम</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अधिकांश</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शान्तिप्रिय</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 Coran enseigne qu’il est du devoir de tout disciple d’Allah de faire entrer le monde entier en conformité avec la loi de la charia, et la première mention de l’islam dans le livre de la Genèse indique que l’esprit de « l’homme sauvage » d’Ismaël se retrouvera en tout adepte de l’islam. Le Coran enseigne directement à ses adhérents de feindre la bienséance lorsqu’ils vivent dans des régions où ils n’ont pas encore la capacité d’imposer leur domination religieuse à la population, à l’instar du catholicisme.</w:t>
      </w:r>
    </w:p>
    <w:p>
      <w:pPr>
        <w:pStyle w:val="ArticleBody"/>
        <w:jc w:val="left"/>
      </w:pPr>
      <w:r>
        <w:rPr>
          <w:rFonts w:ascii="Times New Roman" w:hAnsi="Times New Roman" w:eastAsia="Times New Roman" w:cs="Times New Roman"/>
        </w:rPr>
        <w:t>Umprofethi ovela kwaJuda wabhekana noJerobhowamu lapho umbuso wakhe usanda kumiswa. UbuProthestani obuhlubukileyo baqala ngo-1844, futhi ngokushesha babhekana ne-Adventism yamaMillerite eyayisingene eNdaweni eNgcwelengcwele Kakhulu futhi yathola umthetho kaNkulunkulu, kuhlanganisa neSabatha losuku lwesikhombisa. I-Adventism yamaMillerite yatshelwa, njengoba imelwe nguJeremiya, ukuba ibuyele kuNkulunkulu, kodwa ingaphinde ibuyele “ebandleni labaklolodeli.” Umprofethi ovela kwaJuda watshelwa ukuba angabuyi ngendlela efanayo afike ngayo, futhi angadli noma aphuze ukudla komprofethi wamanga waseBetheli, kodwa wakwenza lokho. Ukufa komprofethi ovela kwaJuda kwabekwa ngokomfanekiso phakathi kwezimpawu ezimbili ezazimele upapa nobuSulumane. I-Adventism yaseLawodikea ayikwazi ukubona lawo maqiniso amabili, ngokuba ngo-1863 yakhupha wona amehlo ayo omoya, yaqala nenqubo yokumboza amagugu nendlela yokusebenza eyasetshenziswa nguWilliam Miller ukuze kumiswe izisekelo ze-Adventism ngezinhlamvu zemali zomgunyathi namagugu omgunyathi, kanye nendlela yokusebenza yoBuProthestani obuhlubukileyo nobuKatolika.</w:t>
      </w:r>
    </w:p>
    <w:p>
      <w:pPr>
        <w:pStyle w:val="ArticleBody"/>
        <w:jc w:val="left"/>
      </w:pPr>
      <w:r>
        <w:rPr>
          <w:rFonts w:ascii="Times New Roman" w:hAnsi="Times New Roman" w:eastAsia="Times New Roman" w:cs="Times New Roman"/>
        </w:rPr>
        <w:t>L’« Homme au balai de poussière » est maintenant en train de balayer Son aire, de restaurer les joyaux et de les donner à Miller pour qu’il les place sur sa table ; mais l’adventisme est aveuglé par la croyance qu’il constitue le peuple du reste, suscité comme Son peuple en 1844.</w:t>
      </w:r>
    </w:p>
    <w:p>
      <w:pPr>
        <w:pStyle w:val="ArticleScripture"/>
        <w:jc w:val="left"/>
      </w:pPr>
      <w:r>
        <w:rPr>
          <w:rFonts w:ascii="Times New Roman" w:hAnsi="Times New Roman" w:eastAsia="Times New Roman" w:cs="Times New Roman"/>
        </w:rPr>
        <w:t>At huwag ninyong isiping sabihin sa inyong sarili, Mayroon kaming si Abraham na aming ama; sapagkat sinasabi ko sa inyo na magagawa ng Dios mula sa mga batong ito na magbangon ng mga anak kay Abraham. At ngayon din naman ang palakol ay nakalapat na sa ugat ng mga punongkahoy: kaya ang bawa’t punongkahoy na hindi nagbubunga ng mabuting bunga ay pinuputol at inihahagis sa apoy. Sa katotohanan ay binautismuhan ko kayo sa tubig tungo sa pagsisisi: datapuwa’t ang dumarating sa hulihan ko ay lalong makapangyarihan kay sa akin, na hindi ako karapatdapat magdala ng kaniyang mga panyapak: siya ang sa inyo’y magbabautismo sa Espiritu Santo, at sa apoy: Na ang kaniyang kalaykay ay nasa kaniyang kamay, at lubos niyang lilinisin ang kaniyang giikan, at titipunin ang kaniyang trigo sa bangan; datapuwa’t susunugin niya ang ipa sa apoy na hindi mapapatay. Mateo 3:9–12.</w:t>
      </w:r>
    </w:p>
    <w:p>
      <w:pPr>
        <w:pStyle w:val="ArticleBody"/>
        <w:jc w:val="left"/>
      </w:pPr>
      <w:r>
        <w:rPr>
          <w:rFonts w:ascii="Times New Roman" w:hAnsi="Times New Roman" w:eastAsia="Times New Roman" w:cs="Times New Roman"/>
        </w:rPr>
        <w:t>L’Adventisme laodicéen sera vomi de la bouche du Seigneur, à l’exception des individus qui pourraient se repentir. L’Adventisme laodicéen doit être enseveli dans la même tombe que celle où sont ensevelis les anciens membres du peuple de l’alliance qui rejetèrent le message de Miller, car eux aussi sont désormais un ancien peuple de l’alliance par rapport aux cent quarante-quatre mille. La rébellion de 1863 est illustrée par le prophète venu de Juda, lequel laissa aussi une prédiction concernant le roi Josias.</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“Dunia se menyerupai bukannya, sebaliknya kita harus makin lama makin berbeda dari dunia. Setan telah bergabung dan akan terus bergabung dengan gereja-gereja dalam mengerahkan suatu usaha yang sangat cakap melawan kebenaran Allah. Segala sesuatu yang dilakukan oleh umat Allah untuk menerobos dunia akan membangkitkan perlawanan yang tegas dari kuasa-kuasa kegelapan. Pertentangan besar terakhir dari musuh akan merupakan suatu pertarungan yang paling sengit. Itulah peperangan terakhir antara kuasa-kuasa kegelapan dan kuasa-kuasa terang. Setiap anak Allah yang sejati akan berjuang dengan gagah berani di pihak Kristus. Mereka yang dalam krisis besar ini membiarkan diri mereka lebih berada di pihak dunia daripada di pihak Allah, pada akhirnya akan menempatkan diri mereka sepenuhnya di pihak dunia. Mereka yang menjadi bingung dalam pengertian mereka tentang firman, yang gagal melihat makna antikristus, pasti akan menempatkan diri mereka di pihak antikristus. Sekarang bukanlah waktunya bagi kita untuk berbaur dengan dunia. Daniel berdiri dalam bagiannya dan di tempatnya. Nubuatan-nubuatan Daniel dan Yohanes harus dipahami. Nubuatan-nubuatan itu saling menafsirkan. Nubuatan-nubuatan itu memberikan kepada dunia kebenaran-kebenaran yang harus dipahami oleh setiap orang. Nubuatan-nubuatan ini harus menjadi kesaksian di dalam dunia. Melalui penggenapannya pada hari-hari terakhir ini, nubuatan-nubuatan itu akan menjelaskan dirinya sendiri.”</w:t>
      </w:r>
    </w:p>
    <w:p>
      <w:pPr>
        <w:pStyle w:val="ArticleScripture"/>
        <w:jc w:val="left"/>
      </w:pPr>
      <w:r>
        <w:rPr>
          <w:rFonts w:ascii="Times New Roman" w:hAnsi="Times New Roman" w:eastAsia="Times New Roman" w:cs="Times New Roman"/>
        </w:rPr>
        <w:t>“Bwana yu karibu kuuadhibu ulimwengu kwa sababu ya uovu wake. Yu karibu kuziadhibu jumuiya za kidini kwa sababu ya kuukataa kwao ule nuru na ukweli waliokabidhiwa. Ujumbe mkuu, unaounganisha ujumbe wa malaika wa kwanza, wa pili, na wa tatu, unapaswa kutangazwa kwa ulimwengu. Huo ndio unaopaswa kuwa mzigo wa kazi yetu. Wale wanaomwamini Kristo kwa kweli wataufuata waziwazi sheria ya Yehova. Sabato ndiyo ishara iliyo kati ya Mungu na watu Wake, nasi tunapaswa kudhihirisha kwa wazi ulinganifu wetu na sheria ya Mungu kwa kuishika Sabato. Hiyo inapaswa kuwa alama ya utofauti kati ya watu wateule wa Mungu na ulimwengu. Ina maana kubwa kuwa waaminifu kwa Mungu. Hili lajumuisha matengenezo ya afya. Hii ina maana kwamba chakula chetu kinapaswa kuwa rahisi, kwamba tunapaswa kuwa na kiasi katika mambo yote. Aina nyingi za vyakula zinazoonekana mara nyingi mezani si za lazima, bali zina madhara makubwa sana. Akili na mwili vinapaswa kuhifadhiwa katika hali bora kabisa ya afya. Ni wale tu waliofundishwa katika maarifa na kumcha Mungu wanaopaswa kuchaguliwa kubeba madaraka. Wale ambao wamekuwa katika kweli kwa muda mrefu, lakini hawawezi kutofautisha kati ya kanuni safi za haki na kanuni za uovu, ambao ufahamu wao kuhusu haki, rehema, na upendo wa Mungu umefifishwa, wanapaswa kuondolewa katika wajibu.”</w:t>
      </w:r>
    </w:p>
    <w:p>
      <w:pPr>
        <w:pStyle w:val="ArticleScripture"/>
        <w:jc w:val="left"/>
      </w:pPr>
      <w:r>
        <w:rPr>
          <w:rFonts w:ascii="Times New Roman" w:hAnsi="Times New Roman" w:eastAsia="Times New Roman" w:cs="Times New Roman"/>
        </w:rPr>
        <w:t>“Nyankopɔn wɔ adesua a ɛho hia ma ne nkurɔfo sɛ wɔsua. Sɛ anka wɔasua saa adesua yi dada a, anka ne adwuma renka baabi a ɛwɔ nnɛ yi. Ɛsɛ sɛ wɔyɛ ade baako. Ɛnsɛ sɛ wokora nokware no so fi asɔfo anaa mmarima a wɔwɔ asɛyɛdeɛ so no so, esiane sɛ wɔsuro sɛ wɔbɛhunu wɔn animguaseɛ nti. Ɛsɛ sɛ wɔde mmarima a wɔde odwo ne nyansa bɛka Nyankopɔn afotu nyinaa no nyinaa bom ma yɛn adwumakuo ahodoɔ no. Nyankopɔn abufuo asɔre atia wɔn a, wɔnam honam mu ahotɔ ne ahantan so ada animtiaabu adi akyerɛ ne nhyehyɛeɛ so no. Wɔde asɛm no yiyɛrenhyɛ asiane mu.”</w:t>
      </w:r>
    </w:p>
    <w:p>
      <w:pPr>
        <w:pStyle w:val="ArticleScripture"/>
        <w:jc w:val="left"/>
      </w:pPr>
      <w:r>
        <w:rPr>
          <w:rFonts w:ascii="Times New Roman" w:hAnsi="Times New Roman" w:eastAsia="Times New Roman" w:cs="Times New Roman"/>
        </w:rPr>
        <w:t>“</w:t>
      </w:r>
      <w:r>
        <w:rPr>
          <w:rFonts w:ascii="Nirmala UI" w:hAnsi="Nirmala UI" w:eastAsia="Nirmala UI" w:cs="Nirmala UI"/>
        </w:rPr>
        <w:t>હર</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છેતરપિંડી</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સ્થિર</w:t>
      </w:r>
      <w:r>
        <w:rPr>
          <w:rFonts w:ascii="Times New Roman" w:hAnsi="Times New Roman" w:eastAsia="Times New Roman" w:cs="Times New Roman"/>
        </w:rPr>
        <w:t xml:space="preserve"> </w:t>
      </w:r>
      <w:r>
        <w:rPr>
          <w:rFonts w:ascii="Nirmala UI" w:hAnsi="Nirmala UI" w:eastAsia="Nirmala UI" w:cs="Nirmala UI"/>
        </w:rPr>
        <w:t>રહેવાય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વિનાશ</w:t>
      </w:r>
      <w:r>
        <w:rPr>
          <w:rFonts w:ascii="Times New Roman" w:hAnsi="Times New Roman" w:eastAsia="Times New Roman" w:cs="Times New Roman"/>
        </w:rPr>
        <w:t xml:space="preserve"> </w:t>
      </w:r>
      <w:r>
        <w:rPr>
          <w:rFonts w:ascii="Nirmala UI" w:hAnsi="Nirmala UI" w:eastAsia="Nirmala UI" w:cs="Nirmala UI"/>
        </w:rPr>
        <w:t>લાવે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યોજનાઓને</w:t>
      </w:r>
      <w:r>
        <w:rPr>
          <w:rFonts w:ascii="Times New Roman" w:hAnsi="Times New Roman" w:eastAsia="Times New Roman" w:cs="Times New Roman"/>
        </w:rPr>
        <w:t xml:space="preserve"> </w:t>
      </w:r>
      <w:r>
        <w:rPr>
          <w:rFonts w:ascii="Nirmala UI" w:hAnsi="Nirmala UI" w:eastAsia="Nirmala UI" w:cs="Nirmala UI"/>
        </w:rPr>
        <w:t>જાળવી</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નાશ</w:t>
      </w:r>
      <w:r>
        <w:rPr>
          <w:rFonts w:ascii="Times New Roman" w:hAnsi="Times New Roman" w:eastAsia="Times New Roman" w:cs="Times New Roman"/>
        </w:rPr>
        <w:t xml:space="preserve"> </w:t>
      </w:r>
      <w:r>
        <w:rPr>
          <w:rFonts w:ascii="Nirmala UI" w:hAnsi="Nirmala UI" w:eastAsia="Nirmala UI" w:cs="Nirmala UI"/>
        </w:rPr>
        <w:t>પામવા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પ્રભુ</w:t>
      </w:r>
      <w:r>
        <w:rPr>
          <w:rFonts w:ascii="Times New Roman" w:hAnsi="Times New Roman" w:eastAsia="Times New Roman" w:cs="Times New Roman"/>
        </w:rPr>
        <w:t xml:space="preserve"> </w:t>
      </w:r>
      <w:r>
        <w:rPr>
          <w:rFonts w:ascii="Nirmala UI" w:hAnsi="Nirmala UI" w:eastAsia="Nirmala UI" w:cs="Nirmala UI"/>
        </w:rPr>
        <w:t>મંજૂરી</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બરાબર</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સ્તુતિ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ચાપલૂસીના</w:t>
      </w:r>
      <w:r>
        <w:rPr>
          <w:rFonts w:ascii="Times New Roman" w:hAnsi="Times New Roman" w:eastAsia="Times New Roman" w:cs="Times New Roman"/>
        </w:rPr>
        <w:t xml:space="preserve"> </w:t>
      </w:r>
      <w:r>
        <w:rPr>
          <w:rFonts w:ascii="Nirmala UI" w:hAnsi="Nirmala UI" w:eastAsia="Nirmala UI" w:cs="Nirmala UI"/>
        </w:rPr>
        <w:t>સ્વર</w:t>
      </w:r>
      <w:r>
        <w:rPr>
          <w:rFonts w:ascii="Times New Roman" w:hAnsi="Times New Roman" w:eastAsia="Times New Roman" w:cs="Times New Roman"/>
        </w:rPr>
        <w:t xml:space="preserve"> </w:t>
      </w:r>
      <w:r>
        <w:rPr>
          <w:rFonts w:ascii="Nirmala UI" w:hAnsi="Nirmala UI" w:eastAsia="Nirmala UI" w:cs="Nirmala UI"/>
        </w:rPr>
        <w:t>સાંભળવામાં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અચાનક</w:t>
      </w:r>
      <w:r>
        <w:rPr>
          <w:rFonts w:ascii="Times New Roman" w:hAnsi="Times New Roman" w:eastAsia="Times New Roman" w:cs="Times New Roman"/>
        </w:rPr>
        <w:t xml:space="preserve"> </w:t>
      </w:r>
      <w:r>
        <w:rPr>
          <w:rFonts w:ascii="Nirmala UI" w:hAnsi="Nirmala UI" w:eastAsia="Nirmala UI" w:cs="Nirmala UI"/>
        </w:rPr>
        <w:t>વિનાશ</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પડે</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કેટલાક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લોકોએ</w:t>
      </w:r>
      <w:r>
        <w:rPr>
          <w:rFonts w:ascii="Times New Roman" w:hAnsi="Times New Roman" w:eastAsia="Times New Roman" w:cs="Times New Roman"/>
        </w:rPr>
        <w:t xml:space="preserve"> </w:t>
      </w:r>
      <w:r>
        <w:rPr>
          <w:rFonts w:ascii="Nirmala UI" w:hAnsi="Nirmala UI" w:eastAsia="Nirmala UI" w:cs="Nirmala UI"/>
        </w:rPr>
        <w:t>અવિશ્વાસુપણાને</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પ્રાપ્ત</w:t>
      </w:r>
      <w:r>
        <w:rPr>
          <w:rFonts w:ascii="Times New Roman" w:hAnsi="Times New Roman" w:eastAsia="Times New Roman" w:cs="Times New Roman"/>
        </w:rPr>
        <w:t xml:space="preserve"> </w:t>
      </w:r>
      <w:r>
        <w:rPr>
          <w:rFonts w:ascii="Nirmala UI" w:hAnsi="Nirmala UI" w:eastAsia="Nirmala UI" w:cs="Nirmala UI"/>
        </w:rPr>
        <w:t>કરેલા</w:t>
      </w:r>
      <w:r>
        <w:rPr>
          <w:rFonts w:ascii="Times New Roman" w:hAnsi="Times New Roman" w:eastAsia="Times New Roman" w:cs="Times New Roman"/>
        </w:rPr>
        <w:t xml:space="preserve"> </w:t>
      </w:r>
      <w:r>
        <w:rPr>
          <w:rFonts w:ascii="Nirmala UI" w:hAnsi="Nirmala UI" w:eastAsia="Nirmala UI" w:cs="Nirmala UI"/>
        </w:rPr>
        <w:t>ઠપકાની</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 xml:space="preserve">, </w:t>
      </w:r>
      <w:r>
        <w:rPr>
          <w:rFonts w:ascii="Nirmala UI" w:hAnsi="Nirmala UI" w:eastAsia="Nirmala UI" w:cs="Nirmala UI"/>
        </w:rPr>
        <w:t>ચેતવણીથી</w:t>
      </w:r>
      <w:r>
        <w:rPr>
          <w:rFonts w:ascii="Times New Roman" w:hAnsi="Times New Roman" w:eastAsia="Times New Roman" w:cs="Times New Roman"/>
        </w:rPr>
        <w:t xml:space="preserve"> </w:t>
      </w:r>
      <w:r>
        <w:rPr>
          <w:rFonts w:ascii="Nirmala UI" w:hAnsi="Nirmala UI" w:eastAsia="Nirmala UI" w:cs="Nirmala UI"/>
        </w:rPr>
        <w:t>મોઢું</w:t>
      </w:r>
      <w:r>
        <w:rPr>
          <w:rFonts w:ascii="Times New Roman" w:hAnsi="Times New Roman" w:eastAsia="Times New Roman" w:cs="Times New Roman"/>
        </w:rPr>
        <w:t xml:space="preserve"> </w:t>
      </w:r>
      <w:r>
        <w:rPr>
          <w:rFonts w:ascii="Nirmala UI" w:hAnsi="Nirmala UI" w:eastAsia="Nirmala UI" w:cs="Nirmala UI"/>
        </w:rPr>
        <w:t>ફેરવી</w:t>
      </w:r>
      <w:r>
        <w:rPr>
          <w:rFonts w:ascii="Times New Roman" w:hAnsi="Times New Roman" w:eastAsia="Times New Roman" w:cs="Times New Roman"/>
        </w:rPr>
        <w:t xml:space="preserve"> </w:t>
      </w:r>
      <w:r>
        <w:rPr>
          <w:rFonts w:ascii="Nirmala UI" w:hAnsi="Nirmala UI" w:eastAsia="Nirmala UI" w:cs="Nirmala UI"/>
        </w:rPr>
        <w:t>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દ્વિગુણ</w:t>
      </w:r>
      <w:r>
        <w:rPr>
          <w:rFonts w:ascii="Times New Roman" w:hAnsi="Times New Roman" w:eastAsia="Times New Roman" w:cs="Times New Roman"/>
        </w:rPr>
        <w:t xml:space="preserve"> </w:t>
      </w:r>
      <w:r>
        <w:rPr>
          <w:rFonts w:ascii="Nirmala UI" w:hAnsi="Nirmala UI" w:eastAsia="Nirmala UI" w:cs="Nirmala UI"/>
        </w:rPr>
        <w:t>દોષી</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પ્રભુની</w:t>
      </w:r>
      <w:r>
        <w:rPr>
          <w:rFonts w:ascii="Times New Roman" w:hAnsi="Times New Roman" w:eastAsia="Times New Roman" w:cs="Times New Roman"/>
        </w:rPr>
        <w:t xml:space="preserve"> </w:t>
      </w:r>
      <w:r>
        <w:rPr>
          <w:rFonts w:ascii="Nirmala UI" w:hAnsi="Nirmala UI" w:eastAsia="Nirmala UI" w:cs="Nirmala UI"/>
        </w:rPr>
        <w:t>ઇચ્છા</w:t>
      </w:r>
      <w:r>
        <w:rPr>
          <w:rFonts w:ascii="Times New Roman" w:hAnsi="Times New Roman" w:eastAsia="Times New Roman" w:cs="Times New Roman"/>
        </w:rPr>
        <w:t xml:space="preserve"> </w:t>
      </w:r>
      <w:r>
        <w:rPr>
          <w:rFonts w:ascii="Nirmala UI" w:hAnsi="Nirmala UI" w:eastAsia="Nirmala UI" w:cs="Nirmala UI"/>
        </w:rPr>
        <w:t>જાણતા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અનુસર્યું</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સજા</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દોષના</w:t>
      </w:r>
      <w:r>
        <w:rPr>
          <w:rFonts w:ascii="Times New Roman" w:hAnsi="Times New Roman" w:eastAsia="Times New Roman" w:cs="Times New Roman"/>
        </w:rPr>
        <w:t xml:space="preserve"> </w:t>
      </w:r>
      <w:r>
        <w:rPr>
          <w:rFonts w:ascii="Nirmala UI" w:hAnsi="Nirmala UI" w:eastAsia="Nirmala UI" w:cs="Nirmala UI"/>
        </w:rPr>
        <w:t>પ્રમાણમાં</w:t>
      </w:r>
      <w:r>
        <w:rPr>
          <w:rFonts w:ascii="Times New Roman" w:hAnsi="Times New Roman" w:eastAsia="Times New Roman" w:cs="Times New Roman"/>
        </w:rPr>
        <w:t xml:space="preserve"> </w:t>
      </w:r>
      <w:r>
        <w:rPr>
          <w:rFonts w:ascii="Nirmala UI" w:hAnsi="Nirmala UI" w:eastAsia="Nirmala UI" w:cs="Nirmala UI"/>
        </w:rPr>
        <w:t>થશે</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પ્રભુના</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ધ્યાન</w:t>
      </w:r>
      <w:r>
        <w:rPr>
          <w:rFonts w:ascii="Times New Roman" w:hAnsi="Times New Roman" w:eastAsia="Times New Roman" w:cs="Times New Roman"/>
        </w:rPr>
        <w:t xml:space="preserve"> </w:t>
      </w:r>
      <w:r>
        <w:rPr>
          <w:rFonts w:ascii="Nirmala UI" w:hAnsi="Nirmala UI" w:eastAsia="Nirmala UI" w:cs="Nirmala UI"/>
        </w:rPr>
        <w:t>આપવું</w:t>
      </w:r>
      <w:r>
        <w:rPr>
          <w:rFonts w:ascii="Times New Roman" w:hAnsi="Times New Roman" w:eastAsia="Times New Roman" w:cs="Times New Roman"/>
        </w:rPr>
        <w:t xml:space="preserve"> </w:t>
      </w:r>
      <w:r>
        <w:rPr>
          <w:rFonts w:ascii="Nirmala UI" w:hAnsi="Nirmala UI" w:eastAsia="Nirmala UI" w:cs="Nirmala UI"/>
        </w:rPr>
        <w:t>ઇચ્છ્યું</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soixante-seize</dc:title>
  <dc:subject>Dévoiler les prophéties : le rejet de la lumière en 1856 et ses conséquences</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