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شمارۀ هفتاد و نهم</w:t>
      </w:r>
    </w:p>
    <w:p>
      <w:pPr>
        <w:pStyle w:val="ArticleSubtitle"/>
        <w:jc w:val="left"/>
      </w:pPr>
      <w:r>
        <w:rPr>
          <w:rFonts w:ascii="Arial" w:hAnsi="Arial" w:eastAsia="Arial" w:cs="Arial"/>
        </w:rPr>
        <w:t>Dévoilement de la rébellion de 1888 : leçons tirées de la deuxième génération de l’adventisme laodicéen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1888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재림신앙의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세대가</w:t>
      </w:r>
      <w:r>
        <w:rPr>
          <w:rFonts w:ascii="Times New Roman" w:hAnsi="Times New Roman" w:eastAsia="Times New Roman" w:cs="Times New Roman"/>
        </w:rPr>
        <w:t xml:space="preserve"> </w:t>
      </w:r>
      <w:r>
        <w:rPr>
          <w:rFonts w:ascii="Malgun Gothic" w:hAnsi="Malgun Gothic" w:eastAsia="Malgun Gothic" w:cs="Malgun Gothic"/>
        </w:rPr>
        <w:t>도래하였으며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세대는</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8</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상징적으로</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형상의</w:t>
      </w:r>
      <w:r>
        <w:rPr>
          <w:rFonts w:ascii="Times New Roman" w:hAnsi="Times New Roman" w:eastAsia="Times New Roman" w:cs="Times New Roman"/>
        </w:rPr>
        <w:t xml:space="preserve"> </w:t>
      </w:r>
      <w:r>
        <w:rPr>
          <w:rFonts w:ascii="Malgun Gothic" w:hAnsi="Malgun Gothic" w:eastAsia="Malgun Gothic" w:cs="Malgun Gothic"/>
        </w:rPr>
        <w:t>방들</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가증한</w:t>
      </w:r>
      <w:r>
        <w:rPr>
          <w:rFonts w:ascii="Times New Roman" w:hAnsi="Times New Roman" w:eastAsia="Times New Roman" w:cs="Times New Roman"/>
        </w:rPr>
        <w:t xml:space="preserve"> </w:t>
      </w:r>
      <w:r>
        <w:rPr>
          <w:rFonts w:ascii="Malgun Gothic" w:hAnsi="Malgun Gothic" w:eastAsia="Malgun Gothic" w:cs="Malgun Gothic"/>
        </w:rPr>
        <w:t>일이다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Mwen antre, mwen wè; epi gade, tout fòm bèt k ap trennen, ak bèt abominab, ansanm ak tout zidòl kay Izrayèl la, te trase sou miray la toupatou. Epi te gen swasanndis granmoun pami ansyen yo nan kay Izrayèl la ki te kanpe devan yo, e nan mitan yo te kanpe Jaazanya, pitit gason Chafan an; chak moun te gen lansanwa li nan men li, epi yon nwaj epè lansan t ap monte. Lè sa a li di m: Pitit lòm, èske ou wè sa ansyen yo nan kay Izrayèl la ap fè nan fènwa, chak moun nan chanm imaj li yo? Paske yo di: Seyè a pa wè nou; Seyè a abandone tè a. Ezekyèl 8:10–12.</w:t>
      </w:r>
    </w:p>
    <w:p>
      <w:pPr>
        <w:pStyle w:val="ArticleBody"/>
        <w:jc w:val="left"/>
      </w:pPr>
      <w:r>
        <w:rPr>
          <w:rFonts w:ascii="Times New Roman" w:hAnsi="Times New Roman" w:eastAsia="Times New Roman" w:cs="Times New Roman"/>
        </w:rPr>
        <w:t>Les chambres d’images représentent les secrets impies qui résident dans le cœur de ceux qui sont figurés comme les anciens, et ils ont introduit cette même impiété non seulement dans les chambres de leur pensée, mais aussi dans les chambres du sanctuaire de Dieu.</w:t>
      </w:r>
    </w:p>
    <w:p>
      <w:pPr>
        <w:pStyle w:val="ArticleScripture"/>
        <w:jc w:val="left"/>
      </w:pPr>
      <w:r>
        <w:rPr>
          <w:rFonts w:ascii="Times New Roman" w:hAnsi="Times New Roman" w:eastAsia="Times New Roman" w:cs="Times New Roman"/>
        </w:rPr>
        <w:t>Ne mange pas le pain de celui qui a l’œil mauvais, et ne convoite pas ses mets délicats; car, comme il pense en son cœur, tel il est. « Mange et bois », te dit-il; mais son cœur n’est point avec toi. Proverbes 23:6, 7.</w:t>
      </w:r>
    </w:p>
    <w:p>
      <w:pPr>
        <w:pStyle w:val="ArticleBody"/>
        <w:jc w:val="left"/>
      </w:pPr>
      <w:r>
        <w:rPr>
          <w:rFonts w:ascii="Times New Roman" w:hAnsi="Times New Roman" w:eastAsia="Times New Roman" w:cs="Times New Roman"/>
        </w:rPr>
        <w:t>Lè mechanste chanm imaj yo ekri ni sou mi tanp lan ni sou mi lespri ansyen yo. Chanm sekrè imaj yo nan dezyèm abominasyon Ezekyèl chapit uit la reprezante dezyèm jenerasyon Advantis Laodise a; e pami kat abominasyon yo, se dezyèm abominasyon an ki pran plis tan pou mete anfas yon rebelyon kolektif, byenke yo prezante kat yo tout kòm zak mesye yo ki te sipoze gadyen pèp la.</w:t>
      </w:r>
    </w:p>
    <w:p>
      <w:pPr>
        <w:pStyle w:val="ArticleScripture"/>
        <w:jc w:val="left"/>
      </w:pPr>
      <w:r>
        <w:rPr>
          <w:rFonts w:ascii="Times New Roman" w:hAnsi="Times New Roman" w:eastAsia="Times New Roman" w:cs="Times New Roman"/>
        </w:rPr>
        <w:t>“</w:t>
      </w:r>
      <w:r>
        <w:rPr>
          <w:rFonts w:ascii="Nirmala UI" w:hAnsi="Nirmala UI" w:eastAsia="Nirmala UI" w:cs="Nirmala UI"/>
        </w:rPr>
        <w:t>දැහැමි</w:t>
      </w:r>
      <w:r>
        <w:rPr>
          <w:rFonts w:ascii="Times New Roman" w:hAnsi="Times New Roman" w:eastAsia="Times New Roman" w:cs="Times New Roman"/>
        </w:rPr>
        <w:t xml:space="preserve"> </w:t>
      </w:r>
      <w:r>
        <w:rPr>
          <w:rFonts w:ascii="Nirmala UI" w:hAnsi="Nirmala UI" w:eastAsia="Nirmala UI" w:cs="Nirmala UI"/>
        </w:rPr>
        <w:t>වළඳවාගැනීමේ</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සිදුකරනු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අපවිත්</w:t>
      </w:r>
      <w:r>
        <w:rPr>
          <w:rFonts w:ascii="Times New Roman" w:hAnsi="Times New Roman" w:eastAsia="Times New Roman" w:cs="Times New Roman"/>
        </w:rPr>
        <w:t>‍</w:t>
      </w:r>
      <w:r>
        <w:rPr>
          <w:rFonts w:ascii="Nirmala UI" w:hAnsi="Nirmala UI" w:eastAsia="Nirmala UI" w:cs="Nirmala UI"/>
        </w:rPr>
        <w:t>රකම්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සුසුම්</w:t>
      </w:r>
      <w:r>
        <w:rPr>
          <w:rFonts w:ascii="Times New Roman" w:hAnsi="Times New Roman" w:eastAsia="Times New Roman" w:cs="Times New Roman"/>
        </w:rPr>
        <w:t xml:space="preserve"> </w:t>
      </w:r>
      <w:r>
        <w:rPr>
          <w:rFonts w:ascii="Nirmala UI" w:hAnsi="Nirmala UI" w:eastAsia="Nirmala UI" w:cs="Nirmala UI"/>
        </w:rPr>
        <w:t>හෙළමින්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මොරගසන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මරණයේ</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පිටත්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සංහාරක</w:t>
      </w:r>
      <w:r>
        <w:rPr>
          <w:rFonts w:ascii="Times New Roman" w:hAnsi="Times New Roman" w:eastAsia="Times New Roman" w:cs="Times New Roman"/>
        </w:rPr>
        <w:t xml:space="preserve"> </w:t>
      </w:r>
      <w:r>
        <w:rPr>
          <w:rFonts w:ascii="Nirmala UI" w:hAnsi="Nirmala UI" w:eastAsia="Nirmala UI" w:cs="Nirmala UI"/>
        </w:rPr>
        <w:t>අවි</w:t>
      </w:r>
      <w:r>
        <w:rPr>
          <w:rFonts w:ascii="Times New Roman" w:hAnsi="Times New Roman" w:eastAsia="Times New Roman" w:cs="Times New Roman"/>
        </w:rPr>
        <w:t xml:space="preserve"> </w:t>
      </w:r>
      <w:r>
        <w:rPr>
          <w:rFonts w:ascii="Nirmala UI" w:hAnsi="Nirmala UI" w:eastAsia="Nirmala UI" w:cs="Nirmala UI"/>
        </w:rPr>
        <w:t>දරා</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මිනිසුන්</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ආඥාව</w:t>
      </w:r>
      <w:r>
        <w:rPr>
          <w:rFonts w:ascii="Times New Roman" w:hAnsi="Times New Roman" w:eastAsia="Times New Roman" w:cs="Times New Roman"/>
        </w:rPr>
        <w:t xml:space="preserve"> </w:t>
      </w:r>
      <w:r>
        <w:rPr>
          <w:rFonts w:ascii="Nirmala UI" w:hAnsi="Nirmala UI" w:eastAsia="Nirmala UI" w:cs="Nirmala UI"/>
        </w:rPr>
        <w:t>මෙයයි</w:t>
      </w:r>
      <w:r>
        <w:rPr>
          <w:rFonts w:ascii="Times New Roman" w:hAnsi="Times New Roman" w:eastAsia="Times New Roman" w:cs="Times New Roman"/>
        </w:rPr>
        <w:t>: ‘</w:t>
      </w:r>
      <w:r>
        <w:rPr>
          <w:rFonts w:ascii="Nirmala UI" w:hAnsi="Nirmala UI" w:eastAsia="Nirmala UI" w:cs="Nirmala UI"/>
        </w:rPr>
        <w:t>මහලුන්ද</w:t>
      </w:r>
      <w:r>
        <w:rPr>
          <w:rFonts w:ascii="Times New Roman" w:hAnsi="Times New Roman" w:eastAsia="Times New Roman" w:cs="Times New Roman"/>
        </w:rPr>
        <w:t xml:space="preserve"> </w:t>
      </w:r>
      <w:r>
        <w:rPr>
          <w:rFonts w:ascii="Nirmala UI" w:hAnsi="Nirmala UI" w:eastAsia="Nirmala UI" w:cs="Nirmala UI"/>
        </w:rPr>
        <w:t>තරුණයන්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කුඩා</w:t>
      </w:r>
      <w:r>
        <w:rPr>
          <w:rFonts w:ascii="Times New Roman" w:hAnsi="Times New Roman" w:eastAsia="Times New Roman" w:cs="Times New Roman"/>
        </w:rPr>
        <w:t xml:space="preserve"> </w:t>
      </w:r>
      <w:r>
        <w:rPr>
          <w:rFonts w:ascii="Nirmala UI" w:hAnsi="Nirmala UI" w:eastAsia="Nirmala UI" w:cs="Nirmala UI"/>
        </w:rPr>
        <w:t>දරුවන්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රීන්ද</w:t>
      </w:r>
      <w:r>
        <w:rPr>
          <w:rFonts w:ascii="Times New Roman" w:hAnsi="Times New Roman" w:eastAsia="Times New Roman" w:cs="Times New Roman"/>
        </w:rPr>
        <w:t xml:space="preserve"> </w:t>
      </w:r>
      <w:r>
        <w:rPr>
          <w:rFonts w:ascii="Nirmala UI" w:hAnsi="Nirmala UI" w:eastAsia="Nirmala UI" w:cs="Nirmala UI"/>
        </w:rPr>
        <w:t>සම්පූර්ණයෙන්</w:t>
      </w:r>
      <w:r>
        <w:rPr>
          <w:rFonts w:ascii="Times New Roman" w:hAnsi="Times New Roman" w:eastAsia="Times New Roman" w:cs="Times New Roman"/>
        </w:rPr>
        <w:t xml:space="preserve"> </w:t>
      </w:r>
      <w:r>
        <w:rPr>
          <w:rFonts w:ascii="Nirmala UI" w:hAnsi="Nirmala UI" w:eastAsia="Nirmala UI" w:cs="Nirmala UI"/>
        </w:rPr>
        <w:t>මරාදමන්න</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අසලටවත්</w:t>
      </w:r>
      <w:r>
        <w:rPr>
          <w:rFonts w:ascii="Times New Roman" w:hAnsi="Times New Roman" w:eastAsia="Times New Roman" w:cs="Times New Roman"/>
        </w:rPr>
        <w:t xml:space="preserve"> </w:t>
      </w:r>
      <w:r>
        <w:rPr>
          <w:rFonts w:ascii="Nirmala UI" w:hAnsi="Nirmala UI" w:eastAsia="Nirmala UI" w:cs="Nirmala UI"/>
        </w:rPr>
        <w:t>නොඑන්න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ශුද්ධස්ථානයෙන්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අනාගතවක්තෘ</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ගෘහය</w:t>
      </w:r>
      <w:r>
        <w:rPr>
          <w:rFonts w:ascii="Times New Roman" w:hAnsi="Times New Roman" w:eastAsia="Times New Roman" w:cs="Times New Roman"/>
        </w:rPr>
        <w:t xml:space="preserve"> </w:t>
      </w:r>
      <w:r>
        <w:rPr>
          <w:rFonts w:ascii="Nirmala UI" w:hAnsi="Nirmala UI" w:eastAsia="Nirmala UI" w:cs="Nirmala UI"/>
        </w:rPr>
        <w:t>ඉදිරියේ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වයස්ගත</w:t>
      </w:r>
      <w:r>
        <w:rPr>
          <w:rFonts w:ascii="Times New Roman" w:hAnsi="Times New Roman" w:eastAsia="Times New Roman" w:cs="Times New Roman"/>
        </w:rPr>
        <w:t xml:space="preserve"> </w:t>
      </w:r>
      <w:r>
        <w:rPr>
          <w:rFonts w:ascii="Nirmala UI" w:hAnsi="Nirmala UI" w:eastAsia="Nirmala UI" w:cs="Nirmala UI"/>
        </w:rPr>
        <w:t>මිනිසුන්ගෙන්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9:1–6. </w:t>
      </w:r>
      <w:r>
        <w:rPr>
          <w:rFonts w:ascii="Nirmala UI" w:hAnsi="Nirmala UI" w:eastAsia="Nirmala UI" w:cs="Nirmala UI"/>
        </w:rPr>
        <w:t>විනාශයේ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රැකවලුන්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මුරකාරයෝ</w:t>
      </w:r>
      <w:r>
        <w:rPr>
          <w:rFonts w:ascii="Times New Roman" w:hAnsi="Times New Roman" w:eastAsia="Times New Roman" w:cs="Times New Roman"/>
        </w:rPr>
        <w:t xml:space="preserve"> </w:t>
      </w:r>
      <w:r>
        <w:rPr>
          <w:rFonts w:ascii="Nirmala UI" w:hAnsi="Nirmala UI" w:eastAsia="Nirmala UI" w:cs="Nirmala UI"/>
        </w:rPr>
        <w:t>මුලින්ම</w:t>
      </w:r>
      <w:r>
        <w:rPr>
          <w:rFonts w:ascii="Times New Roman" w:hAnsi="Times New Roman" w:eastAsia="Times New Roman" w:cs="Times New Roman"/>
        </w:rPr>
        <w:t xml:space="preserve"> </w:t>
      </w:r>
      <w:r>
        <w:rPr>
          <w:rFonts w:ascii="Nirmala UI" w:hAnsi="Nirmala UI" w:eastAsia="Nirmala UI" w:cs="Nirmala UI"/>
        </w:rPr>
        <w:t>වැටෙති</w:t>
      </w:r>
      <w:r>
        <w:rPr>
          <w:rFonts w:ascii="Times New Roman" w:hAnsi="Times New Roman" w:eastAsia="Times New Roman" w:cs="Times New Roman"/>
        </w:rPr>
        <w:t xml:space="preserve">. </w:t>
      </w:r>
      <w:r>
        <w:rPr>
          <w:rFonts w:ascii="Nirmala UI" w:hAnsi="Nirmala UI" w:eastAsia="Nirmala UI" w:cs="Nirmala UI"/>
        </w:rPr>
        <w:t>අනුකම්පා</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ඉතුරු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කිසිවෙකුත්</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පුරුෂයෝ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කුඩා</w:t>
      </w:r>
      <w:r>
        <w:rPr>
          <w:rFonts w:ascii="Times New Roman" w:hAnsi="Times New Roman" w:eastAsia="Times New Roman" w:cs="Times New Roman"/>
        </w:rPr>
        <w:t xml:space="preserve"> </w:t>
      </w:r>
      <w:r>
        <w:rPr>
          <w:rFonts w:ascii="Nirmala UI" w:hAnsi="Nirmala UI" w:eastAsia="Nirmala UI" w:cs="Nirmala UI"/>
        </w:rPr>
        <w:t>දරුවෝ</w:t>
      </w:r>
      <w:r>
        <w:rPr>
          <w:rFonts w:ascii="Times New Roman" w:hAnsi="Times New Roman" w:eastAsia="Times New Roman" w:cs="Times New Roman"/>
        </w:rPr>
        <w:t xml:space="preserve"> </w:t>
      </w:r>
      <w:r>
        <w:rPr>
          <w:rFonts w:ascii="Nirmala UI" w:hAnsi="Nirmala UI" w:eastAsia="Nirmala UI" w:cs="Nirmala UI"/>
        </w:rPr>
        <w:t>එකටම</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The Great Controversy, 656.</w:t>
      </w:r>
    </w:p>
    <w:p>
      <w:pPr>
        <w:pStyle w:val="ArticleBody"/>
        <w:jc w:val="left"/>
      </w:pPr>
      <w:r>
        <w:rPr>
          <w:rFonts w:ascii="Times New Roman" w:hAnsi="Times New Roman" w:eastAsia="Times New Roman" w:cs="Times New Roman"/>
        </w:rPr>
        <w:t>A rebelião que assinala a chegada da segunda geração está especificamente associada à liderança do Adventismo laodiceano, conforme se cumpriu na sessão da Conferência Geral de 1888, em Minneapolis. Ela é representada pela expressão “anciãos da casa de Israel” e também pelos “setenta homens”. Foram setenta os anciãos associados à obra de Moisés, e o segundo grupo de discípulos de Jesus consistia em setenta homens. “Setenta” representa liderança, assim como “os anciãos”. A segunda abominação põe uma ênfase adicional sobre a liderança e, ao fazê-lo, põe a ênfase sobre a abominação como estando associada a uma rebelião corporativa da liderança.</w:t>
      </w:r>
    </w:p>
    <w:p>
      <w:pPr>
        <w:pStyle w:val="ArticleBody"/>
        <w:jc w:val="left"/>
      </w:pPr>
      <w:r>
        <w:rPr>
          <w:rFonts w:ascii="Times New Roman" w:hAnsi="Times New Roman" w:eastAsia="Times New Roman" w:cs="Times New Roman"/>
        </w:rPr>
        <w:t>Во средината на седумдесеттемина древни мажи стоеше „Јазанија, синот Сафанов“. Името „Јазанија“ значи „услишан од Бога“, и тој претставува водство што се побуни токму во времето кога Бог зборуваше; зашто го слушна Бога, но одби да послуша, бидејќи тврдеше дека Бог го оставил Својот народ и дека Бог не го гледа она што се случува во тајните одаи. Јазанија беше „син Сафанов“, а името „Сафан“ значи „да се сокрие“. Поставката на втората генерација претставува бунт на водството што се побуни токму во времето кога Бог зборуваше, и тие веруваа дека Бог не ги гледа ниту се грижи за нивните постапки.</w:t>
      </w:r>
    </w:p>
    <w:p>
      <w:pPr>
        <w:pStyle w:val="ArticleBody"/>
        <w:jc w:val="left"/>
      </w:pPr>
      <w:r>
        <w:rPr>
          <w:rFonts w:ascii="Times New Roman" w:hAnsi="Times New Roman" w:eastAsia="Times New Roman" w:cs="Times New Roman"/>
        </w:rPr>
        <w:t>Siostra White odnotowała, że ukazano jej rozmowy kierownictwa laodycejskiego adwentyzmu podczas Konferencji Generalnej w 1888 roku. Na Konferencji Generalnej w 1888 roku Bóg ukazał Siostrze White zebrania przywódców, które odbywali między sobą, gdy sądzili, że Bóg ich nie słyszy. Tam, w zaciszu swoich pokoi, wypowiadali zło przeciwko Siostrze White, jej synowi oraz starszym Jonesowi i Waggonerowi. Wierzyli, że mogą mówić swobodnie, ponieważ Bóg nie może ich widzieć w ich prywatnych pomieszczeniach, lecz Bóg ukazał prorokini właśnie te rozmowy. Znajdowali się na zgromadzeniu całego Kościoła i, zgodnie z natchnionym świadectwem, słyszeli poselstwo późnego deszczu, lecz odmówili słuchania.</w:t>
      </w:r>
    </w:p>
    <w:p>
      <w:pPr>
        <w:pStyle w:val="ArticleBody"/>
        <w:jc w:val="left"/>
      </w:pPr>
      <w:r>
        <w:rPr>
          <w:rFonts w:ascii="Times New Roman" w:hAnsi="Times New Roman" w:eastAsia="Times New Roman" w:cs="Times New Roman"/>
        </w:rPr>
        <w:t>Ni iki cyari cyabyaye ubuyobozi bugaragazaga ubugome bwo kwigomeka ku mugaragaro mu 1888, ku buryo Mushiki wa White yabugereranyije no kwigomeka kwa Korah, Datani na Abiramu?</w:t>
      </w:r>
    </w:p>
    <w:p>
      <w:pPr>
        <w:pStyle w:val="ArticleScripture"/>
        <w:jc w:val="left"/>
      </w:pPr>
      <w:r>
        <w:rPr>
          <w:rFonts w:ascii="Times New Roman" w:hAnsi="Times New Roman" w:eastAsia="Times New Roman" w:cs="Times New Roman"/>
        </w:rPr>
        <w:t>«وقتی به‌وسیلهٔ روح‌القدس منوّر شوید، آن همه شرارتِ مینیاپولیس را چنان‌که هست، همان‌گونه که خدا بر آن می‌نگرد، خواهید دید. اگر در این جهان هرگز بار دیگر شما را نبینم، یقین بدانید که اندوه و پریشانی و بارِ جان را که بی‌هیچ سبب بر من وارد آوردید، بر شما می‌بخشم. اما به‌خاطر جانِ شما، و به‌خاطر او که برای شما مرد، می‌خواهم خطاهای خود را ببینید و به آن‌ها اقرار کنید. شما با کسانی همدست شدید که در برابر روح خدا ایستادگی کردند. شما همهٔ شواهدی را که نیاز داشتید در اختیار داشتید که خداوند از طریق برادران جونز و واگنر عمل می‌کرد؛ اما نور را نپذیرفتید؛ و پس از احساساتی که در خود پروراندید و سخنانی که بر ضد حقیقت بر زبان آوردید، خود را آماده نیا‌فتید که اعتراف کنید خطا کرده‌اید، و این‌که این مردان پیامی از جانب خدا داشتند، و شما هم پیام و هم پیام‌آوران را خوار شمرده بودید.»</w:t>
      </w:r>
    </w:p>
    <w:p>
      <w:pPr>
        <w:pStyle w:val="ArticleScripture"/>
        <w:jc w:val="left"/>
      </w:pPr>
      <w:r>
        <w:rPr>
          <w:rFonts w:ascii="Times New Roman" w:hAnsi="Times New Roman" w:eastAsia="Times New Roman" w:cs="Times New Roman"/>
        </w:rPr>
        <w:t>“Akuzange ngaphambili ngibone phakathi kwabantu bakithi ukwaneliseka okuqinile kangaka ngokwabo nokungafuni ukwamukela nokuvuma ukukhanya njengoba kwabonakaliswa eMinneapolis. Ngibonisiwe ukuthi akukho noyedwa eqenjini lalabo ababegcine umoya owabonakaliswa kulowo mhlangano oyophinde abe nokukhanya okucacileyo kokwahlukanisa ubigugu beqiniso elathunyelwa kubo livela ezulwini kuze kube yilapho bethobisa ukuzigqaja kwabo futhi bevuma ukuthi babengaqhutshwa nguMoya kaNkulunkulu, kodwa ukuthi izingqondo nezinhliziyo zabo zazigcwele ubandlululo. INkosi yayifisa ukusondela kubo, ukubabusisa nokubaphulukisa ekuhlehlweni kwabo emuva, kodwa abazange balalele. Babeqhutshwa yilo kanye umoya owaphefumulela uKora, uDathani, no-Abiramu. Labo bantu bakwa-Israyeli babezimisele ukumelana nabo bonke ubufakazi obabuzobonisa ukuthi babephambene, futhi baqhubeka baqhubeka endleleni yabo yokunganeliseki kwenhliziyo kwaze kwaba yilapho abaningi bedonswa bahamba bayohlanganyela nabo.”</w:t>
      </w:r>
    </w:p>
    <w:p>
      <w:pPr>
        <w:pStyle w:val="ArticleScripture"/>
        <w:jc w:val="left"/>
      </w:pP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者</w:t>
      </w:r>
      <w:r>
        <w:rPr>
          <w:rFonts w:ascii="MS Gothic" w:hAnsi="MS Gothic" w:eastAsia="MS Gothic" w:cs="MS Gothic"/>
        </w:rPr>
        <w:t>たちはだれであったか</w:t>
      </w:r>
      <w:r>
        <w:rPr>
          <w:rFonts w:ascii="Times New Roman" w:hAnsi="Times New Roman" w:eastAsia="Times New Roman" w:cs="Times New Roman"/>
        </w:rPr>
        <w:t>.</w:t>
      </w:r>
      <w:r>
        <w:rPr>
          <w:rFonts w:ascii="Microsoft YaHei" w:hAnsi="Microsoft YaHei" w:eastAsia="Microsoft YaHei" w:cs="Microsoft YaHei"/>
        </w:rPr>
        <w:t>弱</w:t>
      </w:r>
      <w:r>
        <w:rPr>
          <w:rFonts w:ascii="MS Gothic" w:hAnsi="MS Gothic" w:eastAsia="MS Gothic" w:cs="MS Gothic"/>
        </w:rPr>
        <w:t>い</w:t>
      </w:r>
      <w:r>
        <w:rPr>
          <w:rFonts w:ascii="Microsoft YaHei" w:hAnsi="Microsoft YaHei" w:eastAsia="Microsoft YaHei" w:cs="Microsoft YaHei"/>
        </w:rPr>
        <w:t>者</w:t>
      </w:r>
      <w:r>
        <w:rPr>
          <w:rFonts w:ascii="MS Gothic" w:hAnsi="MS Gothic" w:eastAsia="MS Gothic" w:cs="MS Gothic"/>
        </w:rPr>
        <w:t>たちではなく</w:t>
      </w:r>
      <w:r>
        <w:rPr>
          <w:rFonts w:ascii="Microsoft YaHei" w:hAnsi="Microsoft YaHei" w:eastAsia="Microsoft YaHei" w:cs="Microsoft YaHei"/>
        </w:rPr>
        <w:t>、無知</w:t>
      </w:r>
      <w:r>
        <w:rPr>
          <w:rFonts w:ascii="MS Gothic" w:hAnsi="MS Gothic" w:eastAsia="MS Gothic" w:cs="MS Gothic"/>
        </w:rPr>
        <w:t>な</w:t>
      </w:r>
      <w:r>
        <w:rPr>
          <w:rFonts w:ascii="Microsoft YaHei" w:hAnsi="Microsoft YaHei" w:eastAsia="Microsoft YaHei" w:cs="Microsoft YaHei"/>
        </w:rPr>
        <w:t>者</w:t>
      </w:r>
      <w:r>
        <w:rPr>
          <w:rFonts w:ascii="MS Gothic" w:hAnsi="MS Gothic" w:eastAsia="MS Gothic" w:cs="MS Gothic"/>
        </w:rPr>
        <w:t>たちでもなく</w:t>
      </w:r>
      <w:r>
        <w:rPr>
          <w:rFonts w:ascii="Microsoft YaHei" w:hAnsi="Microsoft YaHei" w:eastAsia="Microsoft YaHei" w:cs="Microsoft YaHei"/>
        </w:rPr>
        <w:t>、啓発</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けていない</w:t>
      </w:r>
      <w:r>
        <w:rPr>
          <w:rFonts w:ascii="Microsoft YaHei" w:hAnsi="Microsoft YaHei" w:eastAsia="Microsoft YaHei" w:cs="Microsoft YaHei"/>
        </w:rPr>
        <w:t>者</w:t>
      </w:r>
      <w:r>
        <w:rPr>
          <w:rFonts w:ascii="MS Gothic" w:hAnsi="MS Gothic" w:eastAsia="MS Gothic" w:cs="MS Gothic"/>
        </w:rPr>
        <w:t>たちでもなかった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反逆</w:t>
      </w:r>
      <w:r>
        <w:rPr>
          <w:rFonts w:ascii="MS Gothic" w:hAnsi="MS Gothic" w:eastAsia="MS Gothic" w:cs="MS Gothic"/>
        </w:rPr>
        <w:t>に</w:t>
      </w:r>
      <w:r>
        <w:rPr>
          <w:rFonts w:ascii="Microsoft YaHei" w:hAnsi="Microsoft YaHei" w:eastAsia="Microsoft YaHei" w:cs="Microsoft YaHei"/>
        </w:rPr>
        <w:t>加</w:t>
      </w:r>
      <w:r>
        <w:rPr>
          <w:rFonts w:ascii="MS Gothic" w:hAnsi="MS Gothic" w:eastAsia="MS Gothic" w:cs="MS Gothic"/>
        </w:rPr>
        <w:t>わったのは</w:t>
      </w:r>
      <w:r>
        <w:rPr>
          <w:rFonts w:ascii="Microsoft YaHei" w:hAnsi="Microsoft YaHei" w:eastAsia="Microsoft YaHei" w:cs="Microsoft YaHei"/>
        </w:rPr>
        <w:t>、会衆</w:t>
      </w:r>
      <w:r>
        <w:rPr>
          <w:rFonts w:ascii="MS Gothic" w:hAnsi="MS Gothic" w:eastAsia="MS Gothic" w:cs="MS Gothic"/>
        </w:rPr>
        <w:t>のうちに</w:t>
      </w:r>
      <w:r>
        <w:rPr>
          <w:rFonts w:ascii="Microsoft YaHei" w:hAnsi="Microsoft YaHei" w:eastAsia="Microsoft YaHei" w:cs="Microsoft YaHei"/>
        </w:rPr>
        <w:t>名</w:t>
      </w:r>
      <w:r>
        <w:rPr>
          <w:rFonts w:ascii="MS Gothic" w:hAnsi="MS Gothic" w:eastAsia="MS Gothic" w:cs="MS Gothic"/>
        </w:rPr>
        <w:t>の</w:t>
      </w:r>
      <w:r>
        <w:rPr>
          <w:rFonts w:ascii="Microsoft YaHei" w:hAnsi="Microsoft YaHei" w:eastAsia="Microsoft YaHei" w:cs="Microsoft YaHei"/>
        </w:rPr>
        <w:t>知</w:t>
      </w:r>
      <w:r>
        <w:rPr>
          <w:rFonts w:ascii="MS Gothic" w:hAnsi="MS Gothic" w:eastAsia="MS Gothic" w:cs="MS Gothic"/>
        </w:rPr>
        <w:t>られた</w:t>
      </w:r>
      <w:r>
        <w:rPr>
          <w:rFonts w:ascii="Microsoft YaHei" w:hAnsi="Microsoft YaHei" w:eastAsia="Microsoft YaHei" w:cs="Microsoft YaHei"/>
        </w:rPr>
        <w:t>二百五十人</w:t>
      </w:r>
      <w:r>
        <w:rPr>
          <w:rFonts w:ascii="MS Gothic" w:hAnsi="MS Gothic" w:eastAsia="MS Gothic" w:cs="MS Gothic"/>
        </w:rPr>
        <w:t>のつかさたち</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名望</w:t>
      </w:r>
      <w:r>
        <w:rPr>
          <w:rFonts w:ascii="MS Gothic" w:hAnsi="MS Gothic" w:eastAsia="MS Gothic" w:cs="MS Gothic"/>
        </w:rPr>
        <w:t>ある</w:t>
      </w:r>
      <w:r>
        <w:rPr>
          <w:rFonts w:ascii="Microsoft YaHei" w:hAnsi="Microsoft YaHei" w:eastAsia="Microsoft YaHei" w:cs="Microsoft YaHei"/>
        </w:rPr>
        <w:t>人々</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証言</w:t>
      </w:r>
      <w:r>
        <w:rPr>
          <w:rFonts w:ascii="MS Gothic" w:hAnsi="MS Gothic" w:eastAsia="MS Gothic" w:cs="MS Gothic"/>
        </w:rPr>
        <w:t>は</w:t>
      </w:r>
      <w:r>
        <w:rPr>
          <w:rFonts w:ascii="Microsoft YaHei" w:hAnsi="Microsoft YaHei" w:eastAsia="Microsoft YaHei" w:cs="Microsoft YaHei"/>
        </w:rPr>
        <w:t>何</w:t>
      </w:r>
      <w:r>
        <w:rPr>
          <w:rFonts w:ascii="MS Gothic" w:hAnsi="MS Gothic" w:eastAsia="MS Gothic" w:cs="MS Gothic"/>
        </w:rPr>
        <w:t>であったか</w:t>
      </w:r>
      <w:r>
        <w:rPr>
          <w:rFonts w:ascii="Times New Roman" w:hAnsi="Times New Roman" w:eastAsia="Times New Roman" w:cs="Times New Roman"/>
        </w:rPr>
        <w:t>.</w:t>
      </w:r>
      <w:r>
        <w:rPr>
          <w:rFonts w:ascii="Microsoft YaHei" w:hAnsi="Microsoft YaHei" w:eastAsia="Microsoft YaHei" w:cs="Microsoft YaHei"/>
        </w:rPr>
        <w:t>『会衆</w:t>
      </w:r>
      <w:r>
        <w:rPr>
          <w:rFonts w:ascii="MS Gothic" w:hAnsi="MS Gothic" w:eastAsia="MS Gothic" w:cs="MS Gothic"/>
        </w:rPr>
        <w:t>はみな</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者</w:t>
      </w:r>
      <w:r>
        <w:rPr>
          <w:rFonts w:ascii="MS Gothic" w:hAnsi="MS Gothic" w:eastAsia="MS Gothic" w:cs="MS Gothic"/>
        </w:rPr>
        <w:t>であって</w:t>
      </w:r>
      <w:r>
        <w:rPr>
          <w:rFonts w:ascii="Microsoft YaHei" w:hAnsi="Microsoft YaHei" w:eastAsia="Microsoft YaHei" w:cs="Microsoft YaHei"/>
        </w:rPr>
        <w:t>、主</w:t>
      </w:r>
      <w:r>
        <w:rPr>
          <w:rFonts w:ascii="MS Gothic" w:hAnsi="MS Gothic" w:eastAsia="MS Gothic" w:cs="MS Gothic"/>
        </w:rPr>
        <w:t>はその</w:t>
      </w:r>
      <w:r>
        <w:rPr>
          <w:rFonts w:ascii="Microsoft YaHei" w:hAnsi="Microsoft YaHei" w:eastAsia="Microsoft YaHei" w:cs="Microsoft YaHei"/>
        </w:rPr>
        <w:t>中</w:t>
      </w:r>
      <w:r>
        <w:rPr>
          <w:rFonts w:ascii="MS Gothic" w:hAnsi="MS Gothic" w:eastAsia="MS Gothic" w:cs="MS Gothic"/>
        </w:rPr>
        <w:t>におられる</w:t>
      </w:r>
      <w:r>
        <w:rPr>
          <w:rFonts w:ascii="Times New Roman" w:hAnsi="Times New Roman" w:eastAsia="Times New Roman" w:cs="Times New Roman"/>
        </w:rPr>
        <w:t>.</w:t>
      </w:r>
      <w:r>
        <w:rPr>
          <w:rFonts w:ascii="MS Gothic" w:hAnsi="MS Gothic" w:eastAsia="MS Gothic" w:cs="MS Gothic"/>
        </w:rPr>
        <w:t>それなのに</w:t>
      </w:r>
      <w:r>
        <w:rPr>
          <w:rFonts w:ascii="Microsoft YaHei" w:hAnsi="Microsoft YaHei" w:eastAsia="Microsoft YaHei" w:cs="Microsoft YaHei"/>
        </w:rPr>
        <w:t>、</w:t>
      </w:r>
      <w:r>
        <w:rPr>
          <w:rFonts w:ascii="MS Gothic" w:hAnsi="MS Gothic" w:eastAsia="MS Gothic" w:cs="MS Gothic"/>
        </w:rPr>
        <w:t>なぜあなたがたは</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会衆</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自</w:t>
      </w:r>
      <w:r>
        <w:rPr>
          <w:rFonts w:ascii="MS Gothic" w:hAnsi="MS Gothic" w:eastAsia="MS Gothic" w:cs="MS Gothic"/>
        </w:rPr>
        <w:t>らを</w:t>
      </w:r>
      <w:r>
        <w:rPr>
          <w:rFonts w:ascii="Microsoft YaHei" w:hAnsi="Microsoft YaHei" w:eastAsia="Microsoft YaHei" w:cs="Microsoft YaHei"/>
        </w:rPr>
        <w:t>高</w:t>
      </w:r>
      <w:r>
        <w:rPr>
          <w:rFonts w:ascii="MS Gothic" w:hAnsi="MS Gothic" w:eastAsia="MS Gothic" w:cs="MS Gothic"/>
        </w:rPr>
        <w:t>くするのか</w:t>
      </w:r>
      <w:r>
        <w:rPr>
          <w:rFonts w:ascii="Times New Roman" w:hAnsi="Times New Roman" w:eastAsia="Times New Roman" w:cs="Times New Roman"/>
        </w:rPr>
        <w:t>.</w:t>
      </w:r>
      <w:r>
        <w:rPr>
          <w:rFonts w:ascii="Microsoft YaHei" w:hAnsi="Microsoft YaHei" w:eastAsia="Microsoft YaHei" w:cs="Microsoft YaHei"/>
        </w:rPr>
        <w:t>』［民数記</w:t>
      </w:r>
      <w:r>
        <w:rPr>
          <w:rFonts w:ascii="Times New Roman" w:hAnsi="Times New Roman" w:eastAsia="Times New Roman" w:cs="Times New Roman"/>
        </w:rPr>
        <w:t xml:space="preserve"> 16:3</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コラとその</w:t>
      </w:r>
      <w:r>
        <w:rPr>
          <w:rFonts w:ascii="Microsoft YaHei" w:hAnsi="Microsoft YaHei" w:eastAsia="Microsoft YaHei" w:cs="Microsoft YaHei"/>
        </w:rPr>
        <w:t>仲間</w:t>
      </w:r>
      <w:r>
        <w:rPr>
          <w:rFonts w:ascii="MS Gothic" w:hAnsi="MS Gothic" w:eastAsia="MS Gothic" w:cs="MS Gothic"/>
        </w:rPr>
        <w:t>たちが</w:t>
      </w:r>
      <w:r>
        <w:rPr>
          <w:rFonts w:ascii="Microsoft YaHei" w:hAnsi="Microsoft YaHei" w:eastAsia="Microsoft YaHei" w:cs="Microsoft YaHei"/>
        </w:rPr>
        <w:t>神</w:t>
      </w:r>
      <w:r>
        <w:rPr>
          <w:rFonts w:ascii="MS Gothic" w:hAnsi="MS Gothic" w:eastAsia="MS Gothic" w:cs="MS Gothic"/>
        </w:rPr>
        <w:t>のさばきのもとに</w:t>
      </w:r>
      <w:r>
        <w:rPr>
          <w:rFonts w:ascii="Microsoft YaHei" w:hAnsi="Microsoft YaHei" w:eastAsia="Microsoft YaHei" w:cs="Microsoft YaHei"/>
        </w:rPr>
        <w:t>滅</w:t>
      </w:r>
      <w:r>
        <w:rPr>
          <w:rFonts w:ascii="MS Gothic" w:hAnsi="MS Gothic" w:eastAsia="MS Gothic" w:cs="MS Gothic"/>
        </w:rPr>
        <w:t>びたとき</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欺</w:t>
      </w:r>
      <w:r>
        <w:rPr>
          <w:rFonts w:ascii="MS Gothic" w:hAnsi="MS Gothic" w:eastAsia="MS Gothic" w:cs="MS Gothic"/>
        </w:rPr>
        <w:t>かれていた</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奇跡</w:t>
      </w:r>
      <w:r>
        <w:rPr>
          <w:rFonts w:ascii="MS Gothic" w:hAnsi="MS Gothic" w:eastAsia="MS Gothic" w:cs="MS Gothic"/>
        </w:rPr>
        <w:t>のうちに</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御手</w:t>
      </w:r>
      <w:r>
        <w:rPr>
          <w:rFonts w:ascii="MS Gothic" w:hAnsi="MS Gothic" w:eastAsia="MS Gothic" w:cs="MS Gothic"/>
        </w:rPr>
        <w:t>を</w:t>
      </w:r>
      <w:r>
        <w:rPr>
          <w:rFonts w:ascii="Microsoft YaHei" w:hAnsi="Microsoft YaHei" w:eastAsia="Microsoft YaHei" w:cs="Microsoft YaHei"/>
        </w:rPr>
        <w:t>認</w:t>
      </w:r>
      <w:r>
        <w:rPr>
          <w:rFonts w:ascii="MS Gothic" w:hAnsi="MS Gothic" w:eastAsia="MS Gothic" w:cs="MS Gothic"/>
        </w:rPr>
        <w:t>めなかった</w:t>
      </w:r>
      <w:r>
        <w:rPr>
          <w:rFonts w:ascii="Times New Roman" w:hAnsi="Times New Roman" w:eastAsia="Times New Roman" w:cs="Times New Roman"/>
        </w:rPr>
        <w:t>.</w:t>
      </w:r>
      <w:r>
        <w:rPr>
          <w:rFonts w:ascii="Microsoft YaHei" w:hAnsi="Microsoft YaHei" w:eastAsia="Microsoft YaHei" w:cs="Microsoft YaHei"/>
        </w:rPr>
        <w:t>翌朝、全会衆</w:t>
      </w:r>
      <w:r>
        <w:rPr>
          <w:rFonts w:ascii="MS Gothic" w:hAnsi="MS Gothic" w:eastAsia="MS Gothic" w:cs="MS Gothic"/>
        </w:rPr>
        <w:t>はモーセとアロンを</w:t>
      </w:r>
      <w:r>
        <w:rPr>
          <w:rFonts w:ascii="Microsoft YaHei" w:hAnsi="Microsoft YaHei" w:eastAsia="Microsoft YaHei" w:cs="Microsoft YaHei"/>
        </w:rPr>
        <w:t>責</w:t>
      </w:r>
      <w:r>
        <w:rPr>
          <w:rFonts w:ascii="MS Gothic" w:hAnsi="MS Gothic" w:eastAsia="MS Gothic" w:cs="MS Gothic"/>
        </w:rPr>
        <w:t>めて</w:t>
      </w:r>
      <w:r>
        <w:rPr>
          <w:rFonts w:ascii="Microsoft YaHei" w:hAnsi="Microsoft YaHei" w:eastAsia="Microsoft YaHei" w:cs="Microsoft YaHei"/>
        </w:rPr>
        <w:t>、『</w:t>
      </w:r>
      <w:r>
        <w:rPr>
          <w:rFonts w:ascii="MS Gothic" w:hAnsi="MS Gothic" w:eastAsia="MS Gothic" w:cs="MS Gothic"/>
        </w:rPr>
        <w:t>あなたがたが</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殺</w:t>
      </w:r>
      <w:r>
        <w:rPr>
          <w:rFonts w:ascii="MS Gothic" w:hAnsi="MS Gothic" w:eastAsia="MS Gothic" w:cs="MS Gothic"/>
        </w:rPr>
        <w:t>したのだ</w:t>
      </w:r>
      <w:r>
        <w:rPr>
          <w:rFonts w:ascii="Microsoft YaHei" w:hAnsi="Microsoft YaHei" w:eastAsia="Microsoft YaHei" w:cs="Microsoft YaHei"/>
        </w:rPr>
        <w:t>』［</w:t>
      </w:r>
      <w:r>
        <w:rPr>
          <w:rFonts w:ascii="Times New Roman" w:hAnsi="Times New Roman" w:eastAsia="Times New Roman" w:cs="Times New Roman"/>
        </w:rPr>
        <w:t>41</w:t>
      </w:r>
      <w:r>
        <w:rPr>
          <w:rFonts w:ascii="Microsoft YaHei" w:hAnsi="Microsoft YaHei" w:eastAsia="Microsoft YaHei" w:cs="Microsoft YaHei"/>
        </w:rPr>
        <w:t>節］</w:t>
      </w:r>
      <w:r>
        <w:rPr>
          <w:rFonts w:ascii="MS Gothic" w:hAnsi="MS Gothic" w:eastAsia="MS Gothic" w:cs="MS Gothic"/>
        </w:rPr>
        <w:t>と</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災厄</w:t>
      </w:r>
      <w:r>
        <w:rPr>
          <w:rFonts w:ascii="MS Gothic" w:hAnsi="MS Gothic" w:eastAsia="MS Gothic" w:cs="MS Gothic"/>
        </w:rPr>
        <w:t>が</w:t>
      </w:r>
      <w:r>
        <w:rPr>
          <w:rFonts w:ascii="Microsoft YaHei" w:hAnsi="Microsoft YaHei" w:eastAsia="Microsoft YaHei" w:cs="Microsoft YaHei"/>
        </w:rPr>
        <w:t>会衆</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臨</w:t>
      </w:r>
      <w:r>
        <w:rPr>
          <w:rFonts w:ascii="MS Gothic" w:hAnsi="MS Gothic" w:eastAsia="MS Gothic" w:cs="MS Gothic"/>
        </w:rPr>
        <w:t>み</w:t>
      </w:r>
      <w:r>
        <w:rPr>
          <w:rFonts w:ascii="Microsoft YaHei" w:hAnsi="Microsoft YaHei" w:eastAsia="Microsoft YaHei" w:cs="Microsoft YaHei"/>
        </w:rPr>
        <w:t>、一万四千人余</w:t>
      </w:r>
      <w:r>
        <w:rPr>
          <w:rFonts w:ascii="MS Gothic" w:hAnsi="MS Gothic" w:eastAsia="MS Gothic" w:cs="MS Gothic"/>
        </w:rPr>
        <w:t>りが</w:t>
      </w:r>
      <w:r>
        <w:rPr>
          <w:rFonts w:ascii="Microsoft YaHei" w:hAnsi="Microsoft YaHei" w:eastAsia="Microsoft YaHei" w:cs="Microsoft YaHei"/>
        </w:rPr>
        <w:t>滅</w:t>
      </w:r>
      <w:r>
        <w:rPr>
          <w:rFonts w:ascii="MS Gothic" w:hAnsi="MS Gothic" w:eastAsia="MS Gothic" w:cs="MS Gothic"/>
        </w:rPr>
        <w:t>びた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“ʻI he taimi naʻá ku fakakaukau ai ke mavahe mei Minneapolis, naʻe tuʻu ʻi hoku tafaʻaki ʻa e ʻāngelo ʻa Sihova ʻo ne pehē: ‘ʻOua naʻa pehē; he ʻoku ai ha ngāue ʻa e ʻOtua maʻau ke ke fai ʻi he feituʻu ni. ʻOku fai ʻe he kakai ʻa e meʻa tatau mo e angatuʻu ʻa Kola, Tātani, mo ʻApilami. Kuó u tuku koe ki ho tuʻunga totonu, ʻa ia ʻe ʻikai tali ʻe kinautolu ʻoku ʻikai ʻi he maama; ʻe ʻikai te nau tokanga ki hoʻo fakamoʻoni; ka te u ʻi ai mo koe; ʻe poupouʻi koe ʻe heʻeku ʻaloʻofa mo hoku mālohi. ʻOku ʻikai ko koe ʻoku nau taʻetokaʻi, ka ko e kau talafekau mo e pōpoaki ʻoku ou fekauʻi ki hoku kakai. Kuo nau fakahaaʻi ʻa e taʻefakaʻapaʻapa ki he folofola ʻa Sihova. Kuo fakakuihiʻi ʻe Sētane honau mata pea kuo ne fakahehemaʻi ʻenau fakamaau; pea kapau ʻe ʻikai ke fakatomala ʻa e laumālie kotoa pē mei heʻenau angahala ko eni, ʻa e tauʻatāina taʻefakatapui ko eni ʻoku ne fai ʻa e fakaʻapaʻapa-kovi ki he Laumālie ʻo e ʻOtua, te nau ʻalu ʻi he fakapoʻuli. Te u toʻo ʻa e tuʻunga maama mei hono potu, kapau ʻe ʻikai te nau fakatomala pea liliu, koeʻuhi ke u fakamoʻui kinautolu. Kuo nau fakapouliʻi ʻa ʻenau vakai fakalaumālie. Naʻe ʻikai te nau loto ke fakahā ʻe he ʻOtua Hono Laumālie mo Hono mālohi; he ʻoku nau maʻu ha laumālie ʻo e manuki mo e fehiʻa ki Heʻeku folofola. ʻOku fakaangaanga, ngāue vale, fakakata, mo e katakata ʻoku fai ʻi he ʻaho kotoa pē. ʻOku ʻikai te nau tuku honau loto ke kumi kiate Au. ʻOku nau ʻalu ʻi he ngaahi ulo ʻo ʻenau afi ʻanautolu pē, pea kapau ʻe ʻikai te nau fakatomala te nau tokoto ʻi he mamahi. ʻOku pehē ʻe Sihova: Tuʻu ʻi ho potu fatongia; he ʻoku ou ʻi ai mo koe, pea ʻe ʻikai te u tuku koe pe liʻaki koe.’ Ko e ngaahi lea ni mei he ʻOtua, naʻe ʻikai te u loto-toʻa ke taʻetokangaʻi.”</w:t>
      </w:r>
    </w:p>
    <w:p>
      <w:pPr>
        <w:pStyle w:val="ArticleScripture"/>
        <w:jc w:val="left"/>
      </w:pPr>
      <w:r>
        <w:rPr>
          <w:rFonts w:ascii="Times New Roman" w:hAnsi="Times New Roman" w:eastAsia="Times New Roman" w:cs="Times New Roman"/>
        </w:rPr>
        <w:t>«Ifa ri ń tan ni Battle Creek ní ìmólẹ̀ tó mọ́, tó sì ń ràn ní kedere; ṣùgbọ́n ta ni lára àwọn tí wọ́n kó ipa kan nínú ìpàdé ní Minneapolis tí wọ́n ti wá sí ìmólẹ̀ náà, tí wọ́n sì gba àwọn ìṣúra ọlọ́rọ̀ òtítọ́ tí Olúwa rán sí wọn láti ọ̀run? Ta ni wọ́n ti bá Olórí náà, Jesu Kristi, rìn ní ìgbésẹ̀ dé ìgbésẹ̀? Ta ni wọ́n ti jẹ́wọ́ ní kíkún ìtara àṣìṣe wọn, ìfọ́jú wọn, ìjowú wọn àti ìfura búburú wọn, ìkọ̀sílẹ̀ wọn sí òtítọ́? Kò sí ẹnì kan; àti nítorí àìbìkítà wọn pípẹ́ láti jẹ́wọ́ ìmólẹ̀ náà, ó ti fi wọ́n sílẹ̀ jìnà lẹ́yìn; wọn kò sì ti dàgbà nínú oore-ọ̀fẹ́ àti nínú ìmọ̀ Kristi Jesu Olúwa wa. Wọ́n ti kùnà láti gba oore-ọ̀fẹ́ tí wọ́n nílò, èyí tí wọ́n lè ti ní, tí yóò sì ti sọ wọ́n di alágbára nínú ìrírí ẹ̀sìn.»</w:t>
      </w:r>
    </w:p>
    <w:p>
      <w:pPr>
        <w:pStyle w:val="ArticleScripture"/>
        <w:jc w:val="left"/>
      </w:pPr>
      <w:r>
        <w:rPr>
          <w:rFonts w:ascii="Times New Roman" w:hAnsi="Times New Roman" w:eastAsia="Times New Roman" w:cs="Times New Roman"/>
        </w:rPr>
        <w:t>“Тазе позиция, заета в Минеаполис, явно беше непреодолима преграда, която до голяма степен ги затвори заедно със съмняващите се, питащите, с отхвърлящите истината и силата на Бога. Когато настъпи друга криза, онези, които толкова дълго са се съпротивлявали на доказателства, натрупани върху доказателства, отново ще бъдат изпитани по точките, в които така явно се провалиха, и за тях ще бъде трудно да приемат онова, което е от Бога, и да отхвърлят онова, което е от силите на тъмнината. Ето защо единственият им безопасен път е да ходят в смирение, като правят прави пътеки за нозете си, за да не би куцият да бъде отклонен от пътя. От решаващо значение е с кого общуваме — дали с мъже, които ходят с Бога и вярват в Него и Му се доверяват, или с мъже, които следват своята предполагаема мъдрост, ходейки в искрите на своя собствен огън.”</w:t>
      </w:r>
    </w:p>
    <w:p>
      <w:pPr>
        <w:pStyle w:val="ArticleScripture"/>
        <w:jc w:val="left"/>
      </w:pPr>
      <w:r>
        <w:rPr>
          <w:rFonts w:ascii="Times New Roman" w:hAnsi="Times New Roman" w:eastAsia="Times New Roman" w:cs="Times New Roman"/>
        </w:rPr>
        <w:t>“Ekuvukeni ka nkarhi ni ku khathalela ni ntirho lowu lavekaka leswaku ku herisiwa matimba ya nkucetelo wa lava tirheke va lwa ni ntiyiso swi vile ku lahlekeriwa lokukulu ngopfu; hikuva a hi ta va se hi ye emahlweni hi malembe yo tala eka vutivi bya moya; naswona mimoya yo tala swinene a yi ta va yi engeteriwile ekerekeni loko lava a va fanele va fambe eku vonakaleni a va ye emahlweni ku tiva Hosi, leswaku va tiva leswaku ku huma ka Yona ku lulamisiwile kukota maxelo. Kambe loko ntirho wo tala swonghasi wu fanele ku tirhisiwa exikarhi ka kereke ku herisa matimba ya nkucetelo wa vatirhi lava yimeke kukota rirhangu ra graniti va lwa ni ntiyiso lowu Xikwembu xi wu rhumelaka vanhu va Xona, misava yi sala emunyameni wo karhi ntsena.</w:t>
      </w:r>
    </w:p>
    <w:p>
      <w:pPr>
        <w:pStyle w:val="ArticleScripture"/>
        <w:jc w:val="left"/>
      </w:pPr>
      <w:r>
        <w:rPr>
          <w:rFonts w:ascii="Times New Roman" w:hAnsi="Times New Roman" w:eastAsia="Times New Roman" w:cs="Times New Roman"/>
        </w:rPr>
        <w:t>«Бог имел в виду, чтобы стражи восстали и едиными голосами возвестили определённую весть, издав трубой верный звук, дабы народ весь поспешил занять свой пост долга и исполнить свою часть в великом деле. Тогда сильный, ясный свет того другого ангела, который сходит с неба, имея великую власть, наполнил бы землю своей славой. Мы отстали на годы; и тем, которые пребывали в слепоте и препятствовали продвижению именно той вести, которую Бог предназначил выйти из Миннеаполисского собрания как светильник горящий, надлежит смирить свои сердца пред Богом и увидеть и понять, как дело было задержано их слепотой ума и ожесточением сердца». Manuscript Releases, volume 14, 107–111.</w:t>
      </w:r>
    </w:p>
    <w:p>
      <w:pPr>
        <w:pStyle w:val="ArticleBody"/>
        <w:jc w:val="left"/>
      </w:pPr>
      <w:r>
        <w:rPr>
          <w:rFonts w:ascii="Times New Roman" w:hAnsi="Times New Roman" w:eastAsia="Times New Roman" w:cs="Times New Roman"/>
        </w:rPr>
        <w:t>Was es, das eine Leitung hervorgebracht hatte, die 1888 einen so offenen Aufruhr offenbarte, dass Schwester White ihn mit dem Aufruhr Korahs, Dathans und Abirams verglich? Die Antwort liegt ohne Zweifel in der Empörung von 1863, die den Weg bereitete für das, von dem Hesekiel gesagt wurde, es würden noch größere Gräuel sein. Die Verwerfung der „sieben Zeiten“ aus 3. Mose sechsundzwanzig und die Einführung einer gefälschten Karte machten die Notwendigkeit erforderlich, die Fälschung von 1863 aufrechtzuerhalten. So würde Miller zusehen, wie seine Juwelen zerstreut und mit Schutt sowie mit falschen Juwelen und Münzen bedeckt würden. Das weltliche Sprichwort lautet: „Die Geschichte wird von den Siegern geschrieben.“</w:t>
      </w:r>
    </w:p>
    <w:p>
      <w:pPr>
        <w:pStyle w:val="ArticleBody"/>
        <w:jc w:val="left"/>
      </w:pPr>
      <w:r>
        <w:rPr>
          <w:rFonts w:ascii="Times New Roman" w:hAnsi="Times New Roman" w:eastAsia="Times New Roman" w:cs="Times New Roman"/>
        </w:rPr>
        <w:t>Bien qu’ils ne soient en réalité pas les vainqueurs, ceux qui dirigent l’Église adventiste laodicéenne ont consacré du temps et des efforts à élaborer un récit historique qui soutient la rébellion croissante à travers les quatre générations, dans le but de présenter cette rébellion sous un jour fort éloigné de l’histoire réelle consignée par les anges célestes. La révision de l’histoire est une caractéristique emblématique des jésuites de l’Église catholique, et le révisionnisme historique a été le fonds de commerce des historiens adventistes laodicéens. Ce qu’écrivent de nos jours les « historiens » adventistes laodicéens au sujet de la session de la Conférence générale de Minneapolis est un exemple classique de révisionnisme historique.</w:t>
      </w:r>
    </w:p>
    <w:p>
      <w:pPr>
        <w:pStyle w:val="ArticleBody"/>
        <w:jc w:val="left"/>
      </w:pPr>
      <w:r>
        <w:rPr>
          <w:rFonts w:ascii="Nirmala UI" w:hAnsi="Nirmala UI" w:eastAsia="Nirmala UI" w:cs="Nirmala UI"/>
        </w:rPr>
        <w:t>शायद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सम्मेलन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अपवाद</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ठहरकर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ऐडवेंटिस्ट</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इर्द</w:t>
      </w:r>
      <w:r>
        <w:rPr>
          <w:rFonts w:ascii="Times New Roman" w:hAnsi="Times New Roman" w:eastAsia="Times New Roman" w:cs="Times New Roman"/>
        </w:rPr>
        <w:t>-</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Nde muri abo bagarariji batatu ni nde inkuru ya Mose yerekana ko nyuma yaho yihannye kandi akongera kwakirwa mu buyobozi hamwe na Mose?</w:t>
      </w:r>
    </w:p>
    <w:p>
      <w:pPr>
        <w:pStyle w:val="ArticleScripture"/>
        <w:jc w:val="left"/>
      </w:pPr>
      <w:r>
        <w:rPr>
          <w:rFonts w:ascii="Times New Roman" w:hAnsi="Times New Roman" w:eastAsia="Times New Roman" w:cs="Times New Roman"/>
        </w:rPr>
        <w:t>«Қорах, ки рӯҳи пешбари ин ҳаракат буд, левизодае аз хонадони Қаҳот ва писарамаки Мусо буд; ӯ марде соҳибқобилият ва бонуфуз буд. Гарчанде ки барои хизмати хаймаи ибодат таъин шуда буд, аз мақоми худ норозӣ гардида, орзуи шарафи коҳинонро дар дил мепарварид. Бахшида шудани мансаби коҳинон ба Ҳорун ва хонадони ӯ, ки пештар бар писари нахустзодаи ҳар хонадон вогузор мешуд, боиси ҳасад ва норозигӣ гардида буд; ва муддате Қорах пинҳонӣ ба муқобили қудрати Мусо ва Ҳорун меистод, гарчанде ки ҷуръати ҳеҷ амали ошкори исёнро накарда буд. Ниҳоят ӯ нақшаи ҷасуронаеро дар сар парварид, ки ҳам ҳокимияти шаҳрвандӣ ва ҳам ҳокимияти диниро сарнагун созад. Ӯ дар ёфтани ҳамфикрон ноком намонд. Назди хаймаҳои Қорах ва қаҳотиён, дар тарафи ҷанубии хаймаи ибодат, урдугоҳи сибти Реубен ҷой дошт; хаймаҳои Дотон ва Абиром, ду сарвари ин сибт, дар наздикии хаймаи Қорах буданд. Ин сарварон ба осонӣ ба нақшаҳои пуртамаъи ӯ ҳамроҳ шуданд. Чун аз насли писари нахустзодаи Яъқуб буданд, даъво мекарданд, ки ҳокимияти шаҳрвандӣ ба онҳо тааллуқ дорад, ва тасмим гирифтанд, ки иззат ва ифтихори коҳиниро бо Қорах тақсим намоянд.»</w:t>
      </w:r>
    </w:p>
    <w:p>
      <w:pPr>
        <w:pStyle w:val="ArticleScripture"/>
        <w:jc w:val="left"/>
      </w:pPr>
      <w:r>
        <w:rPr>
          <w:rFonts w:ascii="Times New Roman" w:hAnsi="Times New Roman" w:eastAsia="Times New Roman" w:cs="Times New Roman"/>
        </w:rPr>
        <w:t>L’état d’esprit qui régnait parmi le peuple favorisait les desseins de Koré. Dans l’amertume de leur déception, leurs anciens doutes, leur jalousie et leur haine étaient revenus, et de nouveau leurs plaintes se tournèrent contre leur chef patient. Les Israélites perdaient continuellement de vue le fait qu’ils étaient sous la direction divine. Ils oubliaient que l’Ange de l’alliance était leur guide invisible, que, voilée par la colonne de nuée, la présence du Christ marchait devant eux, et que c’était de Lui que Moïse recevait toutes ses instructions.</w:t>
      </w:r>
    </w:p>
    <w:p>
      <w:pPr>
        <w:pStyle w:val="ArticleScripture"/>
        <w:jc w:val="left"/>
      </w:pPr>
      <w:r>
        <w:rPr>
          <w:rFonts w:ascii="Times New Roman" w:hAnsi="Times New Roman" w:eastAsia="Times New Roman" w:cs="Times New Roman"/>
        </w:rPr>
        <w:t>«Ils ne voulaient pas se soumettre à la terrible sentence selon laquelle ils devaient tous mourir dans le désert; dès lors, ils étaient prêts à saisir le moindre prétexte pour croire que ce n’était pas Dieu, mais Moïse, qui les conduisait et qui avait prononcé leur condamnation. Les meilleurs efforts de l’homme le plus doux de la terre ne purent réprimer l’insubordination de ce peuple; et, bien que les marques du déplaisir de Dieu envers leur perversité antérieure fussent encore sous leurs yeux dans leurs rangs décimés et le nombre de leurs absents, ils ne prirent pas la leçon à cœur. De nouveau, ils succombèrent à la tentation.» Patriarches et Prophètes, 395, 396.</w:t>
      </w:r>
    </w:p>
    <w:p>
      <w:pPr>
        <w:pStyle w:val="ArticleBody"/>
        <w:jc w:val="left"/>
      </w:pPr>
      <w:r>
        <w:rPr>
          <w:rFonts w:ascii="Nirmala UI" w:hAnsi="Nirmala UI" w:eastAsia="Nirmala UI" w:cs="Nirmala UI"/>
        </w:rPr>
        <w:t>ଆତ୍ମିକ</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ଆଡଭେଣ୍ଟିଜ୍ମ</w:t>
      </w:r>
      <w:r>
        <w:rPr>
          <w:rFonts w:ascii="Times New Roman" w:hAnsi="Times New Roman" w:eastAsia="Times New Roman" w:cs="Times New Roman"/>
        </w:rPr>
        <w:t xml:space="preserve"> 1856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1863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ଆଇନଗତ</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ନିବନ୍ଧିତ</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ପୂର୍ବତନ</w:t>
      </w:r>
      <w:r>
        <w:rPr>
          <w:rFonts w:ascii="Times New Roman" w:hAnsi="Times New Roman" w:eastAsia="Times New Roman" w:cs="Times New Roman"/>
        </w:rPr>
        <w:t xml:space="preserve"> </w:t>
      </w:r>
      <w:r>
        <w:rPr>
          <w:rFonts w:ascii="Nirmala UI" w:hAnsi="Nirmala UI" w:eastAsia="Nirmala UI" w:cs="Nirmala UI"/>
        </w:rPr>
        <w:t>ଲେଖାମାନରେ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ଆଲୋଚିତ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ପାଏ</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ପ୍ରେରିତ</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ଅବସ୍ଥା</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ପଶ୍ଚାତ୍ତାପ</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ଫିଲାଦେଲଫିୟା</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ଅନୁଭବକୁ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ଉଦ୍ଧାର</w:t>
      </w:r>
      <w:r>
        <w:rPr>
          <w:rFonts w:ascii="Times New Roman" w:hAnsi="Times New Roman" w:eastAsia="Times New Roman" w:cs="Times New Roman"/>
        </w:rPr>
        <w:t xml:space="preserve"> </w:t>
      </w:r>
      <w:r>
        <w:rPr>
          <w:rFonts w:ascii="Nirmala UI" w:hAnsi="Nirmala UI" w:eastAsia="Nirmala UI" w:cs="Nirmala UI"/>
        </w:rPr>
        <w:t>ପାଇପାରିବ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ଜନସମୂହ</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ମୁଖରୁ</w:t>
      </w:r>
      <w:r>
        <w:rPr>
          <w:rFonts w:ascii="Times New Roman" w:hAnsi="Times New Roman" w:eastAsia="Times New Roman" w:cs="Times New Roman"/>
        </w:rPr>
        <w:t xml:space="preserve"> </w:t>
      </w:r>
      <w:r>
        <w:rPr>
          <w:rFonts w:ascii="Nirmala UI" w:hAnsi="Nirmala UI" w:eastAsia="Nirmala UI" w:cs="Nirmala UI"/>
        </w:rPr>
        <w:t>ଉଗଳିଦିଆଯାଇବା</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ବିଚାରିତ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ପ୍ରେରିତ</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ପରିଚୟ</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ମରୁଭୂମିରେ</w:t>
      </w:r>
      <w:r>
        <w:rPr>
          <w:rFonts w:ascii="Times New Roman" w:hAnsi="Times New Roman" w:eastAsia="Times New Roman" w:cs="Times New Roman"/>
        </w:rPr>
        <w:t xml:space="preserve"> </w:t>
      </w:r>
      <w:r>
        <w:rPr>
          <w:rFonts w:ascii="Nirmala UI" w:hAnsi="Nirmala UI" w:eastAsia="Nirmala UI" w:cs="Nirmala UI"/>
        </w:rPr>
        <w:t>ଭ୍ରମଣ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ସେହିପରି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ଚର୍ଚ୍ଚଟି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ମରୁଭୂମିରେ</w:t>
      </w:r>
      <w:r>
        <w:rPr>
          <w:rFonts w:ascii="Times New Roman" w:hAnsi="Times New Roman" w:eastAsia="Times New Roman" w:cs="Times New Roman"/>
        </w:rPr>
        <w:t xml:space="preserve"> </w:t>
      </w:r>
      <w:r>
        <w:rPr>
          <w:rFonts w:ascii="Nirmala UI" w:hAnsi="Nirmala UI" w:eastAsia="Nirmala UI" w:cs="Nirmala UI"/>
        </w:rPr>
        <w:t>ଭ୍ରମଣ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ନିର୍ଦ୍ଧାରିତ</w:t>
      </w:r>
      <w:r>
        <w:rPr>
          <w:rFonts w:ascii="Times New Roman" w:hAnsi="Times New Roman" w:eastAsia="Times New Roman" w:cs="Times New Roman"/>
        </w:rPr>
        <w:t xml:space="preserve"> </w:t>
      </w:r>
      <w:r>
        <w:rPr>
          <w:rFonts w:ascii="Nirmala UI" w:hAnsi="Nirmala UI" w:eastAsia="Nirmala UI" w:cs="Nirmala UI"/>
        </w:rPr>
        <w:t>ଥିଲା।</w:t>
      </w:r>
    </w:p>
    <w:p>
      <w:pPr>
        <w:pStyle w:val="ArticleBody"/>
        <w:jc w:val="left"/>
      </w:pPr>
      <w:r>
        <w:rPr>
          <w:rFonts w:ascii="Leelawadee UI" w:hAnsi="Leelawadee UI" w:eastAsia="Leelawadee UI" w:cs="Leelawadee UI"/>
        </w:rPr>
        <w:t>ในบรรดาผู้กบฏแห่งอิสราเอลโบราณ</w:t>
      </w:r>
      <w:r>
        <w:rPr>
          <w:rFonts w:ascii="Times New Roman" w:hAnsi="Times New Roman" w:eastAsia="Times New Roman" w:cs="Times New Roman"/>
        </w:rPr>
        <w:t xml:space="preserve"> </w:t>
      </w:r>
      <w:r>
        <w:rPr>
          <w:rFonts w:ascii="Leelawadee UI" w:hAnsi="Leelawadee UI" w:eastAsia="Leelawadee UI" w:cs="Leelawadee UI"/>
        </w:rPr>
        <w:t>มีผู้ใดบ้างที่พเนจรอยู่ในถิ่นทุรกันดารเป็นเวลาสี่สิบปีแล้วจึงได้เข้าไปในแผ่นดินแห่งพระสัญญา</w:t>
      </w:r>
      <w:r>
        <w:rPr>
          <w:rFonts w:ascii="Times New Roman" w:hAnsi="Times New Roman" w:eastAsia="Times New Roman" w:cs="Times New Roman"/>
        </w:rPr>
        <w:t xml:space="preserve">? </w:t>
      </w:r>
      <w:r>
        <w:rPr>
          <w:rFonts w:ascii="Leelawadee UI" w:hAnsi="Leelawadee UI" w:eastAsia="Leelawadee UI" w:cs="Leelawadee UI"/>
        </w:rPr>
        <w:t>ไม่มีแม้แต่คนเดียว</w:t>
      </w:r>
      <w:r>
        <w:rPr>
          <w:rFonts w:ascii="Times New Roman" w:hAnsi="Times New Roman" w:eastAsia="Times New Roman" w:cs="Times New Roman"/>
        </w:rPr>
        <w:t xml:space="preserve"> </w:t>
      </w:r>
      <w:r>
        <w:rPr>
          <w:rFonts w:ascii="Leelawadee UI" w:hAnsi="Leelawadee UI" w:eastAsia="Leelawadee UI" w:cs="Leelawadee UI"/>
        </w:rPr>
        <w:t>และการพเนจรของพวกเขาก็เป็นแบบอย่างล่วงหน้าถึงการพเนจรของอิสราเอลยุคปัจจุบัน</w:t>
      </w:r>
    </w:p>
    <w:p>
      <w:pPr>
        <w:pStyle w:val="ArticleBody"/>
        <w:jc w:val="left"/>
      </w:pPr>
      <w:r>
        <w:rPr>
          <w:rFonts w:ascii="Times New Roman" w:hAnsi="Times New Roman" w:eastAsia="Times New Roman" w:cs="Times New Roman"/>
        </w:rPr>
        <w:t>La rébellion de Koré, Dathan et Abiram (qui préfigurait la rébellion de 1888) reposait sur leur refus d’accepter le jugement prononcé sur le peuple, le condamnant à errer pendant quarante ans dans le désert. La rébellion de 1888 reposait sur le rejet, par les dirigeants, de la déclaration les identifiant comme étant Laodicée et les condamnant à errer encore de nombreuses années dans le désert à cause de leur insubordination.</w:t>
      </w:r>
    </w:p>
    <w:p>
      <w:pPr>
        <w:pStyle w:val="ArticleScripture"/>
        <w:jc w:val="left"/>
      </w:pPr>
      <w:r>
        <w:rPr>
          <w:rFonts w:ascii="Times New Roman" w:hAnsi="Times New Roman" w:eastAsia="Times New Roman" w:cs="Times New Roman"/>
        </w:rPr>
        <w:t>“Ujumbe tuliopewa kupitia A. T. Jones na E. J. Waggoner ni ujumbe wa Mungu kwa kanisa la Laodikia, na ole wake yeyote anayedai kuamini ukweli lakini hata hivyo hawaangazii wengine miale ile aliyopewa na Mungu.” The 1888 Materials, 1053.</w:t>
      </w:r>
    </w:p>
    <w:p>
      <w:pPr>
        <w:pStyle w:val="ArticleBody"/>
        <w:jc w:val="left"/>
      </w:pPr>
      <w:r>
        <w:rPr>
          <w:rFonts w:ascii="Times New Roman" w:hAnsi="Times New Roman" w:eastAsia="Times New Roman" w:cs="Times New Roman"/>
        </w:rPr>
        <w:t>Koyebɔlɛwo kpaawo si woawɔ le ameawo ŋu nyanyui dzikpɔla le 1888 me la, xɔ se be yewole “kesinɔviwo, eye nuwo gblɔna kakaka na ye”. Míalé ŋku ɖe nusi he wɔna nɔnɔme sia va do ŋgɔ na 1888 ŋu le nyatakaka si gbɔna la me.</w:t>
      </w:r>
    </w:p>
    <w:p>
      <w:pPr>
        <w:pStyle w:val="ArticleScripture"/>
        <w:jc w:val="left"/>
      </w:pPr>
      <w:r>
        <w:rPr>
          <w:rFonts w:ascii="Times New Roman" w:hAnsi="Times New Roman" w:eastAsia="Times New Roman" w:cs="Times New Roman"/>
        </w:rPr>
        <w:t>« Mon âme est profondément attristée de voir avec quelle rapidité certains, qui ont reçu la lumière et la vérité, accepteront les séductions de Satan et se laisseront charmer par une sainteté factice. Lorsque des hommes se détournent des repères que le Seigneur a établis afin que nous comprenions la position qui nous est assignée dans la prophétie, ils vont sans savoir où ils vont. »</w:t>
      </w:r>
    </w:p>
    <w:p>
      <w:pPr>
        <w:pStyle w:val="ArticleScripture"/>
        <w:jc w:val="left"/>
      </w:pPr>
      <w:r>
        <w:rPr>
          <w:rFonts w:ascii="Times New Roman" w:hAnsi="Times New Roman" w:eastAsia="Times New Roman" w:cs="Times New Roman"/>
        </w:rPr>
        <w:t>«Ma tany aguisiťe dacă răzvrătirea autentică este vreodată vindecabilă. Cercetați în Patriarchs and Prophets răzvrătirea lui Core, Datan și Abiram. Această răzvrătire s-a extins, cuprinzând mai mult decât doi oameni. Ea a fost condusă de două sute cincizeci de căpetenii ale adunării, oameni cu renume. Numiți răzvrătirea pe numele ei adevărat și apostazia pe numele ei adevărat, iar apoi luați în considerare că experiența vechiului popor al lui Dumnezeu, cu toate trăsăturile ei condamnabile, a fost consemnată cu credincioșie pentru a trece în istorie. Scriptura declară: „Aceste lucruri … au fost scrise pentru învățătura noastră, peste care au venit sfârșiturile veacurilor.” Și dacă bărbați și femei care au cunoștința adevărului sunt atât de mult despărțiți de Marele lor Conducător, încât îl vor lua pe marele conducător al apostaziei și îl vor numi Hristos, Neprihănirea noastră, aceasta este pentru că nu au coborât adânc în minele adevărului. Ei nu sunt în stare să deosebească minereul prețios de materialul de rând.»</w:t>
      </w:r>
    </w:p>
    <w:p>
      <w:pPr>
        <w:pStyle w:val="ArticleScripture"/>
        <w:jc w:val="left"/>
      </w:pPr>
      <w:r>
        <w:rPr>
          <w:rFonts w:ascii="Times New Roman" w:hAnsi="Times New Roman" w:eastAsia="Times New Roman" w:cs="Times New Roman"/>
        </w:rPr>
        <w:t>“Leami le litemoso tseo ka bongata li fanoeng Lentsoeng la Molimo mabapi le baprofeta ba bohata ba tlang ka lithuto tsa bona tsa bohata, ’me, ha ho ka etsahala, ba tla thetsa le bona bakhethoa. Ka litemoso tsena, ke ka baka la’ng kereke e sa khetholle ba bohata ho ba ba ’nete? Bao ka tsela efe kapa efe ba khelositsoeng ka tsela ena ba tshwanetse ho ikokobetsa pel’a Molimo, ’me ba bake ka tieo, hobane ba khelohile habonolo hakana. Ha baa ka ba khetholla lentsoe la Molisa oa ’nete ho la osele. Bohle ba joalo a ba hlahlobe bocha khaolo ena ea boiphihlelo ba bona.”</w:t>
      </w:r>
    </w:p>
    <w:p>
      <w:pPr>
        <w:pStyle w:val="ArticleScripture"/>
        <w:jc w:val="left"/>
      </w:pPr>
      <w:r>
        <w:rPr>
          <w:rFonts w:ascii="Times New Roman" w:hAnsi="Times New Roman" w:eastAsia="Times New Roman" w:cs="Times New Roman"/>
        </w:rPr>
        <w:t>«له نیمې پېړۍ څخه د زیات وخت راهیسې خدای د خپل روح د شهادتونو له لارې خپل قوم ته رڼا ورکوي. ایا له دې ټول وخت وروسته دا خبره څو تنو نارینه‌وو او د هغوی مېرمنو ته پرېښوول کېږي چې د مؤمنانو ټوله کلیسا له تېروتنې راوباسي، او مېرمن وایټ دروغجنه او غولوونکې اعلان کړي؟ “تاسې به هغوی د هغوی له مېوو وپېژنئ.”»</w:t>
      </w:r>
    </w:p>
    <w:p>
      <w:pPr>
        <w:pStyle w:val="ArticleScripture"/>
        <w:jc w:val="left"/>
      </w:pPr>
      <w:r>
        <w:rPr>
          <w:rFonts w:ascii="Times New Roman" w:hAnsi="Times New Roman" w:eastAsia="Times New Roman" w:cs="Times New Roman"/>
        </w:rPr>
        <w:t>“ ff ” n’enye ike ileghara ihe-àmà nile nke Chineke nyeworo ha anya, ma gbanwee ngọzi ahụ bụrụ ọnụ, ga-ama jijiji n’ihi nchekwa nke mkpụrụ obi ha onwe ha. A ga-ewepụ ihe ndọba oriọna ha n’ọnọdụ ya ma ọ bụrụ na ha echegharịghị. E meela ka a kparị Onyenwe anyị. E kwewo ka ọkọlọtọ eziokwu, nke ozi ndị mmụọ ozi mbụ, nke abụọ, na nke atọ, dọkpụrụ n’ájá. Ọ bụrụ na a hapụ ndị nche ka ha na-eduhie ndị mmadụ n’ụzọ a, Chineke ga-eme ka mkpụrụ obi ụfọdụ bụrụ ndị a ga-aza ajụjụ n’ihi enweghị nghọta miri emi iji mata ụdị nri a na-enye ìgwè atụrụ Ya.”</w:t>
      </w:r>
    </w:p>
    <w:p>
      <w:pPr>
        <w:pStyle w:val="ArticleScripture"/>
        <w:jc w:val="left"/>
      </w:pPr>
      <w:r>
        <w:rPr>
          <w:rFonts w:ascii="Times New Roman" w:hAnsi="Times New Roman" w:eastAsia="Times New Roman" w:cs="Times New Roman"/>
        </w:rPr>
        <w:t>“</w:t>
      </w:r>
      <w:r>
        <w:rPr>
          <w:rFonts w:ascii="Nirmala UI" w:hAnsi="Nirmala UI" w:eastAsia="Nirmala UI" w:cs="Nirmala UI"/>
        </w:rPr>
        <w:t>මතභ්</w:t>
      </w:r>
      <w:r>
        <w:rPr>
          <w:rFonts w:ascii="Times New Roman" w:hAnsi="Times New Roman" w:eastAsia="Times New Roman" w:cs="Times New Roman"/>
        </w:rPr>
        <w:t>‍</w:t>
      </w:r>
      <w:r>
        <w:rPr>
          <w:rFonts w:ascii="Nirmala UI" w:hAnsi="Nirmala UI" w:eastAsia="Nirmala UI" w:cs="Nirmala UI"/>
        </w:rPr>
        <w:t>රංශයන්</w:t>
      </w:r>
      <w:r>
        <w:rPr>
          <w:rFonts w:ascii="Times New Roman" w:hAnsi="Times New Roman" w:eastAsia="Times New Roman" w:cs="Times New Roman"/>
        </w:rPr>
        <w:t xml:space="preserve"> </w:t>
      </w:r>
      <w:r>
        <w:rPr>
          <w:rFonts w:ascii="Nirmala UI" w:hAnsi="Nirmala UI" w:eastAsia="Nirmala UI" w:cs="Nirmala UI"/>
        </w:rPr>
        <w:t>අතීතයේ</w:t>
      </w:r>
      <w:r>
        <w:rPr>
          <w:rFonts w:ascii="Times New Roman" w:hAnsi="Times New Roman" w:eastAsia="Times New Roman" w:cs="Times New Roman"/>
        </w:rPr>
        <w:t xml:space="preserve"> </w:t>
      </w:r>
      <w:r>
        <w:rPr>
          <w:rFonts w:ascii="Nirmala UI" w:hAnsi="Nirmala UI" w:eastAsia="Nirmala UI" w:cs="Nirmala UI"/>
        </w:rPr>
        <w:t>සිදුවී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ස්වභාවයේ</w:t>
      </w:r>
      <w:r>
        <w:rPr>
          <w:rFonts w:ascii="Times New Roman" w:hAnsi="Times New Roman" w:eastAsia="Times New Roman" w:cs="Times New Roman"/>
        </w:rPr>
        <w:t xml:space="preserve"> </w:t>
      </w:r>
      <w:r>
        <w:rPr>
          <w:rFonts w:ascii="Nirmala UI" w:hAnsi="Nirmala UI" w:eastAsia="Nirmala UI" w:cs="Nirmala UI"/>
        </w:rPr>
        <w:t>කාරණා</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උතුම්</w:t>
      </w:r>
      <w:r>
        <w:rPr>
          <w:rFonts w:ascii="Times New Roman" w:hAnsi="Times New Roman" w:eastAsia="Times New Roman" w:cs="Times New Roman"/>
        </w:rPr>
        <w:t xml:space="preserve"> </w:t>
      </w:r>
      <w:r>
        <w:rPr>
          <w:rFonts w:ascii="Nirmala UI" w:hAnsi="Nirmala UI" w:eastAsia="Nirmala UI" w:cs="Nirmala UI"/>
        </w:rPr>
        <w:t>බෙරෙයන්වරුන්</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එසේදැයි</w:t>
      </w:r>
      <w:r>
        <w:rPr>
          <w:rFonts w:ascii="Times New Roman" w:hAnsi="Times New Roman" w:eastAsia="Times New Roman" w:cs="Times New Roman"/>
        </w:rPr>
        <w:t xml:space="preserve"> </w:t>
      </w:r>
      <w:r>
        <w:rPr>
          <w:rFonts w:ascii="Nirmala UI" w:hAnsi="Nirmala UI" w:eastAsia="Nirmala UI" w:cs="Nirmala UI"/>
        </w:rPr>
        <w:t>තමන්ම</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ලියවිල්ල</w:t>
      </w:r>
      <w:r>
        <w:rPr>
          <w:rFonts w:ascii="Times New Roman" w:hAnsi="Times New Roman" w:eastAsia="Times New Roman" w:cs="Times New Roman"/>
        </w:rPr>
        <w:t xml:space="preserve"> </w:t>
      </w:r>
      <w:r>
        <w:rPr>
          <w:rFonts w:ascii="Nirmala UI" w:hAnsi="Nirmala UI" w:eastAsia="Nirmala UI" w:cs="Nirmala UI"/>
        </w:rPr>
        <w:t>සොයා</w:t>
      </w:r>
      <w:r>
        <w:rPr>
          <w:rFonts w:ascii="Times New Roman" w:hAnsi="Times New Roman" w:eastAsia="Times New Roman" w:cs="Times New Roman"/>
        </w:rPr>
        <w:t xml:space="preserve"> </w:t>
      </w:r>
      <w:r>
        <w:rPr>
          <w:rFonts w:ascii="Nirmala UI" w:hAnsi="Nirmala UI" w:eastAsia="Nirmala UI" w:cs="Nirmala UI"/>
        </w:rPr>
        <w:t>නොබලා</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රඳා</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කොපමණ</w:t>
      </w:r>
      <w:r>
        <w:rPr>
          <w:rFonts w:ascii="Times New Roman" w:hAnsi="Times New Roman" w:eastAsia="Times New Roman" w:cs="Times New Roman"/>
        </w:rPr>
        <w:t xml:space="preserve"> </w:t>
      </w:r>
      <w:r>
        <w:rPr>
          <w:rFonts w:ascii="Nirmala UI" w:hAnsi="Nirmala UI" w:eastAsia="Nirmala UI" w:cs="Nirmala UI"/>
        </w:rPr>
        <w:t>පහසුවෙන්</w:t>
      </w:r>
      <w:r>
        <w:rPr>
          <w:rFonts w:ascii="Times New Roman" w:hAnsi="Times New Roman" w:eastAsia="Times New Roman" w:cs="Times New Roman"/>
        </w:rPr>
        <w:t xml:space="preserve"> </w:t>
      </w:r>
      <w:r>
        <w:rPr>
          <w:rFonts w:ascii="Nirmala UI" w:hAnsi="Nirmala UI" w:eastAsia="Nirmala UI" w:cs="Nirmala UI"/>
        </w:rPr>
        <w:t>නොමඟ</w:t>
      </w:r>
      <w:r>
        <w:rPr>
          <w:rFonts w:ascii="Times New Roman" w:hAnsi="Times New Roman" w:eastAsia="Times New Roman" w:cs="Times New Roman"/>
        </w:rPr>
        <w:t xml:space="preserve"> </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ලබන්නේද</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පෙන්වීම</w:t>
      </w:r>
      <w:r>
        <w:rPr>
          <w:rFonts w:ascii="Times New Roman" w:hAnsi="Times New Roman" w:eastAsia="Times New Roman" w:cs="Times New Roman"/>
        </w:rPr>
        <w:t xml:space="preserve"> </w:t>
      </w:r>
      <w:r>
        <w:rPr>
          <w:rFonts w:ascii="Nirmala UI" w:hAnsi="Nirmala UI" w:eastAsia="Nirmala UI" w:cs="Nirmala UI"/>
        </w:rPr>
        <w:t>පිණිසය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මෙවැනි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සිදුවීමට</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සිදුවන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පිණිසය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Gadugi" w:hAnsi="Gadugi" w:eastAsia="Gadugi" w:cs="Gadugi"/>
        </w:rPr>
        <w:t>ᎠᏍᏓᏱᏳ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ᎢᏗᏤᎵ</w:t>
      </w:r>
      <w:r>
        <w:rPr>
          <w:rFonts w:ascii="Times New Roman" w:hAnsi="Times New Roman" w:eastAsia="Times New Roman" w:cs="Times New Roman"/>
        </w:rPr>
        <w:t xml:space="preserve"> </w:t>
      </w:r>
      <w:r>
        <w:rPr>
          <w:rFonts w:ascii="Gadugi" w:hAnsi="Gadugi" w:eastAsia="Gadugi" w:cs="Gadugi"/>
        </w:rPr>
        <w:t>ᎠᎦᏃᎵᏍᏗ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ᎢᏗᏤᎵ</w:t>
      </w:r>
      <w:r>
        <w:rPr>
          <w:rFonts w:ascii="Times New Roman" w:hAnsi="Times New Roman" w:eastAsia="Times New Roman" w:cs="Times New Roman"/>
        </w:rPr>
        <w:t xml:space="preserve"> </w:t>
      </w:r>
      <w:r>
        <w:rPr>
          <w:rFonts w:ascii="Gadugi" w:hAnsi="Gadugi" w:eastAsia="Gadugi" w:cs="Gadugi"/>
        </w:rPr>
        <w:t>ᎢᏓᏅᏃᏍᏗᏱ</w:t>
      </w:r>
      <w:r>
        <w:rPr>
          <w:rFonts w:ascii="Times New Roman" w:hAnsi="Times New Roman" w:eastAsia="Times New Roman" w:cs="Times New Roman"/>
        </w:rPr>
        <w:t xml:space="preserve"> </w:t>
      </w:r>
      <w:r>
        <w:rPr>
          <w:rFonts w:ascii="Gadugi" w:hAnsi="Gadugi" w:eastAsia="Gadugi" w:cs="Gadugi"/>
        </w:rPr>
        <w:t>ᎠᎵᏍᎪᎸᏗᏍᎬᎢ</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ᎠᏂᏓᏕᎿᎢ</w:t>
      </w:r>
      <w:r>
        <w:rPr>
          <w:rFonts w:ascii="Times New Roman" w:hAnsi="Times New Roman" w:eastAsia="Times New Roman" w:cs="Times New Roman"/>
        </w:rPr>
        <w:t xml:space="preserve"> </w:t>
      </w:r>
      <w:r>
        <w:rPr>
          <w:rFonts w:ascii="Gadugi" w:hAnsi="Gadugi" w:eastAsia="Gadugi" w:cs="Gadugi"/>
        </w:rPr>
        <w:t>ᎢᏗᎵᏍᏓᏴᏁᎸᎯ</w:t>
      </w:r>
      <w:r>
        <w:rPr>
          <w:rFonts w:ascii="Times New Roman" w:hAnsi="Times New Roman" w:eastAsia="Times New Roman" w:cs="Times New Roman"/>
        </w:rPr>
        <w:t xml:space="preserve">. </w:t>
      </w:r>
      <w:r>
        <w:rPr>
          <w:rFonts w:ascii="Gadugi" w:hAnsi="Gadugi" w:eastAsia="Gadugi" w:cs="Gadugi"/>
        </w:rPr>
        <w:t>ᎢᏗᎨᏥᎵᏍᏓᏴᏁᎵ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ᎤᏃᎯᏳᎲᏍᎬ</w:t>
      </w:r>
      <w:r>
        <w:rPr>
          <w:rFonts w:ascii="Times New Roman" w:hAnsi="Times New Roman" w:eastAsia="Times New Roman" w:cs="Times New Roman"/>
        </w:rPr>
        <w:t xml:space="preserve"> </w:t>
      </w:r>
      <w:r>
        <w:rPr>
          <w:rFonts w:ascii="Gadugi" w:hAnsi="Gadugi" w:eastAsia="Gadugi" w:cs="Gadugi"/>
        </w:rPr>
        <w:t>ᎢᏗᏓᏅᏙ</w:t>
      </w:r>
      <w:r>
        <w:rPr>
          <w:rFonts w:ascii="Times New Roman" w:hAnsi="Times New Roman" w:eastAsia="Times New Roman" w:cs="Times New Roman"/>
        </w:rPr>
        <w:t xml:space="preserve"> </w:t>
      </w:r>
      <w:r>
        <w:rPr>
          <w:rFonts w:ascii="Gadugi" w:hAnsi="Gadugi" w:eastAsia="Gadugi" w:cs="Gadugi"/>
        </w:rPr>
        <w:t>ᎢᏗᎨᏥᏲᏍᏗ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ᎠᏗᏂᏢᏍᎬᎢ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ᎤᏂᎯᏗᏳ</w:t>
      </w:r>
      <w:r>
        <w:rPr>
          <w:rFonts w:ascii="Times New Roman" w:hAnsi="Times New Roman" w:eastAsia="Times New Roman" w:cs="Times New Roman"/>
        </w:rPr>
        <w:t xml:space="preserve"> </w:t>
      </w:r>
      <w:r>
        <w:rPr>
          <w:rFonts w:ascii="Gadugi" w:hAnsi="Gadugi" w:eastAsia="Gadugi" w:cs="Gadugi"/>
        </w:rPr>
        <w:t>ᎠᏂᏴᏫᏯᏍᏗᏱ</w:t>
      </w:r>
      <w:r>
        <w:rPr>
          <w:rFonts w:ascii="Times New Roman" w:hAnsi="Times New Roman" w:eastAsia="Times New Roman" w:cs="Times New Roman"/>
        </w:rPr>
        <w:t xml:space="preserve"> </w:t>
      </w:r>
      <w:r>
        <w:rPr>
          <w:rFonts w:ascii="Gadugi" w:hAnsi="Gadugi" w:eastAsia="Gadugi" w:cs="Gadugi"/>
        </w:rPr>
        <w:t>ᏱᏂᎦᎵᏍᏗᏍᎪᎢ</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ᏣᎦᏅᏙᏗᏍᎬᎢ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ᏱᏚᎸᏫᏍᏓᏁ</w:t>
      </w:r>
      <w:r>
        <w:rPr>
          <w:rFonts w:ascii="Times New Roman" w:hAnsi="Times New Roman" w:eastAsia="Times New Roman" w:cs="Times New Roman"/>
        </w:rPr>
        <w:t xml:space="preserve"> </w:t>
      </w:r>
      <w:r>
        <w:rPr>
          <w:rFonts w:ascii="Gadugi" w:hAnsi="Gadugi" w:eastAsia="Gadugi" w:cs="Gadugi"/>
        </w:rPr>
        <w:t>ᎤᏍᏆᏂᎪᏙᏗ</w:t>
      </w:r>
      <w:r>
        <w:rPr>
          <w:rFonts w:ascii="Times New Roman" w:hAnsi="Times New Roman" w:eastAsia="Times New Roman" w:cs="Times New Roman"/>
        </w:rPr>
        <w:t xml:space="preserve"> </w:t>
      </w:r>
      <w:r>
        <w:rPr>
          <w:rFonts w:ascii="Gadugi" w:hAnsi="Gadugi" w:eastAsia="Gadugi" w:cs="Gadugi"/>
        </w:rPr>
        <w:t>ᏗᏓᎴᏂᏍᎬᎢ</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ᏄᎵᏖᎸᎾ</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ᎤᏓᎶᏄᎮᏛ</w:t>
      </w:r>
      <w:r>
        <w:rPr>
          <w:rFonts w:ascii="Times New Roman" w:hAnsi="Times New Roman" w:eastAsia="Times New Roman" w:cs="Times New Roman"/>
        </w:rPr>
        <w:t xml:space="preserve"> </w:t>
      </w:r>
      <w:r>
        <w:rPr>
          <w:rFonts w:ascii="Gadugi" w:hAnsi="Gadugi" w:eastAsia="Gadugi" w:cs="Gadugi"/>
        </w:rPr>
        <w:t>ᎬᏗᏍᎬᎢ</w:t>
      </w:r>
      <w:r>
        <w:rPr>
          <w:rFonts w:ascii="Times New Roman" w:hAnsi="Times New Roman" w:eastAsia="Times New Roman" w:cs="Times New Roman"/>
        </w:rPr>
        <w:t>—</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ᎠᏆᏛᏗᏍᎬ</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ᎠᏗᏃᎮᏍᎬᎢ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ᎤᏍᏛᏅᎢ</w:t>
      </w:r>
      <w:r>
        <w:rPr>
          <w:rFonts w:ascii="Times New Roman" w:hAnsi="Times New Roman" w:eastAsia="Times New Roman" w:cs="Times New Roman"/>
        </w:rPr>
        <w:t xml:space="preserve"> </w:t>
      </w:r>
      <w:r>
        <w:rPr>
          <w:rFonts w:ascii="Gadugi" w:hAnsi="Gadugi" w:eastAsia="Gadugi" w:cs="Gadugi"/>
        </w:rPr>
        <w:t>ᎠᏓᏅᏙᏗᏍᎬᎢ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ᎤᏍᏆᏂᎪᏗᏳ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ᎤᎸᏫᏍᏓᏁᎸ</w:t>
      </w:r>
      <w:r>
        <w:rPr>
          <w:rFonts w:ascii="Times New Roman" w:hAnsi="Times New Roman" w:eastAsia="Times New Roman" w:cs="Times New Roman"/>
        </w:rPr>
        <w:t xml:space="preserve"> </w:t>
      </w:r>
      <w:r>
        <w:rPr>
          <w:rFonts w:ascii="Gadugi" w:hAnsi="Gadugi" w:eastAsia="Gadugi" w:cs="Gadugi"/>
        </w:rPr>
        <w:t>ᏗᎸᏫᏍᏓᏁᎲ</w:t>
      </w:r>
      <w:r>
        <w:rPr>
          <w:rFonts w:ascii="Times New Roman" w:hAnsi="Times New Roman" w:eastAsia="Times New Roman" w:cs="Times New Roman"/>
        </w:rPr>
        <w:t xml:space="preserve"> </w:t>
      </w:r>
      <w:r>
        <w:rPr>
          <w:rFonts w:ascii="Gadugi" w:hAnsi="Gadugi" w:eastAsia="Gadugi" w:cs="Gadugi"/>
        </w:rPr>
        <w:t>ᏣᏛᏁᎮᏍᎬᎢ</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ᎤᏍᏕᎸᏙᏗ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ᏗᏂᏲᎯᏍᏗᏱ</w:t>
      </w:r>
      <w:r>
        <w:rPr>
          <w:rFonts w:ascii="Times New Roman" w:hAnsi="Times New Roman" w:eastAsia="Times New Roman" w:cs="Times New Roman"/>
        </w:rPr>
        <w:t xml:space="preserve"> </w:t>
      </w:r>
      <w:r>
        <w:rPr>
          <w:rFonts w:ascii="Gadugi" w:hAnsi="Gadugi" w:eastAsia="Gadugi" w:cs="Gadugi"/>
        </w:rPr>
        <w:t>ᎦᏰᎯᏍᏗ</w:t>
      </w:r>
      <w:r>
        <w:rPr>
          <w:rFonts w:ascii="Times New Roman" w:hAnsi="Times New Roman" w:eastAsia="Times New Roman" w:cs="Times New Roman"/>
        </w:rPr>
        <w:t xml:space="preserve"> </w:t>
      </w:r>
      <w:r>
        <w:rPr>
          <w:rFonts w:ascii="Gadugi" w:hAnsi="Gadugi" w:eastAsia="Gadugi" w:cs="Gadugi"/>
        </w:rPr>
        <w:t>ᎠᏂᏙᎯ</w:t>
      </w:r>
      <w:r>
        <w:rPr>
          <w:rFonts w:ascii="Times New Roman" w:hAnsi="Times New Roman" w:eastAsia="Times New Roman" w:cs="Times New Roman"/>
        </w:rPr>
        <w:t xml:space="preserve"> </w:t>
      </w:r>
      <w:r>
        <w:rPr>
          <w:rFonts w:ascii="Gadugi" w:hAnsi="Gadugi" w:eastAsia="Gadugi" w:cs="Gadugi"/>
        </w:rPr>
        <w:t>ᏗᎦᎶᏁᏛ</w:t>
      </w:r>
      <w:r>
        <w:rPr>
          <w:rFonts w:ascii="Times New Roman" w:hAnsi="Times New Roman" w:eastAsia="Times New Roman" w:cs="Times New Roman"/>
        </w:rPr>
        <w:t>?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ᏱᏥᏍᏓᏩᏗᏒᎩ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ɛsɛ sɛ wɔte nkyerɛkyerɛ no ase pefee. Mmarima a wɔagye wɔn atom sɛ wɔnkɔka nokware no ho asɛm no, ɛsɛ sɛ wɔasi wɔn gyidi mu pintinn; na ɛno na wɔn po so hyɛn bɛgyina ahoɔden mu atia ahum ne mframa den, efisɛ hyɛmma no kura wɔn mu denneennen. Nnaadaa no bɛkɔ so adɔɔso, na ɛsɛ sɛ yɛfrɛ atuatew din a ɛfata no. Ɛsɛ sɛ yɛgyina hɔ a yɛhyɛ akode nyinaa. Saa akodi yi mu no, ɛnyɛ nnipa nko ara na yehyia wɔn, na mmom mpanyimfo ne tumi ahorow. Yɛn ko no nyɛ honam ne mogya ho. Ma wɔmfa Efesofo 6:10–18 nkenkan wɔ yɛn asafo mu yie na ɛmfa nkɔnsɔnkɔnsɔnnhyɛ no mu.”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هفتاد و نهم</dc:title>
  <dc:subject>Dévoilement de la rébellion de 1888 : leçons tirées de la deuxième génération de l’adventisme laodicéen</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