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دانی‌ایل — نمبر تراسی و درے</w:t>
      </w:r>
    </w:p>
    <w:p>
      <w:pPr>
        <w:pStyle w:val="ArticleSubtitle"/>
        <w:jc w:val="left"/>
      </w:pPr>
      <w:r>
        <w:rPr>
          <w:rFonts w:ascii="Arial" w:hAnsi="Arial" w:eastAsia="Arial" w:cs="Arial"/>
        </w:rPr>
        <w:t>Hatua Nne za Uadventista wa Laodikia: Kufunua Machukizo Yanayoendelea Kuongezeka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Nirmala UI" w:hAnsi="Nirmala UI" w:eastAsia="Nirmala UI" w:cs="Nirmala UI"/>
        </w:rPr>
        <w:t>યહેજકેલ</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આઠમાં</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ક્રમશઃ</w:t>
      </w:r>
      <w:r>
        <w:rPr>
          <w:rFonts w:ascii="Times New Roman" w:hAnsi="Times New Roman" w:eastAsia="Times New Roman" w:cs="Times New Roman"/>
        </w:rPr>
        <w:t xml:space="preserve"> </w:t>
      </w:r>
      <w:r>
        <w:rPr>
          <w:rFonts w:ascii="Nirmala UI" w:hAnsi="Nirmala UI" w:eastAsia="Nirmala UI" w:cs="Nirmala UI"/>
        </w:rPr>
        <w:t>વધતી</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લાઉદીકેયન</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પેઢીઓનું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1863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બળવાખોરતાએ</w:t>
      </w:r>
      <w:r>
        <w:rPr>
          <w:rFonts w:ascii="Times New Roman" w:hAnsi="Times New Roman" w:eastAsia="Times New Roman" w:cs="Times New Roman"/>
        </w:rPr>
        <w:t xml:space="preserve"> </w:t>
      </w:r>
      <w:r>
        <w:rPr>
          <w:rFonts w:ascii="Nirmala UI" w:hAnsi="Nirmala UI" w:eastAsia="Nirmala UI" w:cs="Nirmala UI"/>
        </w:rPr>
        <w:t>હબક્કૂકની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પટ્ટિકાઓનો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પ્રતિરૂપ</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આરોનએ</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મોસાને</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આજ્ઞાઓની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પટ્ટિકાઓ</w:t>
      </w:r>
      <w:r>
        <w:rPr>
          <w:rFonts w:ascii="Times New Roman" w:hAnsi="Times New Roman" w:eastAsia="Times New Roman" w:cs="Times New Roman"/>
        </w:rPr>
        <w:t xml:space="preserve"> </w:t>
      </w:r>
      <w:r>
        <w:rPr>
          <w:rFonts w:ascii="Nirmala UI" w:hAnsi="Nirmala UI" w:eastAsia="Nirmala UI" w:cs="Nirmala UI"/>
        </w:rPr>
        <w:t>અર્પી</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સોનાના</w:t>
      </w:r>
      <w:r>
        <w:rPr>
          <w:rFonts w:ascii="Times New Roman" w:hAnsi="Times New Roman" w:eastAsia="Times New Roman" w:cs="Times New Roman"/>
        </w:rPr>
        <w:t xml:space="preserve"> </w:t>
      </w:r>
      <w:r>
        <w:rPr>
          <w:rFonts w:ascii="Nirmala UI" w:hAnsi="Nirmala UI" w:eastAsia="Nirmala UI" w:cs="Nirmala UI"/>
        </w:rPr>
        <w:t>વાછરડાથી</w:t>
      </w:r>
      <w:r>
        <w:rPr>
          <w:rFonts w:ascii="Times New Roman" w:hAnsi="Times New Roman" w:eastAsia="Times New Roman" w:cs="Times New Roman"/>
        </w:rPr>
        <w:t xml:space="preserve"> </w:t>
      </w:r>
      <w:r>
        <w:rPr>
          <w:rFonts w:ascii="Nirmala UI" w:hAnsi="Nirmala UI" w:eastAsia="Nirmala UI" w:cs="Nirmala UI"/>
        </w:rPr>
        <w:t>ઈર્ષ્યાની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પ્રતિમા</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લાઉદીકેયન</w:t>
      </w:r>
      <w:r>
        <w:rPr>
          <w:rFonts w:ascii="Times New Roman" w:hAnsi="Times New Roman" w:eastAsia="Times New Roman" w:cs="Times New Roman"/>
        </w:rPr>
        <w:t xml:space="preserve"> </w:t>
      </w:r>
      <w:r>
        <w:rPr>
          <w:rFonts w:ascii="Nirmala UI" w:hAnsi="Nirmala UI" w:eastAsia="Nirmala UI" w:cs="Nirmala UI"/>
        </w:rPr>
        <w:t>એડ્વેન્ટિઝમે</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સ્વપ્નમાં</w:t>
      </w:r>
      <w:r>
        <w:rPr>
          <w:rFonts w:ascii="Times New Roman" w:hAnsi="Times New Roman" w:eastAsia="Times New Roman" w:cs="Times New Roman"/>
        </w:rPr>
        <w:t xml:space="preserve"> </w:t>
      </w:r>
      <w:r>
        <w:rPr>
          <w:rFonts w:ascii="Nirmala UI" w:hAnsi="Nirmala UI" w:eastAsia="Nirmala UI" w:cs="Nirmala UI"/>
        </w:rPr>
        <w:t>દર્શાવ્યા</w:t>
      </w:r>
      <w:r>
        <w:rPr>
          <w:rFonts w:ascii="Times New Roman" w:hAnsi="Times New Roman" w:eastAsia="Times New Roman" w:cs="Times New Roman"/>
        </w:rPr>
        <w:t xml:space="preserve"> </w:t>
      </w:r>
      <w:r>
        <w:rPr>
          <w:rFonts w:ascii="Nirmala UI" w:hAnsi="Nirmala UI" w:eastAsia="Nirmala UI" w:cs="Nirmala UI"/>
        </w:rPr>
        <w:t>મુજબ</w:t>
      </w:r>
      <w:r>
        <w:rPr>
          <w:rFonts w:ascii="Times New Roman" w:hAnsi="Times New Roman" w:eastAsia="Times New Roman" w:cs="Times New Roman"/>
        </w:rPr>
        <w:t xml:space="preserve">, </w:t>
      </w:r>
      <w:r>
        <w:rPr>
          <w:rFonts w:ascii="Nirmala UI" w:hAnsi="Nirmala UI" w:eastAsia="Nirmala UI" w:cs="Nirmala UI"/>
        </w:rPr>
        <w:t>પાયાના</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પેઢીના</w:t>
      </w:r>
      <w:r>
        <w:rPr>
          <w:rFonts w:ascii="Times New Roman" w:hAnsi="Times New Roman" w:eastAsia="Times New Roman" w:cs="Times New Roman"/>
        </w:rPr>
        <w:t xml:space="preserve"> </w:t>
      </w:r>
      <w:r>
        <w:rPr>
          <w:rFonts w:ascii="Nirmala UI" w:hAnsi="Nirmala UI" w:eastAsia="Nirmala UI" w:cs="Nirmala UI"/>
        </w:rPr>
        <w:t>નેતૃત્વે</w:t>
      </w:r>
      <w:r>
        <w:rPr>
          <w:rFonts w:ascii="Times New Roman" w:hAnsi="Times New Roman" w:eastAsia="Times New Roman" w:cs="Times New Roman"/>
        </w:rPr>
        <w:t xml:space="preserve"> </w:t>
      </w:r>
      <w:r>
        <w:rPr>
          <w:rFonts w:ascii="Nirmala UI" w:hAnsi="Nirmala UI" w:eastAsia="Nirmala UI" w:cs="Nirmala UI"/>
        </w:rPr>
        <w:t>બાઇબલની</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Spirit of Prophecy</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નકારવાનું</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વિકસ્યો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કેલોગનો</w:t>
      </w:r>
      <w:r>
        <w:rPr>
          <w:rFonts w:ascii="Times New Roman" w:hAnsi="Times New Roman" w:eastAsia="Times New Roman" w:cs="Times New Roman"/>
        </w:rPr>
        <w:t xml:space="preserve"> </w:t>
      </w:r>
      <w:r>
        <w:rPr>
          <w:rFonts w:ascii="Nirmala UI" w:hAnsi="Nirmala UI" w:eastAsia="Nirmala UI" w:cs="Nirmala UI"/>
        </w:rPr>
        <w:t>આત્મિકવાદ</w:t>
      </w:r>
      <w:r>
        <w:rPr>
          <w:rFonts w:ascii="Times New Roman" w:hAnsi="Times New Roman" w:eastAsia="Times New Roman" w:cs="Times New Roman"/>
        </w:rPr>
        <w:t xml:space="preserve"> (pantheism), 1888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પ્રવેશી</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uasi wa mwaka 1888, ushirikina wa kiroho uliowakilishwa na vyumba vya taswira vya Ezekieli ulifikia hatua ambapo wajumbe wa Minneapolis, na nabii wa kike, na hata Roho Mtakatifu walikataliwa.</w:t>
      </w:r>
    </w:p>
    <w:p>
      <w:pPr>
        <w:pStyle w:val="ArticleScripture"/>
        <w:jc w:val="left"/>
      </w:pPr>
      <w:r>
        <w:rPr>
          <w:rFonts w:ascii="Times New Roman" w:hAnsi="Times New Roman" w:eastAsia="Times New Roman" w:cs="Times New Roman"/>
        </w:rPr>
        <w:t>“Wir haben in unserer Erfahrung gesehen, dass, wenn der Herr Strahlen des Lichts aus der offenen Tür des Heiligtums zu Seinem Volk sendet, Satan die Gemüter vieler in Bewegung setzt. Aber das Ende ist noch nicht. Es wird solche geben, die dem Licht widerstehen und diejenigen niederdrängen werden, die Gott zu Seinen Kanälen gemacht hat, um Licht zu vermitteln. Geistliche Dinge werden nicht geistlich erkannt. Die Wächter haben mit der sich eröffnenden Vorsehung Gottes nicht Schritt gehalten, und die wahrhaft vom Himmel gesandte Botschaft und die Boten werden verachtet.”</w:t>
      </w:r>
    </w:p>
    <w:p>
      <w:pPr>
        <w:pStyle w:val="ArticleScripture"/>
        <w:jc w:val="left"/>
      </w:pPr>
      <w:r>
        <w:rPr>
          <w:rFonts w:ascii="Times New Roman" w:hAnsi="Times New Roman" w:eastAsia="Times New Roman" w:cs="Times New Roman"/>
        </w:rPr>
        <w:t>“Bude z tohto zhromaždenia odchádzať mužov, ktorí tvrdia, že poznajú pravdu, a pritom si okolo svojich duší zhromažďujú rúcha, ktoré neboli utkané na nebeskom tkáčskom stave. Duch, ktorého tu prijali, si odnesú so sebou. Chvejem sa o budúcnosť nášho diela. Tí, ktorí sa na tomto mieste nepoddajú dôkazom, ktoré Boh dal, budú bojovať proti svojim bratom, ktorých Boh používa. Veľmi to sťažia, keď prídu príležitosti, v ktorých budú môcť ďalej a stále pokračovať v tom istom druhu boja, do akého sa doteraz zapájali. Títo muži budú mať príležitosti presvedčiť sa, že bojovali proti Svätému Duchu Božiemu. Niektorí budú presvedčení; iní sa budú pevne pridŕžať svojho vlastného ducha. Nezomrú sebe a nedovolia Pánu Ježišovi vstúpiť do svojich sŕdc. Budú čoraz viac klamaní, až nebudú schopní rozoznať pravdu a spravodlivosť. Pod vplyvom iného ducha sa budú usilovať vtlačiť dielu podobu, ktorú Boh neschváli; a budú sa snažiť prejavovať vlastnosti satana tým, že si budú osobovať vládu nad ľudskými mysľami, a tak ovládať Božie dielo a vec.”</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उपवास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बैठकर</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पूर्वाग्रह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अनुकूल</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The 1888 Materials, 832.</w:t>
      </w:r>
    </w:p>
    <w:p>
      <w:pPr>
        <w:pStyle w:val="ArticleBody"/>
        <w:jc w:val="left"/>
      </w:pPr>
      <w:r>
        <w:rPr>
          <w:rFonts w:ascii="Times New Roman" w:hAnsi="Times New Roman" w:eastAsia="Times New Roman" w:cs="Times New Roman"/>
        </w:rPr>
        <w:t>1888-</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কার্যসম্বন্ধে</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ভবিষ্যৎ</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কম্পিত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দেখেছিলেন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সভা</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নেতৃস্থানীয়</w:t>
      </w:r>
      <w:r>
        <w:rPr>
          <w:rFonts w:ascii="Times New Roman" w:hAnsi="Times New Roman" w:eastAsia="Times New Roman" w:cs="Times New Roman"/>
        </w:rPr>
        <w:t xml:space="preserve"> </w:t>
      </w:r>
      <w:r>
        <w:rPr>
          <w:rFonts w:ascii="Nirmala UI" w:hAnsi="Nirmala UI" w:eastAsia="Nirmala UI" w:cs="Nirmala UI"/>
        </w:rPr>
        <w:t>পুরুষদের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“the daily”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বিতর্কই</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ভবিষ্যদ্বাণীগুলি</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উপরেই</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বার্তাবাহকদের</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নতিস্বীকার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প্রজন্ম</w:t>
      </w:r>
      <w:r>
        <w:rPr>
          <w:rFonts w:ascii="Times New Roman" w:hAnsi="Times New Roman" w:eastAsia="Times New Roman" w:cs="Times New Roman"/>
        </w:rPr>
        <w:t xml:space="preserve"> </w:t>
      </w:r>
      <w:r>
        <w:rPr>
          <w:rFonts w:ascii="Nirmala UI" w:hAnsi="Nirmala UI" w:eastAsia="Nirmala UI" w:cs="Nirmala UI"/>
        </w:rPr>
        <w:t>দেখেছিল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প্রকাশনা</w:t>
      </w:r>
      <w:r>
        <w:rPr>
          <w:rFonts w:ascii="Times New Roman" w:hAnsi="Times New Roman" w:eastAsia="Times New Roman" w:cs="Times New Roman"/>
        </w:rPr>
        <w:t>-</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স্যানিটেরিয়াম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অগ্নিতে</w:t>
      </w:r>
      <w:r>
        <w:rPr>
          <w:rFonts w:ascii="Times New Roman" w:hAnsi="Times New Roman" w:eastAsia="Times New Roman" w:cs="Times New Roman"/>
        </w:rPr>
        <w:t xml:space="preserve"> </w:t>
      </w:r>
      <w:r>
        <w:rPr>
          <w:rFonts w:ascii="Nirmala UI" w:hAnsi="Nirmala UI" w:eastAsia="Nirmala UI" w:cs="Nirmala UI"/>
        </w:rPr>
        <w:t>ভস্মীভূত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গেল।</w:t>
      </w:r>
    </w:p>
    <w:p>
      <w:pPr>
        <w:pStyle w:val="ArticleScripture"/>
        <w:jc w:val="left"/>
      </w:pPr>
      <w:r>
        <w:rPr>
          <w:rFonts w:ascii="Times New Roman" w:hAnsi="Times New Roman" w:eastAsia="Times New Roman" w:cs="Times New Roman"/>
        </w:rPr>
        <w:t>“Bugun men Elder Daniellsdan Review idorasining yong‘in tufayli vayron bo‘lgani haqida maktub oldim. Ish yo‘li uchun bu buyuk yo‘qotishni o‘ylaganimda, qalbim nihoyatda g‘amga botadi. Bilamanki, bu ish uchun mas’ul bo‘lgan birodarlar va idora xodimlari uchun juda og‘ir sinov davridir. Men azob chekayotganlarning barchasi bilan birga azob chekaman. Ammo bu qayg‘uli xabardan hayratlanmadim, chunki tun vahiylarida men Battle Creek uzra olovdek qilichini cho‘zib turgan bir farishtani ko‘rganman. Bir safar, kunduzi, qalamim qo‘limda ekan, hushimni yo‘qotdim, va go‘yo bu alangali qilich avval bir tomonga, so‘ng boshqa tomonga burilayotgandek tuyuldi. Falokat ortidan falokat kelayotgandek edi, chunki odamlarning o‘zlarini yuksaltirish va ulug‘lash uchun qilgan rejalari bilan Xudo tahqirlangan edi.</w:t>
      </w:r>
    </w:p>
    <w:p>
      <w:pPr>
        <w:pStyle w:val="ArticleScripture"/>
        <w:jc w:val="left"/>
      </w:pPr>
      <w:r>
        <w:rPr>
          <w:rFonts w:ascii="Times New Roman" w:hAnsi="Times New Roman" w:eastAsia="Times New Roman" w:cs="Times New Roman"/>
        </w:rPr>
        <w:t>«Κατὰ τὸ πρωίον τοῦτο ὠθήθην εἰς σπουδαίαν προσευχὴν ἵνα ὁ Κύριος ὁδηγήσῃ πάντας τοὺς συνδεομένους μετὰ τοῦ γραφείου τοῦ Review and Herald νὰ ἐπιδοθῶσιν εἰς ἐπιμελῆ ἐξέτασιν, ἵνα ἴδωσιν εἰς τίνα σημεῖα ἠμέλησαν τὰ πολλὰ μηνύματα ἃ ὁ Θεὸς ἔδωκεν.»</w:t>
      </w:r>
    </w:p>
    <w:p>
      <w:pPr>
        <w:pStyle w:val="ArticleScripture"/>
        <w:jc w:val="left"/>
      </w:pPr>
      <w:r>
        <w:rPr>
          <w:rFonts w:ascii="Times New Roman" w:hAnsi="Times New Roman" w:eastAsia="Times New Roman" w:cs="Times New Roman"/>
        </w:rPr>
        <w:t>“Ɖe asi a woabɔ me no, na anuanom a wɔwɔ Review adwumayɛbea hɔ bisaa me m’afotuo fa ɔdan foforo bi si ho. Saa bere no mekae sɛ, sɛ wɔn a na wɔpɛ sɛ wɔde ɔdan foforo ka Review and Herald adwumayɛbea no ho no hunu daakye no wɔ wɔn anim, sɛ wobetumi ahu nea ɛbɛba Battle Creek a, anka wɔrennya asɛm biara fa ɔdan foforo si hɔ ho. Onyankopɔn kae sɛ: ‘Wɔabu M’asɛm animtiaa; na Mɛdane na Maatutu agu.’”</w:t>
      </w:r>
    </w:p>
    <w:p>
      <w:pPr>
        <w:pStyle w:val="ArticleScripture"/>
        <w:jc w:val="left"/>
      </w:pPr>
      <w:r>
        <w:rPr>
          <w:rFonts w:ascii="Times New Roman" w:hAnsi="Times New Roman" w:eastAsia="Times New Roman" w:cs="Times New Roman"/>
        </w:rPr>
        <w:t>„Bei der Generalkonferenz, die 1901 in Battle Creek abgehalten wurde, gab der Herr seinem Volk Beweise dafür, dass er zur Reformation rief. Die Gewissen wurden überführt, und die Herzen wurden berührt; doch ein gründliches Werk wurde nicht getan. Hätten die verhärteten Herzen sich damals in Reue vor Gott gebeugt, so wäre eine der größten Offenbarungen der Macht Gottes zu sehen gewesen, die je gesehen worden ist. Aber Gott wurde nicht geehrt. Die Zeugnisse seines Geistes wurden nicht beachtet. Die Menschen trennten sich nicht von den Praktiken, die in entschiedenem Gegensatz zu den Grundsätzen der Wahrheit und Gerechtigkeit standen, die im Werk des Herrn allezeit aufrechterhalten werden sollten.״</w:t>
      </w:r>
    </w:p>
    <w:p>
      <w:pPr>
        <w:pStyle w:val="ArticleScripture"/>
        <w:jc w:val="left"/>
      </w:pPr>
      <w:r>
        <w:rPr>
          <w:rFonts w:ascii="Times New Roman" w:hAnsi="Times New Roman" w:eastAsia="Times New Roman" w:cs="Times New Roman"/>
        </w:rPr>
        <w:t>“Efez’deki kiliseye ve Sardis’teki kiliseye verilen mesajlar, halkı için bana öğretim veren Kişi tarafından bana sık sık tekrar edilmiştir. ‘Efez kilisesinin meleğine yaz; Sağ elinde yedi yıldızı tutan, yedi altın şamdanın ortasında yürüyen şöyle diyor: İşlerini, emeğini ve sabrını biliyorum; kötü olanlara katlanamadığını; elçi olduklarını söyleyip de öyle olmayanları sınadığını ve onları yalancı bulduğunu biliyorum. Katlandın, sabrettin, Benim adım uğruna emek verdin ve yılmadın. Ne var ki, sana karşı bir şeyim var: ilk sevgini terk ettin. Bunun için, nereden düştüğünü hatırla, tövbe et ve başlangıçtaki işleri yap; yoksa çabucak sana gelir, tövbe etmezsen şamdanını yerinden kaldırırım.’ Vahiy 2:1–5.”</w:t>
      </w:r>
    </w:p>
    <w:p>
      <w:pPr>
        <w:pStyle w:val="ArticleScripture"/>
        <w:jc w:val="left"/>
      </w:pPr>
      <w:r>
        <w:rPr>
          <w:rFonts w:ascii="Times New Roman" w:hAnsi="Times New Roman" w:eastAsia="Times New Roman" w:cs="Times New Roman"/>
        </w:rPr>
        <w:t>«</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সার্দিসস্থ</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নক্ষত্র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অথচ</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মৃত্যুপথযাত্রী</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পাই</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শুনিয়াছ</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ফিরাও।</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চোরের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প্রহরে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Nous voyons l’accomplissement de ces avertissements. Jamais les Écritures n’ont été accomplies plus rigoureusement que celles-ci. »</w:t>
      </w:r>
    </w:p>
    <w:p>
      <w:pPr>
        <w:pStyle w:val="ArticleScripture"/>
        <w:jc w:val="left"/>
      </w:pPr>
      <w:r>
        <w:rPr>
          <w:rFonts w:ascii="Times New Roman" w:hAnsi="Times New Roman" w:eastAsia="Times New Roman" w:cs="Times New Roman"/>
        </w:rPr>
        <w:t>“Les hommes peuvent ériger les édifices les plus soigneusement construits, à l’épreuve du feu; mais un seul attouchement de la main de Dieu, une seule étincelle venue du ciel, emportera tout refuge.</w:t>
      </w:r>
    </w:p>
    <w:p>
      <w:pPr>
        <w:pStyle w:val="ArticleScripture"/>
        <w:jc w:val="left"/>
      </w:pPr>
      <w:r>
        <w:rPr>
          <w:rFonts w:ascii="Times New Roman" w:hAnsi="Times New Roman" w:eastAsia="Times New Roman" w:cs="Times New Roman"/>
        </w:rPr>
        <w:t>«دا پوښتنه شوې ده چې ایا زه کومه مشوره لرم چې ورکړم. ما لا دمخه هغه مشوره ورکړې ده چې خدای ماته راکړې وه، په دې هیله چې هغه اورینه توره، چې پر بټل کریک ځوړنده وه، د راولوېدو څخه وساتل شي. اوس هغه څه چې زه ترې وېرېدم، راورسېدل—د Review and Herald د ودانۍ د سوځېدو خبر. کله چې دا خبر راورسېد، ما هېڅ حیرانتیا احساس نه کړه، او د ویلو لپاره مې هېڅ خبرې نه لرلې. هغه څه چې ما وخت په وخت د اخطارونو په بڼه ویلي وو، هېڅ اغېز یې ونه کړ، مګر دا چې هغه کسان یې لا سخت کړل چې اورېدلي یې وو، او اوس زه یوازې دومره ویلی شم: زه ډېر خواشیني یم، بېخي ډېر خواشیني یم، چې اړینه وه دا ګوزار راشي. پوره رڼا ورکړل شوې وه. که پر هغې عمل شوی وای، نوره رڼا به اړتیا نه لرله.» Testimonies, volume 8, 97–99.</w:t>
      </w:r>
    </w:p>
    <w:p>
      <w:pPr>
        <w:pStyle w:val="ArticleBody"/>
        <w:jc w:val="left"/>
      </w:pPr>
      <w:r>
        <w:rPr>
          <w:rFonts w:ascii="Times New Roman" w:hAnsi="Times New Roman" w:eastAsia="Times New Roman" w:cs="Times New Roman"/>
        </w:rPr>
        <w:t>Роде дуюмым андвентизым наибт 1-ягенишехь хилира дац, хӀетта Иезекииль-пайхамарин восьмой кхеторан дӀаяхкаран кхочушдаларца, тӀехьара тӀе къовсам тӀехьара а лоьру кхета белгалдора.</w:t>
      </w:r>
    </w:p>
    <w:p>
      <w:pPr>
        <w:pStyle w:val="ArticleScripture"/>
        <w:jc w:val="left"/>
      </w:pPr>
      <w:r>
        <w:rPr>
          <w:rFonts w:ascii="Times New Roman" w:hAnsi="Times New Roman" w:eastAsia="Times New Roman" w:cs="Times New Roman"/>
        </w:rPr>
        <w:t>« Par des messages écrits et par le feu, le Seigneur a déclaré qu’il veut que son peuple quitte Battle Creek. Que Dieu nous aide à entendre sa voix. Ne signifie-t-il donc rien pour nous que nos deux grandes institutions de Battle Creek aient été emportées par le feu ? Vous pouvez dire : “Mais le nouveau Sanatorium a beaucoup de patients.” Oui ; mais même s’il y avait là plusieurs milliers de patients, cela ne constituerait nullement un argument en faveur de l’établissement de foyers par notre peuple à Battle Creek, ni de son installation en ce lieu. »</w:t>
      </w:r>
    </w:p>
    <w:p>
      <w:pPr>
        <w:pStyle w:val="ArticleScripture"/>
        <w:jc w:val="left"/>
      </w:pPr>
      <w:r>
        <w:rPr>
          <w:rFonts w:ascii="Times New Roman" w:hAnsi="Times New Roman" w:eastAsia="Times New Roman" w:cs="Times New Roman"/>
        </w:rPr>
        <w:t>“Les tentations augmentent. Les hommes rejettent la lumière que Dieu a envoyée dans les Témoignages de son Esprit, et ils choisissent leurs propres inventions et leurs propres plans. Les hommes continueront-ils à se séparer de Dieu ? Doit-il manifester son déplaisir d’une manière encore plus marquée qu’il ne l’a déjà fait ?” Pamphlets, SpTB06, 45.</w:t>
      </w:r>
    </w:p>
    <w:p>
      <w:pPr>
        <w:pStyle w:val="ArticleBody"/>
        <w:jc w:val="left"/>
      </w:pPr>
      <w:r>
        <w:rPr>
          <w:rFonts w:ascii="Times New Roman" w:hAnsi="Times New Roman" w:eastAsia="Times New Roman" w:cs="Times New Roman"/>
        </w:rPr>
        <w:t>Homoj “elektadis siajn proprajn elpensojn kaj siajn proprajn planojn,” kiel reprezentite de la sepdek plejaĝuloj en la bildaj ĉambroj de Jeĥezkel ĉapitro ok, kiuj proklamis: “La Eternulo nin ne vidas.” La Eternulo starigis profetininon kaj donis al ŝi “malfermitajn viziojn” dum ĝuste kvardek jaroj, ĝis 1884. Li metis sian subskribon sur ĉi tiun donacon, ĉar Li ĝin donis kaj ĝin finis en urbo nomata Portland, kaj Li ĝin donis por kvardek jaroj. Ĝuste antaŭ la ĉeso de la “malfermitaj vizioj” la maljunaj viroj komencis subfosi la aŭtoritaton de la Biblio kaj de la Spirito de Profetaĵo en 1881 kaj 1882. La “malfermitaj vizioj” poste finiĝis en 1884, kaj post kvar jaroj la ribelo de Koraĥ, Datan kaj Abiram estis ripetita ĉe la Ĝenerala Konferenco de 1888.</w:t>
      </w:r>
    </w:p>
    <w:p>
      <w:pPr>
        <w:pStyle w:val="ArticleBody"/>
        <w:jc w:val="left"/>
      </w:pPr>
      <w:r>
        <w:rPr>
          <w:rFonts w:ascii="Times New Roman" w:hAnsi="Times New Roman" w:eastAsia="Times New Roman" w:cs="Times New Roman"/>
        </w:rPr>
        <w:t>1888 жылғы бүлік Құдайдың Лаодикиялық адвентизм тарихына тікелей араласуына алып келген бүліктің күшеюін туғызды, өйткені Ол баспа ісін де, денсаулық сақтау қызметін де өртеп жіберді. Алайда бұл тікелей үкімдер жүріп жатқан бүлікті тоқтата алмады. 1919 жылы Киелі кітап конференциясы өтті; онда екінші буынның негізгі бүлікшілерінің бірі, діннен тайған протестантизмнің университеттерінде білім алған теолог Уильям Уоррен Прескотт, «күнделіктіні» Мәсіхтің қасиетті орында атқаратын қызметі деп көрсеткен шайтандық көзқарасты ілгерілетудің басты жетекшісі ретінде, бірқатар баяндамалар жасады.</w:t>
      </w:r>
    </w:p>
    <w:p>
      <w:pPr>
        <w:pStyle w:val="ArticleBody"/>
        <w:jc w:val="left"/>
      </w:pPr>
      <w:r>
        <w:rPr>
          <w:rFonts w:ascii="Times New Roman" w:hAnsi="Times New Roman" w:eastAsia="Times New Roman" w:cs="Times New Roman"/>
        </w:rPr>
        <w:t>История засвидетельствовала, что на той библейской конференции 1919 года Прескотт представил евангелие, состоявшее в устранении всякого положения пророческой вести миллеритов. Он даже пытался устранить и две тысячи триста дней, но не смог этого добиться. И всё же он представил евангелие, совершенно лишённое пророческих пониманий миллеритов. Его евангелие было отвергнуто на том собрании, но эти слепые вожди всё равно решили взять его серию выступлений и составить из них книгу под названием «Учение Христа». Эта книга стала символом появления третьего поколения лаодикийского адвентизма.</w:t>
      </w:r>
    </w:p>
    <w:p>
      <w:pPr>
        <w:pStyle w:val="ArticleBody"/>
        <w:jc w:val="left"/>
      </w:pPr>
      <w:r>
        <w:rPr>
          <w:rFonts w:ascii="Times New Roman" w:hAnsi="Times New Roman" w:eastAsia="Times New Roman" w:cs="Times New Roman"/>
        </w:rPr>
        <w:t>Le livre représente un autre évangile que l’évangile millérite d’Habacuc, chapitre deux, et Paul nous informe qu’un autre évangile n’est pas un évangile du tout.</w:t>
      </w:r>
    </w:p>
    <w:p>
      <w:pPr>
        <w:pStyle w:val="ArticleScripture"/>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देखेर</w:t>
      </w:r>
      <w:r>
        <w:rPr>
          <w:rFonts w:ascii="Times New Roman" w:hAnsi="Times New Roman" w:eastAsia="Times New Roman" w:cs="Times New Roman"/>
        </w:rPr>
        <w:t xml:space="preserve"> </w:t>
      </w:r>
      <w:r>
        <w:rPr>
          <w:rFonts w:ascii="Nirmala UI" w:hAnsi="Nirmala UI" w:eastAsia="Nirmala UI" w:cs="Nirmala UI"/>
        </w:rPr>
        <w:t>अचम्मित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अनुग्रहमा</w:t>
      </w:r>
      <w:r>
        <w:rPr>
          <w:rFonts w:ascii="Times New Roman" w:hAnsi="Times New Roman" w:eastAsia="Times New Roman" w:cs="Times New Roman"/>
        </w:rPr>
        <w:t xml:space="preserve"> </w:t>
      </w:r>
      <w:r>
        <w:rPr>
          <w:rFonts w:ascii="Nirmala UI" w:hAnsi="Nirmala UI" w:eastAsia="Nirmala UI" w:cs="Nirmala UI"/>
        </w:rPr>
        <w:t>बोलाउनुभयो</w:t>
      </w:r>
      <w:r>
        <w:rPr>
          <w:rFonts w:ascii="Times New Roman" w:hAnsi="Times New Roman" w:eastAsia="Times New Roman" w:cs="Times New Roman"/>
        </w:rPr>
        <w:t xml:space="preserve">, </w:t>
      </w:r>
      <w:r>
        <w:rPr>
          <w:rFonts w:ascii="Nirmala UI" w:hAnsi="Nirmala UI" w:eastAsia="Nirmala UI" w:cs="Nirmala UI"/>
        </w:rPr>
        <w:t>उहाँबाट</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सुसमाचारतर्फ</w:t>
      </w:r>
      <w:r>
        <w:rPr>
          <w:rFonts w:ascii="Times New Roman" w:hAnsi="Times New Roman" w:eastAsia="Times New Roman" w:cs="Times New Roman"/>
        </w:rPr>
        <w:t xml:space="preserve"> </w:t>
      </w:r>
      <w:r>
        <w:rPr>
          <w:rFonts w:ascii="Nirmala UI" w:hAnsi="Nirmala UI" w:eastAsia="Nirmala UI" w:cs="Nirmala UI"/>
        </w:rPr>
        <w:t>हटाइएका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अशान्त</w:t>
      </w:r>
      <w:r>
        <w:rPr>
          <w:rFonts w:ascii="Times New Roman" w:hAnsi="Times New Roman" w:eastAsia="Times New Roman" w:cs="Times New Roman"/>
        </w:rPr>
        <w:t xml:space="preserve"> </w:t>
      </w:r>
      <w:r>
        <w:rPr>
          <w:rFonts w:ascii="Nirmala UI" w:hAnsi="Nirmala UI" w:eastAsia="Nirmala UI" w:cs="Nirmala UI"/>
        </w:rPr>
        <w:t>पार्छन्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सुसमाचारलाई</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चाहन्छन्।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सुसमाचारभन्दा</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शापित</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भनेझैँ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भन्दछु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सुसमाचारभन्दा</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शापित</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1:6–9</w:t>
      </w:r>
      <w:r>
        <w:rPr>
          <w:rFonts w:ascii="Nirmala UI" w:hAnsi="Nirmala UI" w:eastAsia="Nirmala UI" w:cs="Nirmala UI"/>
        </w:rPr>
        <w:t>।</w:t>
      </w:r>
    </w:p>
    <w:p>
      <w:pPr>
        <w:pStyle w:val="ArticleBody"/>
        <w:jc w:val="left"/>
      </w:pPr>
      <w:r>
        <w:rPr>
          <w:rFonts w:ascii="Leelawadee UI" w:hAnsi="Leelawadee UI" w:eastAsia="Leelawadee UI" w:cs="Leelawadee UI"/>
        </w:rPr>
        <w:t>ຄົນຮຸ່ນທີສາມຂອງອັດເວນຕິສຶມຖືກເປັນຕົວແທນໂດຍສິ່ງອັນໜ້າສະອິດສະອົມປະການທີສາມຂອງເອເຊກຽນ</w:t>
      </w:r>
      <w:r>
        <w:rPr>
          <w:rFonts w:ascii="Times New Roman" w:hAnsi="Times New Roman" w:eastAsia="Times New Roman" w:cs="Times New Roman"/>
        </w:rPr>
        <w:t xml:space="preserve"> </w:t>
      </w:r>
      <w:r>
        <w:rPr>
          <w:rFonts w:ascii="Leelawadee UI" w:hAnsi="Leelawadee UI" w:eastAsia="Leelawadee UI" w:cs="Leelawadee UI"/>
        </w:rPr>
        <w:t>ບ່ອນທີ່ພວກແມ່ຍິງກຳລັງຮ້ອງໄຫ້ໃຫ້ແກ່ທັມມຸຊ</w:t>
      </w:r>
      <w:r>
        <w:rPr>
          <w:rFonts w:ascii="Times New Roman" w:hAnsi="Times New Roman" w:eastAsia="Times New Roman" w:cs="Times New Roman"/>
        </w:rPr>
        <w:t xml:space="preserve">. </w:t>
      </w:r>
      <w:r>
        <w:rPr>
          <w:rFonts w:ascii="Leelawadee UI" w:hAnsi="Leelawadee UI" w:eastAsia="Leelawadee UI" w:cs="Leelawadee UI"/>
        </w:rPr>
        <w:t>ທັມມຸຊເປັນເທວະຮູບເມໂຊໂປເຕເມຍຜູ້ທີ່ກ່ຽວພັນກັບຄວາມອຸດົມສົມບູນ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ວົງຈອນຂອງພືດພັນ</w:t>
      </w:r>
      <w:r>
        <w:rPr>
          <w:rFonts w:ascii="Times New Roman" w:hAnsi="Times New Roman" w:eastAsia="Times New Roman" w:cs="Times New Roman"/>
        </w:rPr>
        <w:t xml:space="preserve">. </w:t>
      </w:r>
      <w:r>
        <w:rPr>
          <w:rFonts w:ascii="Leelawadee UI" w:hAnsi="Leelawadee UI" w:eastAsia="Leelawadee UI" w:cs="Leelawadee UI"/>
        </w:rPr>
        <w:t>ບາງຄັ້ງ</w:t>
      </w:r>
      <w:r>
        <w:rPr>
          <w:rFonts w:ascii="Times New Roman" w:hAnsi="Times New Roman" w:eastAsia="Times New Roman" w:cs="Times New Roman"/>
        </w:rPr>
        <w:t xml:space="preserve"> </w:t>
      </w:r>
      <w:r>
        <w:rPr>
          <w:rFonts w:ascii="Leelawadee UI" w:hAnsi="Leelawadee UI" w:eastAsia="Leelawadee UI" w:cs="Leelawadee UI"/>
        </w:rPr>
        <w:t>ທັມມຸຊຖືກພັນລະນາເປັນຄົນລ້ຽງແກະ</w:t>
      </w:r>
      <w:r>
        <w:rPr>
          <w:rFonts w:ascii="Times New Roman" w:hAnsi="Times New Roman" w:eastAsia="Times New Roman" w:cs="Times New Roman"/>
        </w:rPr>
        <w:t xml:space="preserve">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ຊາຍໜຸ່ມຜູ້ໜຶ່ງ</w:t>
      </w:r>
      <w:r>
        <w:rPr>
          <w:rFonts w:ascii="Times New Roman" w:hAnsi="Times New Roman" w:eastAsia="Times New Roman" w:cs="Times New Roman"/>
        </w:rPr>
        <w:t xml:space="preserve"> </w:t>
      </w:r>
      <w:r>
        <w:rPr>
          <w:rFonts w:ascii="Leelawadee UI" w:hAnsi="Leelawadee UI" w:eastAsia="Leelawadee UI" w:cs="Leelawadee UI"/>
        </w:rPr>
        <w:t>ໂດຍຖືກເຊື່ອມໂຍງກັບລະດູການທີ່ປ່ຽນແປງ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ການເຕີບໂຕຂອງພືດຜົນ</w:t>
      </w:r>
      <w:r>
        <w:rPr>
          <w:rFonts w:ascii="Times New Roman" w:hAnsi="Times New Roman" w:eastAsia="Times New Roman" w:cs="Times New Roman"/>
        </w:rPr>
        <w:t xml:space="preserve">. </w:t>
      </w:r>
      <w:r>
        <w:rPr>
          <w:rFonts w:ascii="Leelawadee UI" w:hAnsi="Leelawadee UI" w:eastAsia="Leelawadee UI" w:cs="Leelawadee UI"/>
        </w:rPr>
        <w:t>ການຕາຍຂອງທັມມຸຊ</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ການຄືນຊີວິດຂຶ້ນມາພາຍຫຼັງຂອງລາວ</w:t>
      </w:r>
      <w:r>
        <w:rPr>
          <w:rFonts w:ascii="Times New Roman" w:hAnsi="Times New Roman" w:eastAsia="Times New Roman" w:cs="Times New Roman"/>
        </w:rPr>
        <w:t xml:space="preserve"> </w:t>
      </w:r>
      <w:r>
        <w:rPr>
          <w:rFonts w:ascii="Leelawadee UI" w:hAnsi="Leelawadee UI" w:eastAsia="Leelawadee UI" w:cs="Leelawadee UI"/>
        </w:rPr>
        <w:t>ຖືກຜູກພັນໄວ້ກັບປະຕິທິນກະສິກຳ</w:t>
      </w:r>
      <w:r>
        <w:rPr>
          <w:rFonts w:ascii="Times New Roman" w:hAnsi="Times New Roman" w:eastAsia="Times New Roman" w:cs="Times New Roman"/>
        </w:rPr>
        <w:t xml:space="preserve">. </w:t>
      </w:r>
      <w:r>
        <w:rPr>
          <w:rFonts w:ascii="Leelawadee UI" w:hAnsi="Leelawadee UI" w:eastAsia="Leelawadee UI" w:cs="Leelawadee UI"/>
        </w:rPr>
        <w:t>ຕາມເທບນິຍາຍນັ້ນ</w:t>
      </w:r>
      <w:r>
        <w:rPr>
          <w:rFonts w:ascii="Times New Roman" w:hAnsi="Times New Roman" w:eastAsia="Times New Roman" w:cs="Times New Roman"/>
        </w:rPr>
        <w:t xml:space="preserve"> </w:t>
      </w:r>
      <w:r>
        <w:rPr>
          <w:rFonts w:ascii="Leelawadee UI" w:hAnsi="Leelawadee UI" w:eastAsia="Leelawadee UI" w:cs="Leelawadee UI"/>
        </w:rPr>
        <w:t>ທັມມຸຊຈະຕາຍ</w:t>
      </w:r>
      <w:r>
        <w:rPr>
          <w:rFonts w:ascii="Times New Roman" w:hAnsi="Times New Roman" w:eastAsia="Times New Roman" w:cs="Times New Roman"/>
        </w:rPr>
        <w:t xml:space="preserve">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ຫາຍໄປໃນຊ່ວງເດືອນລະດູຮ້ອນ</w:t>
      </w:r>
      <w:r>
        <w:rPr>
          <w:rFonts w:ascii="Times New Roman" w:hAnsi="Times New Roman" w:eastAsia="Times New Roman" w:cs="Times New Roman"/>
        </w:rPr>
        <w:t xml:space="preserve"> </w:t>
      </w:r>
      <w:r>
        <w:rPr>
          <w:rFonts w:ascii="Leelawadee UI" w:hAnsi="Leelawadee UI" w:eastAsia="Leelawadee UI" w:cs="Leelawadee UI"/>
        </w:rPr>
        <w:t>ຊຶ່ງຖືກເຫັນວ່າເປັນພາບແທນຂອງການຫ່ຽວແຫ້ງຂອງພືດພັນໃນລະດູທີ່ຮ້ອນ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ແຫ້ງແລ້ງ</w:t>
      </w:r>
      <w:r>
        <w:rPr>
          <w:rFonts w:ascii="Times New Roman" w:hAnsi="Times New Roman" w:eastAsia="Times New Roman" w:cs="Times New Roman"/>
        </w:rPr>
        <w:t xml:space="preserve">. </w:t>
      </w:r>
      <w:r>
        <w:rPr>
          <w:rFonts w:ascii="Leelawadee UI" w:hAnsi="Leelawadee UI" w:eastAsia="Leelawadee UI" w:cs="Leelawadee UI"/>
        </w:rPr>
        <w:t>ການຮ້ອງໄຫ້ໃຫ້ທັມມຸຊເປັນພິທີໄວ້ທຸກ</w:t>
      </w:r>
      <w:r>
        <w:rPr>
          <w:rFonts w:ascii="Times New Roman" w:hAnsi="Times New Roman" w:eastAsia="Times New Roman" w:cs="Times New Roman"/>
        </w:rPr>
        <w:t xml:space="preserve"> </w:t>
      </w:r>
      <w:r>
        <w:rPr>
          <w:rFonts w:ascii="Leelawadee UI" w:hAnsi="Leelawadee UI" w:eastAsia="Leelawadee UI" w:cs="Leelawadee UI"/>
        </w:rPr>
        <w:t>ຊຶ່ງປະກອບດ້ວຍການຄ່ຳຄວນເຖິງການຕາຍ</w:t>
      </w:r>
      <w:r>
        <w:rPr>
          <w:rFonts w:ascii="Times New Roman" w:hAnsi="Times New Roman" w:eastAsia="Times New Roman" w:cs="Times New Roman"/>
        </w:rPr>
        <w:t xml:space="preserve">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ການຫາຍໄປຂອງທັມມຸຊໃນຊ່ວງເດືອນລະດູຮ້ອນ</w:t>
      </w:r>
      <w:r>
        <w:rPr>
          <w:rFonts w:ascii="Times New Roman" w:hAnsi="Times New Roman" w:eastAsia="Times New Roman" w:cs="Times New Roman"/>
        </w:rPr>
        <w:t xml:space="preserve"> </w:t>
      </w:r>
      <w:r>
        <w:rPr>
          <w:rFonts w:ascii="Leelawadee UI" w:hAnsi="Leelawadee UI" w:eastAsia="Leelawadee UI" w:cs="Leelawadee UI"/>
        </w:rPr>
        <w:t>ແລ້ວຕາມມາດ້ວຍການຊື່ນຊົມຍິນດີໃນການຄືນຊີວິດຂອງລາວ</w:t>
      </w:r>
      <w:r>
        <w:rPr>
          <w:rFonts w:ascii="Times New Roman" w:hAnsi="Times New Roman" w:eastAsia="Times New Roman" w:cs="Times New Roman"/>
        </w:rPr>
        <w:t xml:space="preserve"> </w:t>
      </w:r>
      <w:r>
        <w:rPr>
          <w:rFonts w:ascii="Leelawadee UI" w:hAnsi="Leelawadee UI" w:eastAsia="Leelawadee UI" w:cs="Leelawadee UI"/>
        </w:rPr>
        <w:t>ຊຶ່ງເປັນສັນຍະລັກແຫ່ງການຟື້ນຄືນໃໝ່ຂອງພືດພັນ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ຊີວິດທາງກະສິກຳ</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การร่ำไห้คร่ำครวญเพื่อทัมมูซเป็นตัวแทนของข่าวสารฝนชุกปลอม</w:t>
      </w:r>
      <w:r>
        <w:rPr>
          <w:rFonts w:ascii="Times New Roman" w:hAnsi="Times New Roman" w:eastAsia="Times New Roman" w:cs="Times New Roman"/>
        </w:rPr>
        <w:t xml:space="preserve"> </w:t>
      </w:r>
      <w:r>
        <w:rPr>
          <w:rFonts w:ascii="Leelawadee UI" w:hAnsi="Leelawadee UI" w:eastAsia="Leelawadee UI" w:cs="Leelawadee UI"/>
        </w:rPr>
        <w:t>ซึ่งก็คือสิ่งที่ข่าวประเสริฐของ</w:t>
      </w:r>
      <w:r>
        <w:rPr>
          <w:rFonts w:ascii="Times New Roman" w:hAnsi="Times New Roman" w:eastAsia="Times New Roman" w:cs="Times New Roman"/>
        </w:rPr>
        <w:t xml:space="preserve"> W. W. Prescott </w:t>
      </w:r>
      <w:r>
        <w:rPr>
          <w:rFonts w:ascii="Leelawadee UI" w:hAnsi="Leelawadee UI" w:eastAsia="Leelawadee UI" w:cs="Leelawadee UI"/>
        </w:rPr>
        <w:t>เป็นตัวแทน</w:t>
      </w:r>
      <w:r>
        <w:rPr>
          <w:rFonts w:ascii="Times New Roman" w:hAnsi="Times New Roman" w:eastAsia="Times New Roman" w:cs="Times New Roman"/>
        </w:rPr>
        <w:t xml:space="preserve"> </w:t>
      </w:r>
      <w:r>
        <w:rPr>
          <w:rFonts w:ascii="Leelawadee UI" w:hAnsi="Leelawadee UI" w:eastAsia="Leelawadee UI" w:cs="Leelawadee UI"/>
        </w:rPr>
        <w:t>การรื้อถอนรากฐานแห่งคำพยากรณ์</w:t>
      </w:r>
      <w:r>
        <w:rPr>
          <w:rFonts w:ascii="Times New Roman" w:hAnsi="Times New Roman" w:eastAsia="Times New Roman" w:cs="Times New Roman"/>
        </w:rPr>
        <w:t xml:space="preserve"> </w:t>
      </w:r>
      <w:r>
        <w:rPr>
          <w:rFonts w:ascii="Leelawadee UI" w:hAnsi="Leelawadee UI" w:eastAsia="Leelawadee UI" w:cs="Leelawadee UI"/>
        </w:rPr>
        <w:t>ซึ่งเริ่มต้นขึ้นในการกบฏปี</w:t>
      </w:r>
      <w:r>
        <w:rPr>
          <w:rFonts w:ascii="Times New Roman" w:hAnsi="Times New Roman" w:eastAsia="Times New Roman" w:cs="Times New Roman"/>
        </w:rPr>
        <w:t xml:space="preserve"> 1863 </w:t>
      </w:r>
      <w:r>
        <w:rPr>
          <w:rFonts w:ascii="Leelawadee UI" w:hAnsi="Leelawadee UI" w:eastAsia="Leelawadee UI" w:cs="Leelawadee UI"/>
        </w:rPr>
        <w:t>ได้มาถึงจุดหนึ่งในปี</w:t>
      </w:r>
      <w:r>
        <w:rPr>
          <w:rFonts w:ascii="Times New Roman" w:hAnsi="Times New Roman" w:eastAsia="Times New Roman" w:cs="Times New Roman"/>
        </w:rPr>
        <w:t xml:space="preserve"> 1919 </w:t>
      </w:r>
      <w:r>
        <w:rPr>
          <w:rFonts w:ascii="Leelawadee UI" w:hAnsi="Leelawadee UI" w:eastAsia="Leelawadee UI" w:cs="Leelawadee UI"/>
        </w:rPr>
        <w:t>ที่แอ๊ดเวนติสม์แบบเลาดีเซียยอมให้ข่าวประเสริฐเทียมเท็จนั้นได้รับการสถาปนาขึ้น</w:t>
      </w:r>
      <w:r>
        <w:rPr>
          <w:rFonts w:ascii="Times New Roman" w:hAnsi="Times New Roman" w:eastAsia="Times New Roman" w:cs="Times New Roman"/>
        </w:rPr>
        <w:t xml:space="preserve"> </w:t>
      </w:r>
      <w:r>
        <w:rPr>
          <w:rFonts w:ascii="Leelawadee UI" w:hAnsi="Leelawadee UI" w:eastAsia="Leelawadee UI" w:cs="Leelawadee UI"/>
        </w:rPr>
        <w:t>ข่าวประเสริฐเทียมเท็จนั้นตั้งอยู่โดยสมบูรณ์บนระเบียบวิธีของโปรเตสแตนต์ผู้ละทิ้งความเชื่อ</w:t>
      </w:r>
      <w:r>
        <w:rPr>
          <w:rFonts w:ascii="Times New Roman" w:hAnsi="Times New Roman" w:eastAsia="Times New Roman" w:cs="Times New Roman"/>
        </w:rPr>
        <w:t xml:space="preserve"> </w:t>
      </w:r>
      <w:r>
        <w:rPr>
          <w:rFonts w:ascii="Leelawadee UI" w:hAnsi="Leelawadee UI" w:eastAsia="Leelawadee UI" w:cs="Leelawadee UI"/>
        </w:rPr>
        <w:t>สถาปนิกดั้งเดิมของมันคือ</w:t>
      </w:r>
      <w:r>
        <w:rPr>
          <w:rFonts w:ascii="Times New Roman" w:hAnsi="Times New Roman" w:eastAsia="Times New Roman" w:cs="Times New Roman"/>
        </w:rPr>
        <w:t xml:space="preserve"> W. W. Prescott </w:t>
      </w:r>
      <w:r>
        <w:rPr>
          <w:rFonts w:ascii="Leelawadee UI" w:hAnsi="Leelawadee UI" w:eastAsia="Leelawadee UI" w:cs="Leelawadee UI"/>
        </w:rPr>
        <w:t>และเช่นเดียวกับ</w:t>
      </w:r>
      <w:r>
        <w:rPr>
          <w:rFonts w:ascii="Times New Roman" w:hAnsi="Times New Roman" w:eastAsia="Times New Roman" w:cs="Times New Roman"/>
        </w:rPr>
        <w:t xml:space="preserve"> William Miller </w:t>
      </w:r>
      <w:r>
        <w:rPr>
          <w:rFonts w:ascii="Leelawadee UI" w:hAnsi="Leelawadee UI" w:eastAsia="Leelawadee UI" w:cs="Leelawadee UI"/>
        </w:rPr>
        <w:t>ข่าวประเสริฐของทั้งสองคนต่างตั้งอยู่บนความเข้าใจพื้นฐานของพวกเขาเกี่ยวกับ</w:t>
      </w:r>
      <w:r>
        <w:rPr>
          <w:rFonts w:ascii="Times New Roman" w:hAnsi="Times New Roman" w:eastAsia="Times New Roman" w:cs="Times New Roman"/>
        </w:rPr>
        <w:t xml:space="preserve"> “</w:t>
      </w:r>
      <w:r>
        <w:rPr>
          <w:rFonts w:ascii="Leelawadee UI" w:hAnsi="Leelawadee UI" w:eastAsia="Leelawadee UI" w:cs="Leelawadee UI"/>
        </w:rPr>
        <w:t>เครื่องบูชาประจำวัน</w:t>
      </w:r>
      <w:r>
        <w:rPr>
          <w:rFonts w:ascii="Times New Roman" w:hAnsi="Times New Roman" w:eastAsia="Times New Roman" w:cs="Times New Roman"/>
        </w:rPr>
        <w:t xml:space="preserve">” </w:t>
      </w:r>
      <w:r>
        <w:rPr>
          <w:rFonts w:ascii="Leelawadee UI" w:hAnsi="Leelawadee UI" w:eastAsia="Leelawadee UI" w:cs="Leelawadee UI"/>
        </w:rPr>
        <w:t>ในพระธรรมดาเนียล</w:t>
      </w:r>
      <w:r>
        <w:rPr>
          <w:rFonts w:ascii="Times New Roman" w:hAnsi="Times New Roman" w:eastAsia="Times New Roman" w:cs="Times New Roman"/>
        </w:rPr>
        <w:t xml:space="preserve"> </w:t>
      </w:r>
      <w:r>
        <w:rPr>
          <w:rFonts w:ascii="Leelawadee UI" w:hAnsi="Leelawadee UI" w:eastAsia="Leelawadee UI" w:cs="Leelawadee UI"/>
        </w:rPr>
        <w:t>ข่าวประเสริฐทั้งสองนี้มีภาพแทนอยู่ในตอนหนึ่งของ</w:t>
      </w:r>
      <w:r>
        <w:rPr>
          <w:rFonts w:ascii="Times New Roman" w:hAnsi="Times New Roman" w:eastAsia="Times New Roman" w:cs="Times New Roman"/>
        </w:rPr>
        <w:t xml:space="preserve"> 2 Thessalonians </w:t>
      </w:r>
      <w:r>
        <w:rPr>
          <w:rFonts w:ascii="Leelawadee UI" w:hAnsi="Leelawadee UI" w:eastAsia="Leelawadee UI" w:cs="Leelawadee UI"/>
        </w:rPr>
        <w:t>ซึ่งเป็นที่ที่</w:t>
      </w:r>
      <w:r>
        <w:rPr>
          <w:rFonts w:ascii="Times New Roman" w:hAnsi="Times New Roman" w:eastAsia="Times New Roman" w:cs="Times New Roman"/>
        </w:rPr>
        <w:t xml:space="preserve"> Miller </w:t>
      </w:r>
      <w:r>
        <w:rPr>
          <w:rFonts w:ascii="Leelawadee UI" w:hAnsi="Leelawadee UI" w:eastAsia="Leelawadee UI" w:cs="Leelawadee UI"/>
        </w:rPr>
        <w:t>ค้นพบเป็นครั้งแรกว่า</w:t>
      </w:r>
      <w:r>
        <w:rPr>
          <w:rFonts w:ascii="Times New Roman" w:hAnsi="Times New Roman" w:eastAsia="Times New Roman" w:cs="Times New Roman"/>
        </w:rPr>
        <w:t xml:space="preserve"> “</w:t>
      </w:r>
      <w:r>
        <w:rPr>
          <w:rFonts w:ascii="Leelawadee UI" w:hAnsi="Leelawadee UI" w:eastAsia="Leelawadee UI" w:cs="Leelawadee UI"/>
        </w:rPr>
        <w:t>เครื่องบูชาประจำวัน</w:t>
      </w:r>
      <w:r>
        <w:rPr>
          <w:rFonts w:ascii="Times New Roman" w:hAnsi="Times New Roman" w:eastAsia="Times New Roman" w:cs="Times New Roman"/>
        </w:rPr>
        <w:t xml:space="preserve">” </w:t>
      </w:r>
      <w:r>
        <w:rPr>
          <w:rFonts w:ascii="Leelawadee UI" w:hAnsi="Leelawadee UI" w:eastAsia="Leelawadee UI" w:cs="Leelawadee UI"/>
        </w:rPr>
        <w:t>เป็นตัวแทนของลัทธินอกศาสนา</w:t>
      </w:r>
      <w:r>
        <w:rPr>
          <w:rFonts w:ascii="Times New Roman" w:hAnsi="Times New Roman" w:eastAsia="Times New Roman" w:cs="Times New Roman"/>
        </w:rPr>
        <w:t xml:space="preserve"> </w:t>
      </w:r>
      <w:r>
        <w:rPr>
          <w:rFonts w:ascii="Leelawadee UI" w:hAnsi="Leelawadee UI" w:eastAsia="Leelawadee UI" w:cs="Leelawadee UI"/>
        </w:rPr>
        <w:t>ในตอนนั้นมีคนกลุ่มหนึ่งซึ่งมีภาพแทนโดย</w:t>
      </w:r>
      <w:r>
        <w:rPr>
          <w:rFonts w:ascii="Times New Roman" w:hAnsi="Times New Roman" w:eastAsia="Times New Roman" w:cs="Times New Roman"/>
        </w:rPr>
        <w:t xml:space="preserve"> Miller </w:t>
      </w:r>
      <w:r>
        <w:rPr>
          <w:rFonts w:ascii="Leelawadee UI" w:hAnsi="Leelawadee UI" w:eastAsia="Leelawadee UI" w:cs="Leelawadee UI"/>
        </w:rPr>
        <w:t>ผู้ยอมรับความจริงที่เปาโลนำเสนอ</w:t>
      </w:r>
      <w:r>
        <w:rPr>
          <w:rFonts w:ascii="Times New Roman" w:hAnsi="Times New Roman" w:eastAsia="Times New Roman" w:cs="Times New Roman"/>
        </w:rPr>
        <w:t xml:space="preserve"> </w:t>
      </w:r>
      <w:r>
        <w:rPr>
          <w:rFonts w:ascii="Leelawadee UI" w:hAnsi="Leelawadee UI" w:eastAsia="Leelawadee UI" w:cs="Leelawadee UI"/>
        </w:rPr>
        <w:t>และอีกกลุ่มหนึ่งซึ่งไม่มีความรักในความจริง</w:t>
      </w:r>
    </w:p>
    <w:p>
      <w:pPr>
        <w:pStyle w:val="ArticleBody"/>
        <w:jc w:val="left"/>
      </w:pP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বর্ষণ</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প্রেসকট</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বিভ্রম</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বিভ্রম</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আদৌ</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বার্তাকে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ইযেকিয়েলের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ঘৃণ্য</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লাওদিকেয়ান</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মণ্ডলীগুলি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তাম্মূজের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গ্রীষ্মকালের</w:t>
      </w:r>
      <w:r>
        <w:rPr>
          <w:rFonts w:ascii="Times New Roman" w:hAnsi="Times New Roman" w:eastAsia="Times New Roman" w:cs="Times New Roman"/>
        </w:rPr>
        <w:t xml:space="preserve"> </w:t>
      </w:r>
      <w:r>
        <w:rPr>
          <w:rFonts w:ascii="Nirmala UI" w:hAnsi="Nirmala UI" w:eastAsia="Nirmala UI" w:cs="Nirmala UI"/>
        </w:rPr>
        <w:t>অশ্রু</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শস্য</w:t>
      </w:r>
      <w:r>
        <w:rPr>
          <w:rFonts w:ascii="Times New Roman" w:hAnsi="Times New Roman" w:eastAsia="Times New Roman" w:cs="Times New Roman"/>
        </w:rPr>
        <w:t xml:space="preserve"> </w:t>
      </w:r>
      <w:r>
        <w:rPr>
          <w:rFonts w:ascii="Nirmala UI" w:hAnsi="Nirmala UI" w:eastAsia="Nirmala UI" w:cs="Nirmala UI"/>
        </w:rPr>
        <w:t>কাটার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p>
    <w:p>
      <w:pPr>
        <w:pStyle w:val="ArticleBody"/>
        <w:jc w:val="left"/>
      </w:pPr>
      <w:r>
        <w:rPr>
          <w:rFonts w:ascii="Times New Roman" w:hAnsi="Times New Roman" w:eastAsia="Times New Roman" w:cs="Times New Roman"/>
        </w:rPr>
        <w:t>A kétféle késői eső üzenete közötti megkülönböztetés áthatja a Bibliát és a Prófétaság Lelkét. A Biblia ismételten azonosítja, hogy az eső visszatartatik egy engedetlen néptől.</w:t>
      </w:r>
    </w:p>
    <w:p>
      <w:pPr>
        <w:pStyle w:val="ArticleScripture"/>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कुकर्म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पछुआ</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3:1–3</w:t>
      </w:r>
      <w:r>
        <w:rPr>
          <w:rFonts w:ascii="Nirmala UI" w:hAnsi="Nirmala UI" w:eastAsia="Nirmala UI" w:cs="Nirmala UI"/>
        </w:rPr>
        <w:t>।</w:t>
      </w:r>
    </w:p>
    <w:p>
      <w:pPr>
        <w:pStyle w:val="ArticleBody"/>
        <w:jc w:val="left"/>
      </w:pPr>
      <w:r>
        <w:rPr>
          <w:rFonts w:ascii="Times New Roman" w:hAnsi="Times New Roman" w:eastAsia="Times New Roman" w:cs="Times New Roman"/>
        </w:rPr>
        <w:t>L’Adventisme laodicéen a commencé à se prostituer en 1863, et depuis lors les ondées ont été retenues. Ils refusent d’avoir honte de leur rébellion, et cette absence d’humilité produit un front de prostituée, or la prostituée de la prophétie biblique est la papauté. C’est dans la troisième génération que s’accomplit l’œuvre finale de préparation à se prosterner devant la marque de la prostituée de Rome. La préparation de la quatrième génération s’accomplit dans la troisième génération, au moyen d’un message contrefait de la pluie de l’arrière-saison. De même que la rébellion de 1863, et la rébellion de 1888, la rébellion de 1919, sont alignées sur le 11 septembre 2001, car lorsque les bâtiments de la ville de New York tombèrent alors, l’ange puissant d’Apocalypse dix-huit descendit et la véritable pluie de l’arrière-saison commença.</w:t>
      </w:r>
    </w:p>
    <w:p>
      <w:pPr>
        <w:pStyle w:val="ArticleScripture"/>
        <w:jc w:val="left"/>
      </w:pPr>
      <w:r>
        <w:rPr>
          <w:rFonts w:ascii="Times New Roman" w:hAnsi="Times New Roman" w:eastAsia="Times New Roman" w:cs="Times New Roman"/>
        </w:rPr>
        <w:t>„Mvua ya mwisho inapaswa kunyesha juu ya watu wa Mungu. Malaika mwenye nguvu anapaswa kushuka kutoka mbinguni, na dunia yote inapaswa kuangazwa kwa utukufu wake.” Review and Herald, Aprili 21, 1891.</w:t>
      </w:r>
    </w:p>
    <w:p>
      <w:pPr>
        <w:pStyle w:val="ArticleBody"/>
        <w:jc w:val="left"/>
      </w:pPr>
      <w:r>
        <w:rPr>
          <w:rFonts w:ascii="Times New Roman" w:hAnsi="Times New Roman" w:eastAsia="Times New Roman" w:cs="Times New Roman"/>
        </w:rPr>
        <w:t>Коли пізній дощ почався, стародавні мужі Лаодикійського адвентизму не розпізнали б у ньому пізнього дощу, бо були вони наставлені в хибній вістці про пізній дощ, зображеній у Єзекіїля як жінки, що оплакували Таммуза, а в застосуванні — як вістка про мир і безпеку.</w:t>
      </w:r>
    </w:p>
    <w:p>
      <w:pPr>
        <w:pStyle w:val="ArticleScripture"/>
        <w:jc w:val="left"/>
      </w:pPr>
      <w:r>
        <w:rPr>
          <w:rFonts w:ascii="Times New Roman" w:hAnsi="Times New Roman" w:eastAsia="Times New Roman" w:cs="Times New Roman"/>
        </w:rPr>
        <w:t>«Kaliya kuwa wale wanaoishi kulingana na nuru waliyo nayo watapokea nuru iliyo kuu zaidi. Isipokuwa tuwe kila siku tukisonga mbele katika kudhihirisha fadhila hai za Kikristo, hatutatambua mafunuo ya Roho Mtakatifu katika mvua ya masika ya mwisho. Huenda ikawa inanyesha juu ya mioyo inayotuzunguka pande zote, lakini hatutaitambua wala kuipokea.» Testimonies to Ministers, 507.</w:t>
      </w:r>
    </w:p>
    <w:p>
      <w:pPr>
        <w:pStyle w:val="ArticleBody"/>
        <w:jc w:val="left"/>
      </w:pPr>
      <w:r>
        <w:rPr>
          <w:rFonts w:ascii="Times New Roman" w:hAnsi="Times New Roman" w:eastAsia="Times New Roman" w:cs="Times New Roman"/>
        </w:rPr>
        <w:t>Ibyari bidashoboka ko abarinzi b’ubwoko bamenya ukuza kw’imvura y’itumba ya nyuma, kuko ubutumwa bwabo bwiza bw’ibinyoma ku mvura y’itumba ya nyuma y’ibinyoma, bwahakanaga ko hashoboka ukugaragazwa kwose kw’imbaraga z’Imana nk’uko byari biri mu bihe byabanje.</w:t>
      </w:r>
    </w:p>
    <w:p>
      <w:pPr>
        <w:pStyle w:val="ArticleScripture"/>
        <w:jc w:val="left"/>
      </w:pPr>
      <w:r>
        <w:rPr>
          <w:rFonts w:ascii="Times New Roman" w:hAnsi="Times New Roman" w:eastAsia="Times New Roman" w:cs="Times New Roman"/>
        </w:rPr>
        <w:t>“Kanisa dhahiri za nguvu za Mungu, lakini haitoigusa mioyo ya wale ambao hawajajinyenyekeza mbele za Bwana na kufungua mlango wa moyo kwa kuungama na kutubu. Katika udhihirisho wa nguvu hiyo iangazayo dunia kwa utukufu wa Mungu, wao wataona tu kitu ambacho, katika upofu wao, hudhani ni cha hatari, kitu kitakachoamsha hofu zao, nao watajiimarisha ili kukipinga. Kwa sababu Bwana hafanyi kazi kulingana na mawazo na matarajio yao, wataipinga kazi hiyo. ‘Kwa nini,’ wanasema, ‘tusimjue Roho wa Mungu, ilhali tumekuwa katika kazi hii kwa miaka mingi namna hii?’—Kwa sababu hawakuitikia maonyo, masihi ya kusihi ya jumbe za Mungu, bali kwa ukaidi waliendelea kusema, ‘Mimi ni tajiri, nimeongezeka kwa mali, wala sina haja ya kitu chochote.’ Kipawa, uzoefu wa muda mrefu, havitawafanya watu kuwa njia za nuru, isipokuwa wajiweke chini ya miale yenye kung’aa ya Jua la Haki, na waitwe, na kuchaguliwa, na kuandaliwa kwa kipawa cha Roho Mtakatifu. Watu washughulikiao mambo matakatifu watakapojinyenyekeza chini ya mkono wenye nguvu wa Mungu, Bwana atawainua. Atawafanya kuwa watu wa utambuzi—watu walio matajiri katika neema ya Roho wake. Tabia zao zenye nguvu za ubinafsi, ukaidi wao, vitaonekana katika nuru iangazayo kutoka kwa Nuru ya ulimwengu. ‘Nitakuja kwako upesi, nami nitaondoa kinara chako mahali pake, usipotubu.’ Mkimtafuta Bwana kwa mioyo yenu yote, ataonekana kwenu.” Review and Herald, December 23, 1890.</w:t>
      </w:r>
    </w:p>
    <w:p>
      <w:pPr>
        <w:pStyle w:val="ArticleBody"/>
        <w:jc w:val="left"/>
      </w:pPr>
      <w:r>
        <w:rPr>
          <w:rFonts w:ascii="Times New Roman" w:hAnsi="Times New Roman" w:eastAsia="Times New Roman" w:cs="Times New Roman"/>
        </w:rPr>
        <w:t>Abadala beSahluko sesibhozo sikaHezekile bamukela ivangeli lokuthula nokulondeka ngo-1919, kwathi lapho kufika uSepthemba 11, 2001, isithelo salokho kuvukela okwakukhula sabonakaliswa ngokwehluleka kwabo ukubona ukufika kwemvula yasemuva. Emlandweni oqala ngesikhathi sokuphela ngo-1989, uNkulunkulu waphinda umkhankaso wamaMillerite ngokunembile ngokuphelele. UMiller wayeyisibonakaliso sika-Eliya, futhi u-Eliya wayemtshele ngokuqinile u-Ahabi ukuthi kwakungeke kube khona mvula, ngaphandle kwezwi lika-Eliya.</w:t>
      </w:r>
    </w:p>
    <w:p>
      <w:pPr>
        <w:pStyle w:val="ArticleBody"/>
        <w:jc w:val="left"/>
      </w:pPr>
      <w:r>
        <w:rPr>
          <w:rFonts w:ascii="Times New Roman" w:hAnsi="Times New Roman" w:eastAsia="Times New Roman" w:cs="Times New Roman"/>
        </w:rPr>
        <w:t>Wɔbɛtoa so asusuw Adventism awo ntoatoaso a ɛto so abiɛsa no ho wɔ asɛm a edi hɔ no mu.</w:t>
      </w:r>
    </w:p>
    <w:p>
      <w:pPr>
        <w:pStyle w:val="ArticleScripture"/>
        <w:jc w:val="left"/>
      </w:pPr>
      <w:r>
        <w:rPr>
          <w:rFonts w:ascii="Times New Roman" w:hAnsi="Times New Roman" w:eastAsia="Times New Roman" w:cs="Times New Roman"/>
        </w:rPr>
        <w:t>Chɔŋlɔ́ lɛ kɛ ba kɛ ɖe wɔn ŋutɔwo gbɔgbɔme va yi ƒe kuxi o, eye woaɖe avi le ame bubuwo ƒe nuvɔwo ta o la, woatsrɔ wo ɖe Mawu ƒe dzesi ma nu. Aƒetɔ la ɖo dɔ na Eƒe dɔlawo, ame siwo le wuƒe gɔmedzedzeŋuwo wɔm le asi wɔn si la be: “Miyi to du la me le emegbe, eye miwu; migana miaƒe ŋku na nɔ anyi o, eye migaɖe nublanui o: miwu ametsitsiwo kple sɔŋwo, nyɔnuviwo kple deviwoviwo, kple nyɔnuwo katã; gake miɖe asi ɖe ame aɖeke si dzi dzesi la le o; eye miadze egɔme le Nye kɔkɔeƒe. Tete woɖe asi tso ametsitsiwo siwo nɔ xɔ la ŋgɔ 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ពួកជំនុំ</w:t>
      </w:r>
      <w:r>
        <w:rPr>
          <w:rFonts w:ascii="Times New Roman" w:hAnsi="Times New Roman" w:eastAsia="Times New Roman" w:cs="Times New Roman"/>
        </w:rPr>
        <w:t>—</w:t>
      </w:r>
      <w:r>
        <w:rPr>
          <w:rFonts w:ascii="Leelawadee UI" w:hAnsi="Leelawadee UI" w:eastAsia="Leelawadee UI" w:cs="Leelawadee UI"/>
        </w:rPr>
        <w:t>ទីបរិសុទ្ធរបស់ព្រះអម្ចាស់</w:t>
      </w:r>
      <w:r>
        <w:rPr>
          <w:rFonts w:ascii="Times New Roman" w:hAnsi="Times New Roman" w:eastAsia="Times New Roman" w:cs="Times New Roman"/>
        </w:rPr>
        <w:t>—</w:t>
      </w:r>
      <w:r>
        <w:rPr>
          <w:rFonts w:ascii="Leelawadee UI" w:hAnsi="Leelawadee UI" w:eastAsia="Leelawadee UI" w:cs="Leelawadee UI"/>
        </w:rPr>
        <w:t>គឺជាអ្នកដំបូងដែលទទួលការវាយប្រហារពីព្រះពិរោធរបស់ព្រះ។</w:t>
      </w:r>
      <w:r>
        <w:rPr>
          <w:rFonts w:ascii="Times New Roman" w:hAnsi="Times New Roman" w:eastAsia="Times New Roman" w:cs="Times New Roman"/>
        </w:rPr>
        <w:t xml:space="preserve"> </w:t>
      </w:r>
      <w:r>
        <w:rPr>
          <w:rFonts w:ascii="Leelawadee UI" w:hAnsi="Leelawadee UI" w:eastAsia="Leelawadee UI" w:cs="Leelawadee UI"/>
        </w:rPr>
        <w:t>ពួកចាស់ទុំទាំងឡាយ</w:t>
      </w:r>
      <w:r>
        <w:rPr>
          <w:rFonts w:ascii="Times New Roman" w:hAnsi="Times New Roman" w:eastAsia="Times New Roman" w:cs="Times New Roman"/>
        </w:rPr>
        <w:t xml:space="preserve"> </w:t>
      </w:r>
      <w:r>
        <w:rPr>
          <w:rFonts w:ascii="Leelawadee UI" w:hAnsi="Leelawadee UI" w:eastAsia="Leelawadee UI" w:cs="Leelawadee UI"/>
        </w:rPr>
        <w:t>គឺអ្នកដែលព្រះបានប្រទានពន្លឺយ៉ាងច្រើន</w:t>
      </w:r>
      <w:r>
        <w:rPr>
          <w:rFonts w:ascii="Times New Roman" w:hAnsi="Times New Roman" w:eastAsia="Times New Roman" w:cs="Times New Roman"/>
        </w:rPr>
        <w:t xml:space="preserve"> </w:t>
      </w:r>
      <w:r>
        <w:rPr>
          <w:rFonts w:ascii="Leelawadee UI" w:hAnsi="Leelawadee UI" w:eastAsia="Leelawadee UI" w:cs="Leelawadee UI"/>
        </w:rPr>
        <w:t>និងដែលបានឈរជាអ្នកអាណាព្យាបាលលើប្រយោជន៍ខាងវិញ្ញាណរបស់ប្រជាជន</w:t>
      </w:r>
      <w:r>
        <w:rPr>
          <w:rFonts w:ascii="Times New Roman" w:hAnsi="Times New Roman" w:eastAsia="Times New Roman" w:cs="Times New Roman"/>
        </w:rPr>
        <w:t xml:space="preserve"> </w:t>
      </w:r>
      <w:r>
        <w:rPr>
          <w:rFonts w:ascii="Leelawadee UI" w:hAnsi="Leelawadee UI" w:eastAsia="Leelawadee UI" w:cs="Leelawadee UI"/>
        </w:rPr>
        <w:t>បានក្បត់ការទុកចិត្តដែលបានប្រគល់ឲ្យពួកគេ។</w:t>
      </w:r>
      <w:r>
        <w:rPr>
          <w:rFonts w:ascii="Times New Roman" w:hAnsi="Times New Roman" w:eastAsia="Times New Roman" w:cs="Times New Roman"/>
        </w:rPr>
        <w:t xml:space="preserve"> </w:t>
      </w:r>
      <w:r>
        <w:rPr>
          <w:rFonts w:ascii="Leelawadee UI" w:hAnsi="Leelawadee UI" w:eastAsia="Leelawadee UI" w:cs="Leelawadee UI"/>
        </w:rPr>
        <w:t>ពួកគេបានប្រកាន់ជំហរថា</w:t>
      </w:r>
      <w:r>
        <w:rPr>
          <w:rFonts w:ascii="Times New Roman" w:hAnsi="Times New Roman" w:eastAsia="Times New Roman" w:cs="Times New Roman"/>
        </w:rPr>
        <w:t xml:space="preserve"> </w:t>
      </w:r>
      <w:r>
        <w:rPr>
          <w:rFonts w:ascii="Leelawadee UI" w:hAnsi="Leelawadee UI" w:eastAsia="Leelawadee UI" w:cs="Leelawadee UI"/>
        </w:rPr>
        <w:t>យើងមិនចាំបាច់រង់ចាំអព្ភូតហេតុ</w:t>
      </w:r>
      <w:r>
        <w:rPr>
          <w:rFonts w:ascii="Times New Roman" w:hAnsi="Times New Roman" w:eastAsia="Times New Roman" w:cs="Times New Roman"/>
        </w:rPr>
        <w:t xml:space="preserve"> </w:t>
      </w:r>
      <w:r>
        <w:rPr>
          <w:rFonts w:ascii="Leelawadee UI" w:hAnsi="Leelawadee UI" w:eastAsia="Leelawadee UI" w:cs="Leelawadee UI"/>
        </w:rPr>
        <w:t>និងការបង្ហាញយ៉ាងច្បាស់នៃអំណាចរបស់ព្រះ</w:t>
      </w:r>
      <w:r>
        <w:rPr>
          <w:rFonts w:ascii="Times New Roman" w:hAnsi="Times New Roman" w:eastAsia="Times New Roman" w:cs="Times New Roman"/>
        </w:rPr>
        <w:t xml:space="preserve"> </w:t>
      </w:r>
      <w:r>
        <w:rPr>
          <w:rFonts w:ascii="Leelawadee UI" w:hAnsi="Leelawadee UI" w:eastAsia="Leelawadee UI" w:cs="Leelawadee UI"/>
        </w:rPr>
        <w:t>ដូចក្នុងសម័យមុនៗទេ។</w:t>
      </w:r>
      <w:r>
        <w:rPr>
          <w:rFonts w:ascii="Times New Roman" w:hAnsi="Times New Roman" w:eastAsia="Times New Roman" w:cs="Times New Roman"/>
        </w:rPr>
        <w:t xml:space="preserve"> </w:t>
      </w:r>
      <w:r>
        <w:rPr>
          <w:rFonts w:ascii="Leelawadee UI" w:hAnsi="Leelawadee UI" w:eastAsia="Leelawadee UI" w:cs="Leelawadee UI"/>
        </w:rPr>
        <w:t>សម័យកាលបានផ្លាស់ប្ដូរ។</w:t>
      </w:r>
      <w:r>
        <w:rPr>
          <w:rFonts w:ascii="Times New Roman" w:hAnsi="Times New Roman" w:eastAsia="Times New Roman" w:cs="Times New Roman"/>
        </w:rPr>
        <w:t xml:space="preserve"> </w:t>
      </w:r>
      <w:r>
        <w:rPr>
          <w:rFonts w:ascii="Leelawadee UI" w:hAnsi="Leelawadee UI" w:eastAsia="Leelawadee UI" w:cs="Leelawadee UI"/>
        </w:rPr>
        <w:t>ពាក្យទាំងនេះពង្រឹងការមិនជឿរបស់ពួកគេ</w:t>
      </w:r>
      <w:r>
        <w:rPr>
          <w:rFonts w:ascii="Times New Roman" w:hAnsi="Times New Roman" w:eastAsia="Times New Roman" w:cs="Times New Roman"/>
        </w:rPr>
        <w:t xml:space="preserve"> </w:t>
      </w:r>
      <w:r>
        <w:rPr>
          <w:rFonts w:ascii="Leelawadee UI" w:hAnsi="Leelawadee UI" w:eastAsia="Leelawadee UI" w:cs="Leelawadee UI"/>
        </w:rPr>
        <w:t>ហើយពួកគេនិយាយថា៖</w:t>
      </w:r>
      <w:r>
        <w:rPr>
          <w:rFonts w:ascii="Times New Roman" w:hAnsi="Times New Roman" w:eastAsia="Times New Roman" w:cs="Times New Roman"/>
        </w:rPr>
        <w:t xml:space="preserve"> </w:t>
      </w:r>
      <w:r>
        <w:rPr>
          <w:rFonts w:ascii="Leelawadee UI" w:hAnsi="Leelawadee UI" w:eastAsia="Leelawadee UI" w:cs="Leelawadee UI"/>
        </w:rPr>
        <w:t>ព្រះអម្ចាស់នឹងមិនធ្វើល្អ</w:t>
      </w:r>
      <w:r>
        <w:rPr>
          <w:rFonts w:ascii="Times New Roman" w:hAnsi="Times New Roman" w:eastAsia="Times New Roman" w:cs="Times New Roman"/>
        </w:rPr>
        <w:t xml:space="preserve"> </w:t>
      </w:r>
      <w:r>
        <w:rPr>
          <w:rFonts w:ascii="Leelawadee UI" w:hAnsi="Leelawadee UI" w:eastAsia="Leelawadee UI" w:cs="Leelawadee UI"/>
        </w:rPr>
        <w:t>ហើយក៏នឹងមិនធ្វើអាក្រក់ដែរ។</w:t>
      </w:r>
      <w:r>
        <w:rPr>
          <w:rFonts w:ascii="Times New Roman" w:hAnsi="Times New Roman" w:eastAsia="Times New Roman" w:cs="Times New Roman"/>
        </w:rPr>
        <w:t xml:space="preserve"> </w:t>
      </w:r>
      <w:r>
        <w:rPr>
          <w:rFonts w:ascii="Leelawadee UI" w:hAnsi="Leelawadee UI" w:eastAsia="Leelawadee UI" w:cs="Leelawadee UI"/>
        </w:rPr>
        <w:t>ទ្រង់មានព្រះមេត្តាករុណាខ្លាំងពេក</w:t>
      </w:r>
      <w:r>
        <w:rPr>
          <w:rFonts w:ascii="Times New Roman" w:hAnsi="Times New Roman" w:eastAsia="Times New Roman" w:cs="Times New Roman"/>
        </w:rPr>
        <w:t xml:space="preserve"> </w:t>
      </w:r>
      <w:r>
        <w:rPr>
          <w:rFonts w:ascii="Leelawadee UI" w:hAnsi="Leelawadee UI" w:eastAsia="Leelawadee UI" w:cs="Leelawadee UI"/>
        </w:rPr>
        <w:t>ដល់ថ្នាក់មិនយាងមកវិនិច្ឆ័យប្រជាជនរបស់ទ្រង់ឡើយ។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សេចក្ដីសុខសាន្ត</w:t>
      </w:r>
      <w:r>
        <w:rPr>
          <w:rFonts w:ascii="Times New Roman" w:hAnsi="Times New Roman" w:eastAsia="Times New Roman" w:cs="Times New Roman"/>
        </w:rPr>
        <w:t xml:space="preserve"> </w:t>
      </w:r>
      <w:r>
        <w:rPr>
          <w:rFonts w:ascii="Leelawadee UI" w:hAnsi="Leelawadee UI" w:eastAsia="Leelawadee UI" w:cs="Leelawadee UI"/>
        </w:rPr>
        <w:t>និងសុវត្ថិភាព</w:t>
      </w:r>
      <w:r>
        <w:rPr>
          <w:rFonts w:ascii="Times New Roman" w:hAnsi="Times New Roman" w:eastAsia="Times New Roman" w:cs="Times New Roman"/>
        </w:rPr>
        <w:t xml:space="preserve">” </w:t>
      </w:r>
      <w:r>
        <w:rPr>
          <w:rFonts w:ascii="Leelawadee UI" w:hAnsi="Leelawadee UI" w:eastAsia="Leelawadee UI" w:cs="Leelawadee UI"/>
        </w:rPr>
        <w:t>គឺជាសម្រែកពីមនុស្សដែលនឹងមិនលើកសំឡេងរបស់ខ្លួនឡើងដូចត្រែទៀតឡើយ</w:t>
      </w:r>
      <w:r>
        <w:rPr>
          <w:rFonts w:ascii="Times New Roman" w:hAnsi="Times New Roman" w:eastAsia="Times New Roman" w:cs="Times New Roman"/>
        </w:rPr>
        <w:t xml:space="preserve"> </w:t>
      </w:r>
      <w:r>
        <w:rPr>
          <w:rFonts w:ascii="Leelawadee UI" w:hAnsi="Leelawadee UI" w:eastAsia="Leelawadee UI" w:cs="Leelawadee UI"/>
        </w:rPr>
        <w:t>ដើម្បីបង្ហាញដល់ប្រជាជនរបស់ព្រះអំពីការរំលងរបស់ពួកគេ</w:t>
      </w:r>
      <w:r>
        <w:rPr>
          <w:rFonts w:ascii="Times New Roman" w:hAnsi="Times New Roman" w:eastAsia="Times New Roman" w:cs="Times New Roman"/>
        </w:rPr>
        <w:t xml:space="preserve"> </w:t>
      </w:r>
      <w:r>
        <w:rPr>
          <w:rFonts w:ascii="Leelawadee UI" w:hAnsi="Leelawadee UI" w:eastAsia="Leelawadee UI" w:cs="Leelawadee UI"/>
        </w:rPr>
        <w:t>និងដល់ពូជពង្សយ៉ាកុបអំពីអំពើបាបរបស់ពួកគេ។</w:t>
      </w:r>
      <w:r>
        <w:rPr>
          <w:rFonts w:ascii="Times New Roman" w:hAnsi="Times New Roman" w:eastAsia="Times New Roman" w:cs="Times New Roman"/>
        </w:rPr>
        <w:t xml:space="preserve"> </w:t>
      </w:r>
      <w:r>
        <w:rPr>
          <w:rFonts w:ascii="Leelawadee UI" w:hAnsi="Leelawadee UI" w:eastAsia="Leelawadee UI" w:cs="Leelawadee UI"/>
        </w:rPr>
        <w:t>ឆ្កែគថ្លង់ទាំងនេះ</w:t>
      </w:r>
      <w:r>
        <w:rPr>
          <w:rFonts w:ascii="Times New Roman" w:hAnsi="Times New Roman" w:eastAsia="Times New Roman" w:cs="Times New Roman"/>
        </w:rPr>
        <w:t xml:space="preserve"> </w:t>
      </w:r>
      <w:r>
        <w:rPr>
          <w:rFonts w:ascii="Leelawadee UI" w:hAnsi="Leelawadee UI" w:eastAsia="Leelawadee UI" w:cs="Leelawadee UI"/>
        </w:rPr>
        <w:t>ដែលមិនព្រមព្រុស</w:t>
      </w:r>
      <w:r>
        <w:rPr>
          <w:rFonts w:ascii="Times New Roman" w:hAnsi="Times New Roman" w:eastAsia="Times New Roman" w:cs="Times New Roman"/>
        </w:rPr>
        <w:t xml:space="preserve"> </w:t>
      </w:r>
      <w:r>
        <w:rPr>
          <w:rFonts w:ascii="Leelawadee UI" w:hAnsi="Leelawadee UI" w:eastAsia="Leelawadee UI" w:cs="Leelawadee UI"/>
        </w:rPr>
        <w:t>គឺជាអ្នកដែលទទួលការសងសឹកដ៏សុចរិតនៃព្រះដែលត្រូវបានធ្វើឲ្យខឹង។</w:t>
      </w:r>
      <w:r>
        <w:rPr>
          <w:rFonts w:ascii="Times New Roman" w:hAnsi="Times New Roman" w:eastAsia="Times New Roman" w:cs="Times New Roman"/>
        </w:rPr>
        <w:t xml:space="preserve"> </w:t>
      </w:r>
      <w:r>
        <w:rPr>
          <w:rFonts w:ascii="Leelawadee UI" w:hAnsi="Leelawadee UI" w:eastAsia="Leelawadee UI" w:cs="Leelawadee UI"/>
        </w:rPr>
        <w:t>បុរស</w:t>
      </w:r>
      <w:r>
        <w:rPr>
          <w:rFonts w:ascii="Times New Roman" w:hAnsi="Times New Roman" w:eastAsia="Times New Roman" w:cs="Times New Roman"/>
        </w:rPr>
        <w:t xml:space="preserve"> </w:t>
      </w:r>
      <w:r>
        <w:rPr>
          <w:rFonts w:ascii="Leelawadee UI" w:hAnsi="Leelawadee UI" w:eastAsia="Leelawadee UI" w:cs="Leelawadee UI"/>
        </w:rPr>
        <w:t>នារីក្រមុំ</w:t>
      </w:r>
      <w:r>
        <w:rPr>
          <w:rFonts w:ascii="Times New Roman" w:hAnsi="Times New Roman" w:eastAsia="Times New Roman" w:cs="Times New Roman"/>
        </w:rPr>
        <w:t xml:space="preserve"> </w:t>
      </w:r>
      <w:r>
        <w:rPr>
          <w:rFonts w:ascii="Leelawadee UI" w:hAnsi="Leelawadee UI" w:eastAsia="Leelawadee UI" w:cs="Leelawadee UI"/>
        </w:rPr>
        <w:t>និងកុមារតូចៗ</w:t>
      </w:r>
      <w:r>
        <w:rPr>
          <w:rFonts w:ascii="Times New Roman" w:hAnsi="Times New Roman" w:eastAsia="Times New Roman" w:cs="Times New Roman"/>
        </w:rPr>
        <w:t xml:space="preserve"> </w:t>
      </w:r>
      <w:r>
        <w:rPr>
          <w:rFonts w:ascii="Leelawadee UI" w:hAnsi="Leelawadee UI" w:eastAsia="Leelawadee UI" w:cs="Leelawadee UI"/>
        </w:rPr>
        <w:t>ទាំងអស់ត្រូវវិនាសជាមួយគ្នា។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 sik long ol mekim nogut em ol bilipman i krai sori na krai strong long en, em olgeta samting tasol ol man i gat pinis tingting inap i luksave long en; tasol ol sin i nogut tru, em ol sin we i kirapim belhat bilong God i klin tru na i holi tru, ol dispela i no bin kamap ples klia. Dispela Bikpela Man Bilong painimaut bel bilong ol man i save long olgeta sin ol wokman bilong pasin nogut i mekim long ples hait. Dispela lain manmeri i save kam pilim olsem ol i stap gut insait long ol giaman bilong ol, na bikos long longpela pasin bilong em long karim hevi, ol i tok, Bikpela i no save lukim, na bihain ol i mekim pasin olsem em i bin lusim pinis graun. Tasol em bai painimaut pasin giaman bilong ol na bai opim klia long ai bilong ol arapela olgeta sin we ol i bin wok strong long haitim.”</w:t>
      </w:r>
    </w:p>
    <w:p>
      <w:pPr>
        <w:pStyle w:val="ArticleScripture"/>
        <w:jc w:val="left"/>
      </w:pPr>
      <w:r>
        <w:rPr>
          <w:rFonts w:ascii="Times New Roman" w:hAnsi="Times New Roman" w:eastAsia="Times New Roman" w:cs="Times New Roman"/>
        </w:rPr>
        <w:t>«Aucun rang supérieur, aucune dignité ni sagesse mondaine, aucune position dans une charge sacrée, ne préservera les hommes de sacrifier le principe lorsqu’ils sont abandonnés à leurs propres cœurs trompeurs. Ceux qui ont été regardés comme dignes et justes se révèlent être les meneurs de l’apostasie et des exemples d’indifférence ainsi que d’abus des miséricordes de Dieu. Leur conduite impie, Il ne la tolérera plus longtemps, et dans Sa colère Il les traite sans miséricorde. »</w:t>
      </w:r>
    </w:p>
    <w:p>
      <w:pPr>
        <w:pStyle w:val="ArticleScripture"/>
        <w:jc w:val="left"/>
      </w:pPr>
      <w:r>
        <w:rPr>
          <w:rFonts w:ascii="Times New Roman" w:hAnsi="Times New Roman" w:eastAsia="Times New Roman" w:cs="Times New Roman"/>
        </w:rPr>
        <w:t>“Se avèk ezitasyon Senyè a retire prezans Li nan men moun ki te beni ak gwo limyè e ki te santi pouvwa pawòl la pandan y ap sèvi lòt moun. Yon lè yo te sèvitè fidèl Li yo, yo te resevwa favè prezans Li ak gidans Li; men yo te vire do ba Li epi yo te mennen lòt moun nan erè, e se poutèt sa yo tonbe anba mekontantman divin.” Testimonies, volim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تراسی و درے</dc:title>
  <dc:subject>Hatua Nne za Uadventista wa Laodikia: Kufunua Machukizo Yanayoendelea Kuongezeka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