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Quatre-vingt-quatre</w:t>
      </w:r>
    </w:p>
    <w:p>
      <w:pPr>
        <w:pStyle w:val="ArticleSubtitle"/>
        <w:jc w:val="left"/>
      </w:pPr>
      <w:r>
        <w:rPr>
          <w:rFonts w:ascii="Arial" w:hAnsi="Arial" w:eastAsia="Arial" w:cs="Arial"/>
        </w:rPr>
        <w:t>Kufunua Vizazi Vinne vya Uadventista wa Laodikia: Safari Kupitia Ulinganifu wa Kibiblia na Kupimwa kwa Kinabii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La vérité est établie sur le témoignage de deux ou de trois, et l’application des quatre abominations d’Ézéchiel, au chapitre huit, aux quatre générations de l’adventisme laodicéen, possède plusieurs témoins. Dans des articles antérieurs, il a été établi que les sept Églises d’Apocalypse, chapitres deux et trois, représentaient non seulement l’histoire d’Israël moderne depuis le temps des apôtres jusqu’à la fin du monde, mais encore que ces sept Églises représentaient l’histoire d’Israël ancien depuis le temps de Moïse jusqu’au temps de Christ.</w:t>
      </w:r>
    </w:p>
    <w:p>
      <w:pPr>
        <w:pStyle w:val="ArticleBody"/>
        <w:jc w:val="left"/>
      </w:pPr>
      <w:r>
        <w:rPr>
          <w:rFonts w:ascii="Times New Roman" w:hAnsi="Times New Roman" w:eastAsia="Times New Roman" w:cs="Times New Roman"/>
        </w:rPr>
        <w:t>L’église d’Éphèse représentait à la fois l’Église chrétienne primitive, et aussi l’ancien Israël depuis Moïse jusqu’au temps des Juges. L’église de Smyrne représentait la période de persécution depuis le temps des disciples jusqu’à l’empereur romain Constantin, ainsi que la période des Juges, lorsque chacun faisait ce qui était droit à ses propres yeux. L’église de Pergame représentait la période de compromis depuis Constantin jusqu’à la papauté en 538, mais aussi la période où l’ancien Israël rejeta Dieu et choisit un roi, et transigea continuellement avec les royaumes païens qui l’entouraient. La quatrième église, celle de Thyatire, représentée par Jézabel, est la période de la domination papale depuis l’an 538 jusqu’en 1798, ainsi que les soixante-dix années de la captivité de l’ancien Israël à Babylone.</w:t>
      </w:r>
    </w:p>
    <w:p>
      <w:pPr>
        <w:pStyle w:val="ArticleBody"/>
        <w:jc w:val="left"/>
      </w:pPr>
      <w:r>
        <w:rPr>
          <w:rFonts w:ascii="Times New Roman" w:hAnsi="Times New Roman" w:eastAsia="Times New Roman" w:cs="Times New Roman"/>
        </w:rPr>
        <w:t>Yi chinn kawhhran pali cu Adventism chan peng pali an aiawhter ve cih, cun Ezekiel ih thil tenawknak palii cu chan peng pali hnenah hman theihnak thu an hmuhtonmi in a langter. Kum 1863 ih doawknak cu Israel hlun chan peng pakhatnak ih Aaron ih cawngsualsiar cawi puan ih doawknak thawn zohthim in a langter. Chan peng pakhatnak ah Efesa kawhhran hnenih pekmi ralrinnak tel a si ih, cuih ralrinnak cun Pathian minung pawl in an duhdawtnak hmaisabik an kaltak zo, an sual sir ding ih an duhdawtnak hmaisabik lamah kir sal ding a tul thu a theihter. Kum 1863 ah, duhdawtnak hmaisabik cu William Miller ih jewel pawl in a aiawhmi, a hramthok thutak pawl, a hleice in “sarih vei” timi, hrialsan in an um ih, Pathian minung pawl cu kir sal dingin ralrin an si.</w:t>
      </w:r>
    </w:p>
    <w:p>
      <w:pPr>
        <w:pStyle w:val="ArticleScripture"/>
        <w:jc w:val="left"/>
      </w:pPr>
      <w:r>
        <w:rPr>
          <w:rFonts w:ascii="Times New Roman" w:hAnsi="Times New Roman" w:eastAsia="Times New Roman" w:cs="Times New Roman"/>
        </w:rPr>
        <w:t>Cependant, j’ai quelque chose contre toi, c’est que tu as abandonné ton premier amour. Souviens-toi donc d’où tu es tombé, repens-toi, et pratique tes premières œuvres ; sinon, je viendrai à toi bientôt, et j’ôterai ton chandelier de sa place, à moins que tu ne te repentes. Apocalypse 2:4, 5.</w:t>
      </w:r>
    </w:p>
    <w:p>
      <w:pPr>
        <w:pStyle w:val="ArticleBody"/>
        <w:jc w:val="left"/>
      </w:pPr>
      <w:r>
        <w:rPr>
          <w:rFonts w:ascii="Times New Roman" w:hAnsi="Times New Roman" w:eastAsia="Times New Roman" w:cs="Times New Roman"/>
        </w:rPr>
        <w:t>Les millérites avaient lutté contre le protestantisme apostat, que Jérémie appelait « l’assemblée des moqueurs », et avaient attendu patiemment que la vision s’accomplît, car lorsqu’elle s’accomplirait, elle ne mentirait pas. L’« assemblée des moqueurs » était représentée par le vieux prophète qui mentit au prophète de Juda, lequel avait adressé la réprimande contre le culte contrefait de Jéroboam.</w:t>
      </w:r>
    </w:p>
    <w:p>
      <w:pPr>
        <w:pStyle w:val="ArticleScripture"/>
        <w:jc w:val="left"/>
      </w:pPr>
      <w:r>
        <w:rPr>
          <w:rFonts w:ascii="Times New Roman" w:hAnsi="Times New Roman" w:eastAsia="Times New Roman" w:cs="Times New Roman"/>
        </w:rPr>
        <w:t>Ninajua matendo yako, na taabu yako, na saburi yako, na jinsi usivyoweza kuwastahimili wale walio waovu; nawe umewajaribu wale wajiitao mitume, nao siyo, nawe umewaona kuwa waongo; nawe umevumilia, nawe una saburi, na kwa ajili ya jina langu umefanya kazi kwa taabu, wala hukuzimia. Ufunuo 2:2, 3.</w:t>
      </w:r>
    </w:p>
    <w:p>
      <w:pPr>
        <w:pStyle w:val="ArticleBody"/>
        <w:jc w:val="left"/>
      </w:pPr>
      <w:r>
        <w:rPr>
          <w:rFonts w:ascii="Times New Roman" w:hAnsi="Times New Roman" w:eastAsia="Times New Roman" w:cs="Times New Roman"/>
        </w:rPr>
        <w:t>Kilisia ya pili ya Smirna iliwakilisha kipindi cha mateso katika kanisa la Kikristo la awali, kilichojumuisha mashahidi wa kweli na pia wengine waliojiletea wenyewe mateso kwa misukumo isiyo mitakatifu kikamilifu. Pia kiliwakilisha wakati wa Waamuzi ambapo kila mtu katika Israeli ya kale alifanya lolote lililoonekana kuwa jema machoni pake mwenyewe. Kizazi cha uasi kilichoanza mwaka 1888 kilitambulisha kipindi cha mateso dhidi ya Roho ya Unabii, wajumbe wateule wa saa ile, na Roho Mtakatifu. Kiliingiza kipindi ambapo wazee wa kale wa Uadventista wa Laodikia walichagua kufanya lolote lililoonekana kuwa jema machoni pao wenyewe, kama inavyoshuhudiwa na watu kama vile Kellogg, Prescott, na Daniells.</w:t>
      </w:r>
    </w:p>
    <w:p>
      <w:pPr>
        <w:pStyle w:val="ArticleBody"/>
        <w:jc w:val="left"/>
      </w:pPr>
      <w:r>
        <w:rPr>
          <w:rFonts w:ascii="Times New Roman" w:hAnsi="Times New Roman" w:eastAsia="Times New Roman" w:cs="Times New Roman"/>
        </w:rPr>
        <w:t>Naqueles dias, os poucos fiéis deveriam estar em combate espiritual mortal com uma classe que afirmava ser judia, mas não era. Apesar de ocuparem posições de liderança, eram da sinagoga de Satanás, como testificou a Irmã White ao identificar que alguns estavam sendo dirigidos “por anjos que haviam sido expulsos do céu”. Alegavam ser sábios, mas eram insensatos. Nenhuma condenação foi pronunciada contra os sábios naquele período, mas, sim, um encorajamento para serem fiéis até à morte. Em 1915, as últimas palavras que a Irmã White proferiu foram: “Sei em quem tenho crido”, pois ela fora fiel até à morte.</w:t>
      </w:r>
    </w:p>
    <w:p>
      <w:pPr>
        <w:pStyle w:val="ArticleScripture"/>
        <w:jc w:val="left"/>
      </w:pPr>
      <w:r>
        <w:rPr>
          <w:rFonts w:ascii="Times New Roman" w:hAnsi="Times New Roman" w:eastAsia="Times New Roman" w:cs="Times New Roman"/>
        </w:rPr>
        <w:t>Je connais tes œuvres, ta tribulation et ta pauvreté, — quoique tu sois riche, — et je connais le blasphème de ceux qui se disent Juifs et ne le sont pas, mais qui sont une synagogue de Satan. Ne crains aucune des choses que tu auras à souffrir : voici, le diable jettera quelques-uns d’entre vous en prison, afin que vous soyez éprouvés ; et vous aurez une tribulation de dix jours. Sois fidèle jusqu’à la mort, et je te donnerai la couronne de vie. Apocalypse 2:9, 10.</w:t>
      </w:r>
    </w:p>
    <w:p>
      <w:pPr>
        <w:pStyle w:val="ArticleBody"/>
        <w:jc w:val="left"/>
      </w:pPr>
      <w:r>
        <w:rPr>
          <w:rFonts w:ascii="Times New Roman" w:hAnsi="Times New Roman" w:eastAsia="Times New Roman" w:cs="Times New Roman"/>
        </w:rPr>
        <w:t>ɔsɔre a wɔfrɛ no Pergamos no gyinaa hɔ maa apam a wɔyɛe wɔ nokware ne mfomso ntam, abosonsom ne Kristofo gyidi ntam, wɔ Ɔhempɔn Constantine bere so, na saa ara nso na egyinaa tete Israel a wɔyɛɛ no apam no so wɔ ahemfo abakɔsɛm no mu. Ɛgyinaa hɔ maa nokware ne mfomso afrafra, a ɛrentumi nni ba biara gye mfomso nko ara. Wɔde gyinaa hɔ maa Bible nhyiam a wɔyɛe wɔ afe 1919 mu, baabi a wɔmaa wɔyɛɛ nhoma no, “The Doctrine of Christ”, sɛnea ɛbɛyɛ a wɔbɛbɔ Adventist asɛmpa bi a ɛbɛda nso pii adi sɛ ɛne awaefo Protestantfo atoro asɛmpa no hyia. Ɛyɛɛ Adventism awo ntoatoaso a ɛto so abiɛsa no mu na nokware ho apam akɛse no sisii.</w:t>
      </w:r>
    </w:p>
    <w:p>
      <w:pPr>
        <w:pStyle w:val="ArticleBody"/>
        <w:jc w:val="left"/>
      </w:pPr>
      <w:r>
        <w:rPr>
          <w:rFonts w:ascii="Times New Roman" w:hAnsi="Times New Roman" w:eastAsia="Times New Roman" w:cs="Times New Roman"/>
        </w:rPr>
        <w:t>C’était dans cette génération, à partir de 1919, que l’Église commença le compromis qui donna naissance au Manuel d’Église. C’était dans cette génération, à partir de 1919, que l’Église commença le compromis qui exigea l’accréditation tant dans les écoles de santé que dans celles de religion. C’était dans cette génération que fut amorcé le passage aux Bibles modernes d’inspiration catholique. C’était dans cette histoire que se manifesta la disposition des dirigeants à établir des relations avec des régimes ouvertement antichrétiens.</w:t>
      </w:r>
    </w:p>
    <w:p>
      <w:pPr>
        <w:pStyle w:val="ArticleBody"/>
        <w:jc w:val="left"/>
      </w:pPr>
      <w:r>
        <w:rPr>
          <w:rFonts w:ascii="Times New Roman" w:hAnsi="Times New Roman" w:eastAsia="Times New Roman" w:cs="Times New Roman"/>
        </w:rPr>
        <w:t>Den ildhituðust inn í frumbernsku sinni í Borgarastyrjöldinni, er leiðtogar Laódíkeu mynduðu lagalegt samband við ríkisstjórn Bandaríkjanna til þess að tryggja sem bestan úrslit fyrir unga menn safnaðarins sem áttu að verða kvaddir í mannskæðasta stríð í sögu Ameríku, var endurtekin við upphaf Fyrri heimsstyrjaldarinnar, þegar forseti Aðalráðstefnunnar, A. G. Daniells, átti samskipti við þýsku ríkisstjórnina og veitti samþykki sitt fyrir því að Þýskaland kvaddi unga menn til herþjónustu og neyddi þá til að þjóna í hernum, bera vopn og virða hvíldardaginn að vettugi. Sú aðgerð Daniells leiddi til aðskilnaðar sem framkallaði hinar ýmsu klofningsgreinar Sjöunda dags aðventista í endurbótarhreyfingunni sem eru enn til þessa dags.</w:t>
      </w:r>
    </w:p>
    <w:p>
      <w:pPr>
        <w:pStyle w:val="ArticleBody"/>
        <w:jc w:val="left"/>
      </w:pPr>
      <w:r>
        <w:rPr>
          <w:rFonts w:ascii="Times New Roman" w:hAnsi="Times New Roman" w:eastAsia="Times New Roman" w:cs="Times New Roman"/>
        </w:rPr>
        <w:t>Ɔkae no toaa so wɔ Hitler Nazi Germany mu, na ɛno akyi no wɔ aman a na wɔyɛ Soviet Union no mu, na ɛnnɛ yi nso wɔda so kura mu wɔ nniso ahorow te sɛ China mu. Awo ntoatoaso a ɛto so abiɛsa no mfomso mpata a ɛwɔ ne abusuabɔ ne amammuisɛm ho no, na wɔayɛ no sɛso wɔ tete Israel ahemfo no ne Constantine no mfomso mpata mu, sɛnea wɔde ahyɛnsemmu ayɛ no sɛ agyiraehyɛde wɔ Pergamos asafo no mu no. Saa bere no nso gyinaa hɔ maa ne asafo nhyehyɛe mu mfomso mpata a ɛne asɛmpa atoro a ɛfa asomdwoe ne ahobammɔ ho a wɔde agyina hɔ ma no wɔ Prescott “The Doctrine of Christ” no mu no.</w:t>
      </w:r>
    </w:p>
    <w:p>
      <w:pPr>
        <w:pStyle w:val="ArticleScripture"/>
        <w:jc w:val="left"/>
      </w:pPr>
      <w:r>
        <w:rPr>
          <w:rFonts w:ascii="Times New Roman" w:hAnsi="Times New Roman" w:eastAsia="Times New Roman" w:cs="Times New Roman"/>
        </w:rPr>
        <w:t>Je sais tes œuvres, et je sais où tu demeures, là où est le siège de Satan. Tu retiens fermement mon nom, et tu n’as pas renié ma foi, même aux jours où Antipas, mon témoin fidèle, a été mis à mort au milieu de vous, là où Satan habite. Mais j’ai contre toi quelques reproches, parce que tu as là des gens attachés à la doctrine de Balaam, qui enseignait à Balak à mettre une pierre d’achoppement devant les enfants d’Israël, pour qu’ils mangent des viandes sacrifiées aux idoles et se livrent à l’impudicité. Apocalypse 2:13, 14.</w:t>
      </w:r>
    </w:p>
    <w:p>
      <w:pPr>
        <w:pStyle w:val="ArticleBody"/>
        <w:jc w:val="left"/>
      </w:pPr>
      <w:r>
        <w:rPr>
          <w:rFonts w:ascii="Nirmala UI" w:hAnsi="Nirmala UI" w:eastAsia="Nirmala UI" w:cs="Nirmala UI"/>
        </w:rPr>
        <w:t>व्यभिचार</w:t>
      </w:r>
      <w:r>
        <w:rPr>
          <w:rFonts w:ascii="Times New Roman" w:hAnsi="Times New Roman" w:eastAsia="Times New Roman" w:cs="Times New Roman"/>
        </w:rPr>
        <w:t xml:space="preserve"> </w:t>
      </w:r>
      <w:r>
        <w:rPr>
          <w:rFonts w:ascii="Nirmala UI" w:hAnsi="Nirmala UI" w:eastAsia="Nirmala UI" w:cs="Nirmala UI"/>
        </w:rPr>
        <w:t>जनरल</w:t>
      </w:r>
      <w:r>
        <w:rPr>
          <w:rFonts w:ascii="Times New Roman" w:hAnsi="Times New Roman" w:eastAsia="Times New Roman" w:cs="Times New Roman"/>
        </w:rPr>
        <w:t xml:space="preserve"> </w:t>
      </w:r>
      <w:r>
        <w:rPr>
          <w:rFonts w:ascii="Nirmala UI" w:hAnsi="Nirmala UI" w:eastAsia="Nirmala UI" w:cs="Nirmala UI"/>
        </w:rPr>
        <w:t>कॉन्फरेंस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जर्मनी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सोवियत</w:t>
      </w:r>
      <w:r>
        <w:rPr>
          <w:rFonts w:ascii="Times New Roman" w:hAnsi="Times New Roman" w:eastAsia="Times New Roman" w:cs="Times New Roman"/>
        </w:rPr>
        <w:t xml:space="preserve"> </w:t>
      </w:r>
      <w:r>
        <w:rPr>
          <w:rFonts w:ascii="Nirmala UI" w:hAnsi="Nirmala UI" w:eastAsia="Nirmala UI" w:cs="Nirmala UI"/>
        </w:rPr>
        <w:t>संघ</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संरेखित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w:t>
      </w:r>
      <w:r>
        <w:rPr>
          <w:rFonts w:ascii="Nirmala UI" w:hAnsi="Nirmala UI" w:eastAsia="Nirmala UI" w:cs="Nirmala UI"/>
        </w:rPr>
        <w:t>प्रणालियों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उत्पीड़न</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जिनसे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मूर्तियों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चढ़ाया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कैथोलिकवाद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मिथ्या</w:t>
      </w:r>
      <w:r>
        <w:rPr>
          <w:rFonts w:ascii="Times New Roman" w:hAnsi="Times New Roman" w:eastAsia="Times New Roman" w:cs="Times New Roman"/>
        </w:rPr>
        <w:t xml:space="preserve"> </w:t>
      </w:r>
      <w:r>
        <w:rPr>
          <w:rFonts w:ascii="Nirmala UI" w:hAnsi="Nirmala UI" w:eastAsia="Nirmala UI" w:cs="Nirmala UI"/>
        </w:rPr>
        <w:t>कार्यपद्धति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विश्वविद्यालयों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दृढ़तापूर्वक</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स्वास्थ्य</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क्षेत्रों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कार्यपद्धतियों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दिशानिर्देशों</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शासित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Jesus alisimbolisha mwisho wa kizazi cha tatu kama alivyofanya na mwanzo wake, kwa kuwa aliashiria kuwasili kwa kizazi cha nne kwa kuchapishwa kwa kitabu *Questions on Doctrine* kilichochapishwa mwaka 1957, ambacho kilikataa kikamilifu utofauti wa msingi wa wokovu uliopo kati ya kweli na mawazo yenye kosa ya Uprotestanti ulioasi na Ukatoliki. Bila shaka kitabu hicho kina mafundisho kadhaa yenye makosa, lakini kimsingi hufundisha kwamba haiwezekani kuishi maisha ya ushindi ndani ya Kristo mpaka baada ya mtu kubadilishwa kimuujiza wakati wa Kuja kwa Mara ya Pili. Kitabu hicho kiliashiria mwanzo wa kizazi ambacho ndani yake wale wazee ishirini na watano walipaswa kuinamia jua. Vipengele vya kisiasa na vya kidini vilivyohitajika ili kuliruhusu kanisa la Waadventista wa Laodikia kuukubali ibada ya Jumapili katika sheria ya Jumapili inayokuja upesi vilikuwa vimewasili.</w:t>
      </w:r>
    </w:p>
    <w:p>
      <w:pPr>
        <w:pStyle w:val="ArticleBody"/>
        <w:jc w:val="left"/>
      </w:pPr>
      <w:r>
        <w:rPr>
          <w:rFonts w:ascii="Times New Roman" w:hAnsi="Times New Roman" w:eastAsia="Times New Roman" w:cs="Times New Roman"/>
        </w:rPr>
        <w:t>Ezekieli tsɔtsɔ nuvɔvɔ ene-lia la dzɔ le esime ame vɔvli siwo lɔlɔnye la le agblɔ dzi ɖe taƒodzinuwo me le ta wɔnutoe dzi, fifia gbɔna ŋgɔ vie ko hafi gbegblẽla ƒe dɔwɔlawo nade asi wɔnƒe dɔ la me. Nuku la dze egɔme le taɖodzinu enyi ƒe kpukpui gbã me, le ŋkeke atɔlia si le ɣleti adẽlia me, le ƒe adẽlia me. Nuku la dze egɔme le ŋkeke si va ŋgɔ na ʋɔnudɔdrɔ la ƒe wowɔwɔ ɖe ame siwo subɔa ɣe la ŋu, esi nye papaƒe amegãnyenye ƒe dzesi, eye eƒe ŋkɔ ƒe xexlẽme nye “666.”</w:t>
      </w:r>
    </w:p>
    <w:p>
      <w:pPr>
        <w:pStyle w:val="ArticleBody"/>
        <w:jc w:val="left"/>
      </w:pPr>
      <w:r>
        <w:rPr>
          <w:rFonts w:ascii="Times New Roman" w:hAnsi="Times New Roman" w:eastAsia="Times New Roman" w:cs="Times New Roman"/>
        </w:rPr>
        <w:t>Lebasa ya kokanga elembo ya bato nkóto nkama moko na ntuku minei na minei ebandaki na mokolo mwa zomi na moko Sɛtɛmbɛ 2001 na nzela ya attaque oyo esalemaki likoló ya nyama ya mabele na mawa ya misato ya Islam. Attaque yango esalaki ete bikólo esilika, mpe etyamaki lokola elembo ya boyei ya mbula ya nsuka. Kasi mbula ya nsuka yango elingaki koyebana kaka na baoyo bakotambwisama mpo na kozonga na miboko ya Adventisme, mpo na komona ete Mawa Misato ya Islam ezali solo ya moboko. Na tango wana, baoyo batambwisamaki mpo na kozonga na banzela ya kala oyo Jeremia abengi “kimya” (oyo ezali mbula ya nsuka), bakokómaki to bakengeli oyo babɛtaka kelelo ya Mawa ya misato, to bakozala baoyo baboyi koyoka mongongo ya kelelo, mpe na yango bazali koboya kotambola na banzela ya kala.</w:t>
      </w:r>
    </w:p>
    <w:p>
      <w:pPr>
        <w:pStyle w:val="ArticleBody"/>
        <w:jc w:val="left"/>
      </w:pPr>
      <w:r>
        <w:rPr>
          <w:rFonts w:ascii="Times New Roman" w:hAnsi="Times New Roman" w:eastAsia="Times New Roman" w:cs="Times New Roman"/>
        </w:rPr>
        <w:t>Then wa testim bi di sin a dem fada rebelyan a 1863. Pan di very sem pwin a taim, wan mesaj kom bout di raychasnɛs a Krais, wich da “justifikieshan bai fieyith in verity”. Da mi di Laodicean mesaj a Jones an Waggoner, an da mi di mesaj a Ezekiel tu di ded dry bon weh kom fram di “fuo win”, weh da simbol a Islam a di third woe (di “angry haws” seek fi brok loose). Dem faithful fyu deh afta wa testim bi di sin a dem fada rebelyan a 1888, az di maiti angel a Revelation eighteen descend wen di great bildin dem a New York City wa trow dong, an Revelation chapter eighteen, verses one thru three wa fulfill.</w:t>
      </w:r>
    </w:p>
    <w:p>
      <w:pPr>
        <w:pStyle w:val="ArticleBody"/>
        <w:jc w:val="left"/>
      </w:pPr>
      <w:r>
        <w:rPr>
          <w:rFonts w:ascii="Times New Roman" w:hAnsi="Times New Roman" w:eastAsia="Times New Roman" w:cs="Times New Roman"/>
        </w:rPr>
        <w:t>Puis ils furent éprouvés par l’identification du message de la pluie de l’arrière-saison. La pluie de l’arrière-saison était-elle une manifestation de la puissance de Dieu comme aux âges passés, ou bien les manifestations de la puissance de Dieu n’appartenaient-elles qu’au passé ? Le petit nombre des fidèles fut alors mis à l’épreuve par la rébellion de la rébellion de leurs pères en 1919. La manière dont le petit nombre des fidèles traverse ces trois épreuves détermine s’il recevra le sceau de Dieu sur son front, ou s’il se trouvera à se prosterner devant le soleil avec les vingt-cinq anciens de l’adventisme laodicéen.</w:t>
      </w:r>
    </w:p>
    <w:p>
      <w:pPr>
        <w:pStyle w:val="ArticleBody"/>
        <w:jc w:val="left"/>
      </w:pPr>
      <w:r>
        <w:rPr>
          <w:rFonts w:ascii="Nirmala UI" w:hAnsi="Nirmala UI" w:eastAsia="Nirmala UI" w:cs="Nirmala UI"/>
        </w:rPr>
        <w:t>ফলতঃ</w:t>
      </w:r>
      <w:r>
        <w:rPr>
          <w:rFonts w:ascii="Times New Roman" w:hAnsi="Times New Roman" w:eastAsia="Times New Roman" w:cs="Times New Roman"/>
        </w:rPr>
        <w:t xml:space="preserve"> </w:t>
      </w:r>
      <w:r>
        <w:rPr>
          <w:rFonts w:ascii="Nirmala UI" w:hAnsi="Nirmala UI" w:eastAsia="Nirmala UI" w:cs="Nirmala UI"/>
        </w:rPr>
        <w:t>লাওদিকেয়ান</w:t>
      </w:r>
      <w:r>
        <w:rPr>
          <w:rFonts w:ascii="Times New Roman" w:hAnsi="Times New Roman" w:eastAsia="Times New Roman" w:cs="Times New Roman"/>
        </w:rPr>
        <w:t xml:space="preserve"> </w:t>
      </w:r>
      <w:r>
        <w:rPr>
          <w:rFonts w:ascii="Nirmala UI" w:hAnsi="Nirmala UI" w:eastAsia="Nirmala UI" w:cs="Nirmala UI"/>
        </w:rPr>
        <w:t>অ্যাডভেন্টিজমের</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প্রজন্মের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সমান্তরাল</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খুঁজে</w:t>
      </w:r>
      <w:r>
        <w:rPr>
          <w:rFonts w:ascii="Times New Roman" w:hAnsi="Times New Roman" w:eastAsia="Times New Roman" w:cs="Times New Roman"/>
        </w:rPr>
        <w:t xml:space="preserve"> </w:t>
      </w:r>
      <w:r>
        <w:rPr>
          <w:rFonts w:ascii="Nirmala UI" w:hAnsi="Nirmala UI" w:eastAsia="Nirmala UI" w:cs="Nirmala UI"/>
        </w:rPr>
        <w:t>পায়।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যেটিকে</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w:t>
      </w:r>
      <w:r>
        <w:rPr>
          <w:rFonts w:ascii="Nirmala UI" w:hAnsi="Nirmala UI" w:eastAsia="Nirmala UI" w:cs="Nirmala UI"/>
        </w:rPr>
        <w:t>পূর্ববায়ুর</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মোহরাঙ্কনের</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সূচনাকে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মোহরাঙ্কনের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সময়কালের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সূচনার</w:t>
      </w:r>
      <w:r>
        <w:rPr>
          <w:rFonts w:ascii="Times New Roman" w:hAnsi="Times New Roman" w:eastAsia="Times New Roman" w:cs="Times New Roman"/>
        </w:rPr>
        <w:t xml:space="preserve"> </w:t>
      </w:r>
      <w:r>
        <w:rPr>
          <w:rFonts w:ascii="Nirmala UI" w:hAnsi="Nirmala UI" w:eastAsia="Nirmala UI" w:cs="Nirmala UI"/>
        </w:rPr>
        <w:t>দ্বারাই</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সর্বদা</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শেষকে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বিষয়ের</w:t>
      </w:r>
      <w:r>
        <w:rPr>
          <w:rFonts w:ascii="Times New Roman" w:hAnsi="Times New Roman" w:eastAsia="Times New Roman" w:cs="Times New Roman"/>
        </w:rPr>
        <w:t xml:space="preserve"> </w:t>
      </w:r>
      <w:r>
        <w:rPr>
          <w:rFonts w:ascii="Nirmala UI" w:hAnsi="Nirmala UI" w:eastAsia="Nirmala UI" w:cs="Nirmala UI"/>
        </w:rPr>
        <w:t>শুরুর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মোহরাঙ্কন</w:t>
      </w:r>
      <w:r>
        <w:rPr>
          <w:rFonts w:ascii="Times New Roman" w:hAnsi="Times New Roman" w:eastAsia="Times New Roman" w:cs="Times New Roman"/>
        </w:rPr>
        <w:t xml:space="preserve"> </w:t>
      </w:r>
      <w:r>
        <w:rPr>
          <w:rFonts w:ascii="Nirmala UI" w:hAnsi="Nirmala UI" w:eastAsia="Nirmala UI" w:cs="Nirmala UI"/>
        </w:rPr>
        <w:t>প্রক্রিয়ার</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গতিবিধিতে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পরীক্ষাগুলি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সময়কালের</w:t>
      </w:r>
      <w:r>
        <w:rPr>
          <w:rFonts w:ascii="Times New Roman" w:hAnsi="Times New Roman" w:eastAsia="Times New Roman" w:cs="Times New Roman"/>
        </w:rPr>
        <w:t xml:space="preserve"> </w:t>
      </w:r>
      <w:r>
        <w:rPr>
          <w:rFonts w:ascii="Nirmala UI" w:hAnsi="Nirmala UI" w:eastAsia="Nirmala UI" w:cs="Nirmala UI"/>
        </w:rPr>
        <w:t>শুরুতে</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আবারও</w:t>
      </w:r>
      <w:r>
        <w:rPr>
          <w:rFonts w:ascii="Times New Roman" w:hAnsi="Times New Roman" w:eastAsia="Times New Roman" w:cs="Times New Roman"/>
        </w:rPr>
        <w:t xml:space="preserve"> </w:t>
      </w:r>
      <w:r>
        <w:rPr>
          <w:rFonts w:ascii="Nirmala UI" w:hAnsi="Nirmala UI" w:eastAsia="Nirmala UI" w:cs="Nirmala UI"/>
        </w:rPr>
        <w:t>পুনরাবৃত্ত</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ការល្បងលដែលពួកបះបោរនៃអាដវេនទីស៍បែបឡាវឌីសេ</w:t>
      </w:r>
      <w:r>
        <w:rPr>
          <w:rFonts w:ascii="Times New Roman" w:hAnsi="Times New Roman" w:eastAsia="Times New Roman" w:cs="Times New Roman"/>
        </w:rPr>
        <w:t xml:space="preserve"> </w:t>
      </w:r>
      <w:r>
        <w:rPr>
          <w:rFonts w:ascii="Leelawadee UI" w:hAnsi="Leelawadee UI" w:eastAsia="Leelawadee UI" w:cs="Leelawadee UI"/>
        </w:rPr>
        <w:t>តាមដែលត្រូវបានតំណាងដោយអំពើស្អប់ខ្ពើមទាំងបួននៃអេសេគាល</w:t>
      </w:r>
      <w:r>
        <w:rPr>
          <w:rFonts w:ascii="Times New Roman" w:hAnsi="Times New Roman" w:eastAsia="Times New Roman" w:cs="Times New Roman"/>
        </w:rPr>
        <w:t xml:space="preserve"> </w:t>
      </w:r>
      <w:r>
        <w:rPr>
          <w:rFonts w:ascii="Leelawadee UI" w:hAnsi="Leelawadee UI" w:eastAsia="Leelawadee UI" w:cs="Leelawadee UI"/>
        </w:rPr>
        <w:t>និងដោយក្រុមជំនុំបួនដំបូងនៅក្នុងវិវរណៈ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៣</w:t>
      </w:r>
      <w:r>
        <w:rPr>
          <w:rFonts w:ascii="Times New Roman" w:hAnsi="Times New Roman" w:eastAsia="Times New Roman" w:cs="Times New Roman"/>
        </w:rPr>
        <w:t xml:space="preserve"> </w:t>
      </w:r>
      <w:r>
        <w:rPr>
          <w:rFonts w:ascii="Leelawadee UI" w:hAnsi="Leelawadee UI" w:eastAsia="Leelawadee UI" w:cs="Leelawadee UI"/>
        </w:rPr>
        <w:t>បានមកដល់</w:t>
      </w:r>
      <w:r>
        <w:rPr>
          <w:rFonts w:ascii="Times New Roman" w:hAnsi="Times New Roman" w:eastAsia="Times New Roman" w:cs="Times New Roman"/>
        </w:rPr>
        <w:t xml:space="preserve"> </w:t>
      </w:r>
      <w:r>
        <w:rPr>
          <w:rFonts w:ascii="Leelawadee UI" w:hAnsi="Leelawadee UI" w:eastAsia="Leelawadee UI" w:cs="Leelawadee UI"/>
        </w:rPr>
        <w:t>ដោយសម្គាល់ការចាប់ផ្ដើមនៃដំណើរការសាកល្បងមួយ</w:t>
      </w:r>
      <w:r>
        <w:rPr>
          <w:rFonts w:ascii="Times New Roman" w:hAnsi="Times New Roman" w:eastAsia="Times New Roman" w:cs="Times New Roman"/>
        </w:rPr>
        <w:t xml:space="preserve"> </w:t>
      </w:r>
      <w:r>
        <w:rPr>
          <w:rFonts w:ascii="Leelawadee UI" w:hAnsi="Leelawadee UI" w:eastAsia="Leelawadee UI" w:cs="Leelawadee UI"/>
        </w:rPr>
        <w:t>ដែលនាំទៅកាន់ទាំងសញ្ញាសត្វឬត្រារបស់ព្រះ</w:t>
      </w:r>
      <w:r>
        <w:rPr>
          <w:rFonts w:ascii="Times New Roman" w:hAnsi="Times New Roman" w:eastAsia="Times New Roman" w:cs="Times New Roman"/>
        </w:rPr>
        <w:t xml:space="preserve"> </w:t>
      </w:r>
      <w:r>
        <w:rPr>
          <w:rFonts w:ascii="Leelawadee UI" w:hAnsi="Leelawadee UI" w:eastAsia="Leelawadee UI" w:cs="Leelawadee UI"/>
        </w:rPr>
        <w:t>សម្រាប់អស់អ្នកដែលអះអាងថាខ្លួនជាអ្នកអាដវេនទីស៍ថ្ងៃទីប្រាំពីរ។</w:t>
      </w:r>
    </w:p>
    <w:p>
      <w:pPr>
        <w:pStyle w:val="ArticleBody"/>
        <w:jc w:val="left"/>
      </w:pPr>
      <w:r>
        <w:rPr>
          <w:rFonts w:ascii="Times New Roman" w:hAnsi="Times New Roman" w:eastAsia="Times New Roman" w:cs="Times New Roman"/>
        </w:rPr>
        <w:t>Vedení laodicejského adventismu bylo lapeno provazy vlastních klamů a je pro ně prakticky nemožné „rozpoznat“ opakování projevu moci Boží, jak bylo znázorněno dřívějšími reformními hnutími, včetně reformního hnutí, které přivedlo adventismus k existenci. Starověcí mužové rozptýlili a zakryli nauky, jež jsou představovány Millerovými klenoty, padělanými mincemi a klenoty. Schránka Bible krále Jakuba byla odsunuta do časů archaického jazyka a nahrazena Biblemi v moderním jazyce, které jsou vyjádřeny v terminologii člověka hříchu.</w:t>
      </w:r>
    </w:p>
    <w:p>
      <w:pPr>
        <w:pStyle w:val="ArticleBody"/>
        <w:jc w:val="left"/>
      </w:pPr>
      <w:r>
        <w:rPr>
          <w:rFonts w:ascii="Times New Roman" w:hAnsi="Times New Roman" w:eastAsia="Times New Roman" w:cs="Times New Roman"/>
        </w:rPr>
        <w:t>Keďby niektorí z dávnych mužov boli ochotní pripustiť možnosť, že posolstvo neskorého dažďa nie je posolstvom pokoja a bezpečnosti, bolo by pre nich takmer nemožné rozpoznať, že prejavy Božej moci v posvätných dejinách minulosti sú tým, čo osobitne označuje spečatenie stoštyridsaťštyritisíc. Ešte ťažšie by pre nich bolo rozpoznať, že posvätné dejiny, ktoré najbezprostrednejšie označujú spečatenie stoštyridsaťštyritisíc, sú tie posvätné dejiny, ktoré napĺňajú tretiu kapitolu Malachiáša, lebo tretia kapitola Malachiáša stanovuje, že vždy existuje posol, ktorý pripravuje cestu pre náhly príchod Posla zmluvy. Tento posol bol predstavený prorokom Eliášom, ktorý smelo vyhlásil, že v jeho dejinách nebude dažďa, iba ak príde prostredníctvom jeho služby.</w:t>
      </w:r>
    </w:p>
    <w:p>
      <w:pPr>
        <w:pStyle w:val="ArticleBody"/>
        <w:jc w:val="left"/>
      </w:pPr>
      <w:r>
        <w:rPr>
          <w:rFonts w:ascii="Times New Roman" w:hAnsi="Times New Roman" w:eastAsia="Times New Roman" w:cs="Times New Roman"/>
        </w:rPr>
        <w:t>Les soixante-dix anciens d’Ézéchiel trouveraient ridicule d’admettre que leur prétention d’être le temple du Seigneur était sans fondement et qu’elle représentait en réalité la prétention d’un peuple que l’on était en train de laisser de côté, tout comme la vigne fut donnée à ceux qui portent les fruits dignes de la vigne. Le message du troisième Malheur, le messager qui prépare le chemin, le cantique de la vigne, tous témoignent contre les traditions et les coutumes dans lesquelles ils avaient placé leur confiance, et constituent un obstacle presque insurmontable à la reconnaissance de la pluie de l’arrière-saison.</w:t>
      </w:r>
    </w:p>
    <w:p>
      <w:pPr>
        <w:pStyle w:val="ArticleBody"/>
        <w:jc w:val="left"/>
      </w:pPr>
      <w:r>
        <w:rPr>
          <w:rFonts w:ascii="Times New Roman" w:hAnsi="Times New Roman" w:eastAsia="Times New Roman" w:cs="Times New Roman"/>
        </w:rPr>
        <w:t>ʿkhatma sigillai du one hundred and forty-four thousand manifests the same tests for those who have claimed to “recognize” the role of Islam of the third Woe. “Increase of knowledge” ya launch akh movement of the Millerites damma na end of “seven times” in 1798. “Increase of knowledge” bi launch akh movement of the one hundred and forty-four thousand damma na end of a symbolic “seven times” (one hundred and twenty-six years) in 1989. During those one hundred and twenty-six years of escalating apostasy, Laodicean Adventism has reached its fourth and final generation.</w:t>
      </w:r>
    </w:p>
    <w:p>
      <w:pPr>
        <w:pStyle w:val="ArticleBody"/>
        <w:jc w:val="left"/>
      </w:pP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पुस्तासम्म</w:t>
      </w:r>
      <w:r>
        <w:rPr>
          <w:rFonts w:ascii="Times New Roman" w:hAnsi="Times New Roman" w:eastAsia="Times New Roman" w:cs="Times New Roman"/>
        </w:rPr>
        <w:t xml:space="preserve"> </w:t>
      </w:r>
      <w:r>
        <w:rPr>
          <w:rFonts w:ascii="Nirmala UI" w:hAnsi="Nirmala UI" w:eastAsia="Nirmala UI" w:cs="Nirmala UI"/>
        </w:rPr>
        <w:t>आइपुग्दा</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जनताले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परीक्षाकालको</w:t>
      </w:r>
      <w:r>
        <w:rPr>
          <w:rFonts w:ascii="Times New Roman" w:hAnsi="Times New Roman" w:eastAsia="Times New Roman" w:cs="Times New Roman"/>
        </w:rPr>
        <w:t xml:space="preserve"> </w:t>
      </w:r>
      <w:r>
        <w:rPr>
          <w:rFonts w:ascii="Nirmala UI" w:hAnsi="Nirmala UI" w:eastAsia="Nirmala UI" w:cs="Nirmala UI"/>
        </w:rPr>
        <w:t>प्याला</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आइपुगेको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दानिएलको</w:t>
      </w:r>
      <w:r>
        <w:rPr>
          <w:rFonts w:ascii="Times New Roman" w:hAnsi="Times New Roman" w:eastAsia="Times New Roman" w:cs="Times New Roman"/>
        </w:rPr>
        <w:t xml:space="preserve"> </w:t>
      </w:r>
      <w:r>
        <w:rPr>
          <w:rFonts w:ascii="Nirmala UI" w:hAnsi="Nirmala UI" w:eastAsia="Nirmala UI" w:cs="Nirmala UI"/>
        </w:rPr>
        <w:t>पुस्तकमा</w:t>
      </w:r>
      <w:r>
        <w:rPr>
          <w:rFonts w:ascii="Times New Roman" w:hAnsi="Times New Roman" w:eastAsia="Times New Roman" w:cs="Times New Roman"/>
        </w:rPr>
        <w:t xml:space="preserve"> </w:t>
      </w:r>
      <w:r>
        <w:rPr>
          <w:rFonts w:ascii="Nirmala UI" w:hAnsi="Nirmala UI" w:eastAsia="Nirmala UI" w:cs="Nirmala UI"/>
        </w:rPr>
        <w:t>हिद्देकेल</w:t>
      </w:r>
      <w:r>
        <w:rPr>
          <w:rFonts w:ascii="Times New Roman" w:hAnsi="Times New Roman" w:eastAsia="Times New Roman" w:cs="Times New Roman"/>
        </w:rPr>
        <w:t xml:space="preserve"> </w:t>
      </w:r>
      <w:r>
        <w:rPr>
          <w:rFonts w:ascii="Nirmala UI" w:hAnsi="Nirmala UI" w:eastAsia="Nirmala UI" w:cs="Nirmala UI"/>
        </w:rPr>
        <w:t>नदीद्वारा</w:t>
      </w:r>
      <w:r>
        <w:rPr>
          <w:rFonts w:ascii="Times New Roman" w:hAnsi="Times New Roman" w:eastAsia="Times New Roman" w:cs="Times New Roman"/>
        </w:rPr>
        <w:t xml:space="preserve"> </w:t>
      </w:r>
      <w:r>
        <w:rPr>
          <w:rFonts w:ascii="Nirmala UI" w:hAnsi="Nirmala UI" w:eastAsia="Nirmala UI" w:cs="Nirmala UI"/>
        </w:rPr>
        <w:t>प्रतिनिर्दिष्ट</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ज्ञानको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अनुग्रहको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हुनुअघि</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अवमुक्त</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बढाइन्छ।</w:t>
      </w:r>
    </w:p>
    <w:p>
      <w:pPr>
        <w:pStyle w:val="ArticleBody"/>
        <w:jc w:val="left"/>
      </w:pPr>
      <w:r>
        <w:rPr>
          <w:rFonts w:ascii="Times New Roman" w:hAnsi="Times New Roman" w:eastAsia="Times New Roman" w:cs="Times New Roman"/>
        </w:rPr>
        <w:t>Nous aborderons les trois derniers chapitres du livre de Daniel dans le prochain article.</w:t>
      </w:r>
    </w:p>
    <w:p>
      <w:pPr>
        <w:pStyle w:val="ArticleScripture"/>
        <w:jc w:val="left"/>
      </w:pPr>
      <w:r>
        <w:rPr>
          <w:rFonts w:ascii="Times New Roman" w:hAnsi="Times New Roman" w:eastAsia="Times New Roman" w:cs="Times New Roman"/>
        </w:rPr>
        <w:t>“Les jours approchent rapidement où il y aura une grande perplexité et une grande confusion. Satan, revêtu de vêtements angéliques, séduira, s’il était possible, les élus eux-mêmes. Il y aura plusieurs dieux et plusieurs seigneurs. Tout vent de doctrine soufflera. Ceux qui ont rendu un hommage suprême à la « science faussement ainsi nommée » ne seront pas alors les conducteurs. Ceux qui se sont fiés à l’intelligence, au génie ou au talent ne se tiendront pas alors à la tête des rangs. Ils n’ont pas marché au rythme de la lumière. Ceux qui se sont montrés infidèles ne se verront pas alors confier le troupeau. Dans la dernière œuvre solennelle, peu de grands hommes seront engagés. Ils se suffisent à eux-mêmes, sont indépendants de Dieu, et Il ne peut se servir d’eux. Le Seigneur a des serviteurs fidèles qui, au temps du criblage et de l’épreuve, seront manifestés à la vue de tous. Il y a maintenant des êtres précieux cachés qui n’ont pas fléchi le genou devant Baal. Ils n’ont pas eu la lumière qui a brillé sur vous comme un éclat concentré. Mais il se peut que, sous une apparence rude et peu attirante, la pure splendeur d’un caractère chrétien authentique soit révélée. Pendant le jour, nous regardons vers le ciel, mais nous ne voyons pas les étoiles. Elles sont là, fixées dans le firmament, mais l’œil ne peut les distinguer. Dans la nuit, nous contemplons leur éclat véritable.” Testimonies, volume 5, 80, 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Quatre-vingt-quatre</dc:title>
  <dc:subject>Kufunua Vizazi Vinne vya Uadventista wa Laodikia: Safari Kupitia Ulinganifu wa Kibiblia na Kupimwa kwa Kinabii</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