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Nomoro Vochi-Nim Pankostë Pesë</w:t>
      </w:r>
    </w:p>
    <w:p>
      <w:pPr>
        <w:pStyle w:val="ArticleSubtitle"/>
        <w:jc w:val="left"/>
      </w:pPr>
      <w:r>
        <w:rPr>
          <w:rFonts w:ascii="Arial" w:hAnsi="Arial" w:eastAsia="Arial" w:cs="Arial"/>
        </w:rPr>
        <w:t>Açıklamak Kehânetî Yolculuğu: Tarihsel Kilometre Taşlarının İlâhî Bağlantısı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Зуун хорин зургаан жилийн дараа, 1863 оны тэрсэлтийн дараагаар, 1989 онд Даниел арван нэгдүгээр бүлгийн сүүлчийн зургаан ишлэл тамга тайлагдав. Тэр жил анх тайлагдсан мэдлэг нь ариун түүхийн шинэчлэлийн шугамуудыг танин мэдсэн явдал бөгөөд тэдгээр нь бүгд бие биеэ зэрэгцэн давхцдаг гэсэн илчлэл байв. Дараа нь 1992 онд сүүлчийн зургаан ишлэлийн гэрэл дэлгэрэгдэж эхлэв. Эдгээр үнэнүүдийн анхны олон нийтийн танилцуулгууд 1994 онд хийгдсэн бөгөөд сэдэв нь шинэчлэлийн шугамууд байв. 1996 онд The Time of the End нэртэй сэтгүүл хэвлэгдсэн бөгөөд энэ нь Даниел арван нэгдүгээр бүлгийн сүүлчийн зургаан ишлэлийг тодорхойлсон юм.</w:t>
      </w:r>
    </w:p>
    <w:p>
      <w:pPr>
        <w:pStyle w:val="ArticleBody"/>
        <w:jc w:val="left"/>
      </w:pPr>
      <w:r>
        <w:rPr>
          <w:rFonts w:ascii="Times New Roman" w:hAnsi="Times New Roman" w:eastAsia="Times New Roman" w:cs="Times New Roman"/>
        </w:rPr>
        <w:t>1996 fu l’anno in cui il messaggio fu formalizzato, il che costituisce un waymark che corre in parallelo con la formalizzazione del messaggio di William Miller nel 1831. Il messaggio di Miller era l’annuncio dell’apertura del giudizio, e gli ultimi sei versetti di Daniele undici erano l’annuncio della chiusura del giudizio. Il tema del messaggio di Miller era il tempo profetico quale è rivelato nella Bibbia. Il tema degli ultimi sei versetti di Daniele undici era la Roma moderna (il re del nord contraffatto). La metodologia rivelata a Miller furono le sue 14 Regole di Interpretazione Profetica. La metodologia rivelata nel 1989 fu il “line upon line” dei movimenti di riforma.</w:t>
      </w:r>
    </w:p>
    <w:p>
      <w:pPr>
        <w:pStyle w:val="ArticleBody"/>
        <w:jc w:val="left"/>
      </w:pPr>
      <w:r>
        <w:rPr>
          <w:rFonts w:ascii="Times New Roman" w:hAnsi="Times New Roman" w:eastAsia="Times New Roman" w:cs="Times New Roman"/>
        </w:rPr>
        <w:t>L’ouvrage de Miller comprenait l’établissement de la Parole de Dieu comme faisant autorité, en contraste avec les traditions et les coutumes papales qui avaient été en vigueur dans le monde pendant mille deux cent soixante ans. Pour cette raison, le message de Miller fut d’abord publié en 1831 (formalisant ainsi le message de Miller), exactement deux cent vingt ans après la production de la Bible du roi Jacques. L’œuvre de Future for America fut l’identification du rôle des États-Unis dans la guérison de la blessure mortelle de la papauté lors de la loi dominicale imminente. Pour cette raison, le magazine The Time of the End fut publié en 1996 (formalisant ainsi le message), exactement deux cent vingt ans après le commencement des États-Unis en 1776.</w:t>
      </w:r>
    </w:p>
    <w:p>
      <w:pPr>
        <w:pStyle w:val="ArticleBody"/>
        <w:jc w:val="left"/>
      </w:pPr>
      <w:r>
        <w:rPr>
          <w:rFonts w:ascii="Times New Roman" w:hAnsi="Times New Roman" w:eastAsia="Times New Roman" w:cs="Times New Roman"/>
        </w:rPr>
        <w:t>A zjednoczenie dwustu dwudziestu lat, które łączyły temat każdego ruchu reformacyjnego z historycznym punktem odniesienia, nie zostało rozpoznane aż do czasu długo po 11 września 2001 roku, albowiem dopiero gdy w tej dacie nadeszło trzecie biada, Pan poprowadził swój lud z powrotem na dawne ścieżki z Księgi Jeremiasza, rozdział szósty, wersety szesnasty i siedemnasty. Tam na nowo odkryto światło „siedmiu czasów”, a gdy to światło się rozwijało, stało się oczywiste, że dwieście dwadzieścia jest liczbą, która łączy Daniela 8, wersety trzynasty i czternasty. W wersecie trzynastym zostaje wskazane widzenie „chazon” proroczej historii, a w wersecie czternastym zostaje wskazane widzenie „mareh” „ukazania się”. Połączenie między tymi dwoma wersetami jest tym, czego Gabriel przyszedł nauczyć Daniela, a Daniel przedstawia lud Boży w dniach ostatecznych, który dochodzi do zrozumienia związku między tymi dwoma widzeniami.</w:t>
      </w:r>
    </w:p>
    <w:p>
      <w:pPr>
        <w:pStyle w:val="ArticleBody"/>
        <w:jc w:val="left"/>
      </w:pPr>
      <w:r>
        <w:rPr>
          <w:rFonts w:ascii="Times New Roman" w:hAnsi="Times New Roman" w:eastAsia="Times New Roman" w:cs="Times New Roman"/>
        </w:rPr>
        <w:t>Mboni ya vesi ya kumi na tatu yimemelanga “bipindi sambwadi” (myaka mafunda nkama zole na makumi zole), mpe mboni ya vesi ya kumi na yiya yimemelanga bilumbu mafunda zole na nkama tatu (myaka). “Bipindi sambwadi” yina yabetamaka na kimfumu ya sudi ya Yuda, yina yimemelaka Yuda, Yeruzalemi mpe esika ya santu, yantikaka na 677 BC, mpe myaka mafunda zole na nkama tatu yina yikebisaka kuvutudulu ya Yeruzalemi mpe esika ya santu yantikaka na 457 BC.</w:t>
      </w:r>
    </w:p>
    <w:p>
      <w:pPr>
        <w:pStyle w:val="ArticleBody"/>
        <w:jc w:val="left"/>
      </w:pPr>
      <w:r>
        <w:rPr>
          <w:rFonts w:ascii="Times New Roman" w:hAnsi="Times New Roman" w:eastAsia="Times New Roman" w:cs="Times New Roman"/>
        </w:rPr>
        <w:t>Twee honderd en twintig jaar verbind hierdie twee gesigte met mekaar, en die getal twee honderd en twintig is erken as ’n simbool van die verband tussen die vertrapping van die leër en die heiligdom deur die verwoestende magte van heidendom en pousdom, wat voorgestel word as ’n verstrooiing en die grimmigheid van God. Die twee honderd en twintig jaar het die gesig van die sataniese werk van die vertrapping van die heiligdom verbind met die gesig van die goddelike werk om dieselfde tempel te herstel. Die twee honderd en twintig jaar is daarom ’n simbool wat ’n heilige verband voorstel.</w:t>
      </w:r>
    </w:p>
    <w:p>
      <w:pPr>
        <w:pStyle w:val="ArticleBody"/>
        <w:jc w:val="left"/>
      </w:pP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১৮৬৩</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মিলারীয়</w:t>
      </w:r>
      <w:r>
        <w:rPr>
          <w:rFonts w:ascii="Times New Roman" w:hAnsi="Times New Roman" w:eastAsia="Times New Roman" w:cs="Times New Roman"/>
        </w:rPr>
        <w:t xml:space="preserve"> </w:t>
      </w:r>
      <w:r>
        <w:rPr>
          <w:rFonts w:ascii="Nirmala UI" w:hAnsi="Nirmala UI" w:eastAsia="Nirmala UI" w:cs="Nirmala UI"/>
        </w:rPr>
        <w:t>আন্দোলনের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ঘটেছিল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একশত</w:t>
      </w:r>
      <w:r>
        <w:rPr>
          <w:rFonts w:ascii="Times New Roman" w:hAnsi="Times New Roman" w:eastAsia="Times New Roman" w:cs="Times New Roman"/>
        </w:rPr>
        <w:t xml:space="preserve"> </w:t>
      </w:r>
      <w:r>
        <w:rPr>
          <w:rFonts w:ascii="Nirmala UI" w:hAnsi="Nirmala UI" w:eastAsia="Nirmala UI" w:cs="Nirmala UI"/>
        </w:rPr>
        <w:t>ছাব্বিশ</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বিষয়টি</w:t>
      </w:r>
      <w:r>
        <w:rPr>
          <w:rFonts w:ascii="Times New Roman" w:hAnsi="Times New Roman" w:eastAsia="Times New Roman" w:cs="Times New Roman"/>
        </w:rPr>
        <w:t xml:space="preserve"> </w:t>
      </w:r>
      <w:r>
        <w:rPr>
          <w:rFonts w:ascii="Nirmala UI" w:hAnsi="Nirmala UI" w:eastAsia="Nirmala UI" w:cs="Nirmala UI"/>
        </w:rPr>
        <w:t>জোর</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একশত</w:t>
      </w:r>
      <w:r>
        <w:rPr>
          <w:rFonts w:ascii="Times New Roman" w:hAnsi="Times New Roman" w:eastAsia="Times New Roman" w:cs="Times New Roman"/>
        </w:rPr>
        <w:t xml:space="preserve"> </w:t>
      </w:r>
      <w:r>
        <w:rPr>
          <w:rFonts w:ascii="Nirmala UI" w:hAnsi="Nirmala UI" w:eastAsia="Nirmala UI" w:cs="Nirmala UI"/>
        </w:rPr>
        <w:t>ছাব্বিশ</w:t>
      </w:r>
      <w:r>
        <w:rPr>
          <w:rFonts w:ascii="Times New Roman" w:hAnsi="Times New Roman" w:eastAsia="Times New Roman" w:cs="Times New Roman"/>
        </w:rPr>
        <w:t xml:space="preserve">) </w:t>
      </w:r>
      <w:r>
        <w:rPr>
          <w:rFonts w:ascii="Nirmala UI" w:hAnsi="Nirmala UI" w:eastAsia="Nirmala UI" w:cs="Nirmala UI"/>
        </w:rPr>
        <w:t>প্রতীকবাদের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পরস্পরের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দুইশত</w:t>
      </w:r>
      <w:r>
        <w:rPr>
          <w:rFonts w:ascii="Times New Roman" w:hAnsi="Times New Roman" w:eastAsia="Times New Roman" w:cs="Times New Roman"/>
        </w:rPr>
        <w:t xml:space="preserve"> </w:t>
      </w:r>
      <w:r>
        <w:rPr>
          <w:rFonts w:ascii="Nirmala UI" w:hAnsi="Nirmala UI" w:eastAsia="Nirmala UI" w:cs="Nirmala UI"/>
        </w:rPr>
        <w:t>বিশ</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১৮৩১</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বাইবেলের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সম্পর্কে</w:t>
      </w:r>
      <w:r>
        <w:rPr>
          <w:rFonts w:ascii="Times New Roman" w:hAnsi="Times New Roman" w:eastAsia="Times New Roman" w:cs="Times New Roman"/>
        </w:rPr>
        <w:t xml:space="preserve"> </w:t>
      </w: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প্রতিষ্ঠাকর্মকে</w:t>
      </w:r>
      <w:r>
        <w:rPr>
          <w:rFonts w:ascii="Times New Roman" w:hAnsi="Times New Roman" w:eastAsia="Times New Roman" w:cs="Times New Roman"/>
        </w:rPr>
        <w:t xml:space="preserve"> </w:t>
      </w:r>
      <w:r>
        <w:rPr>
          <w:rFonts w:ascii="Nirmala UI" w:hAnsi="Nirmala UI" w:eastAsia="Nirmala UI" w:cs="Nirmala UI"/>
        </w:rPr>
        <w:t>১৬১১</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জেমস</w:t>
      </w:r>
      <w:r>
        <w:rPr>
          <w:rFonts w:ascii="Times New Roman" w:hAnsi="Times New Roman" w:eastAsia="Times New Roman" w:cs="Times New Roman"/>
        </w:rPr>
        <w:t xml:space="preserve"> </w:t>
      </w:r>
      <w:r>
        <w:rPr>
          <w:rFonts w:ascii="Nirmala UI" w:hAnsi="Nirmala UI" w:eastAsia="Nirmala UI" w:cs="Nirmala UI"/>
        </w:rPr>
        <w:t>বাইবেলের</w:t>
      </w:r>
      <w:r>
        <w:rPr>
          <w:rFonts w:ascii="Times New Roman" w:hAnsi="Times New Roman" w:eastAsia="Times New Roman" w:cs="Times New Roman"/>
        </w:rPr>
        <w:t xml:space="preserve"> </w:t>
      </w:r>
      <w:r>
        <w:rPr>
          <w:rFonts w:ascii="Nirmala UI" w:hAnsi="Nirmala UI" w:eastAsia="Nirmala UI" w:cs="Nirmala UI"/>
        </w:rPr>
        <w:t>প্রকাশনার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অনুরূপভাবে</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Future for America-</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আমেরিকার</w:t>
      </w:r>
      <w:r>
        <w:rPr>
          <w:rFonts w:ascii="Times New Roman" w:hAnsi="Times New Roman" w:eastAsia="Times New Roman" w:cs="Times New Roman"/>
        </w:rPr>
        <w:t xml:space="preserve"> </w:t>
      </w:r>
      <w:r>
        <w:rPr>
          <w:rFonts w:ascii="Nirmala UI" w:hAnsi="Nirmala UI" w:eastAsia="Nirmala UI" w:cs="Nirmala UI"/>
        </w:rPr>
        <w:t>সূচনার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আমেরিকার</w:t>
      </w:r>
      <w:r>
        <w:rPr>
          <w:rFonts w:ascii="Times New Roman" w:hAnsi="Times New Roman" w:eastAsia="Times New Roman" w:cs="Times New Roman"/>
        </w:rPr>
        <w:t xml:space="preserve"> </w:t>
      </w:r>
      <w:r>
        <w:rPr>
          <w:rFonts w:ascii="Nirmala UI" w:hAnsi="Nirmala UI" w:eastAsia="Nirmala UI" w:cs="Nirmala UI"/>
        </w:rPr>
        <w:t>পরিসমাপ্তিকেও</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করেছিল।</w:t>
      </w:r>
    </w:p>
    <w:p>
      <w:pPr>
        <w:pStyle w:val="ArticleBody"/>
        <w:jc w:val="left"/>
      </w:pPr>
      <w:r>
        <w:rPr>
          <w:rFonts w:ascii="Times New Roman" w:hAnsi="Times New Roman" w:eastAsia="Times New Roman" w:cs="Times New Roman"/>
        </w:rPr>
        <w:t>Cu ngày 22 tháng 10 năm 1844, Sứ Giả của Giao Ước bỗng nhiên ngự đến đền thờ mà Ngài đã dựng lên trong bốn mươi sáu năm, từ năm 1798, là lúc chấm dứt cơn thạnh nộ thứ nhất, cho đến năm 1844, là lúc chấm dứt cơn thạnh nộ cuối cùng. Sự ngự vào đền thờ của Ngài đã được đi trước bởi sự tuôn đổ của Đức Thánh Linh trong phong trào Tiếng Kêu Nửa Đêm, là điều đã được báo trước qua sự vào thành Giê-ru-sa-lem cách khải hoàn của Đấng Christ. Hai chứng nhân ấy xác lập rằng, khi phong trào Tiếng Kêu Nửa Đêm được lặp lại trong những ngày sau rốt, Đấng Christ sẽ đã dựng lên đền thờ của một trăm bốn mươi bốn nghìn người. Hai phong trào trong đó Tiếng Kêu Nửa Đêm của ẩn dụ mười trinh nữ được ứng nghiệm là song song với nhau.</w:t>
      </w:r>
    </w:p>
    <w:p>
      <w:pPr>
        <w:pStyle w:val="ArticleScripture"/>
        <w:jc w:val="left"/>
      </w:pPr>
      <w:r>
        <w:rPr>
          <w:rFonts w:ascii="Times New Roman" w:hAnsi="Times New Roman" w:eastAsia="Times New Roman" w:cs="Times New Roman"/>
        </w:rPr>
        <w:t>« Je suis souvent renvoyée à la parabole des dix vierges, dont cinq étaient sages et cinq insensées. Cette parabole s’est accomplie et s’accomplira jusque dans ses moindres détails, car elle s’applique d’une manière particulière à ce temps-ci et, à l’instar du message du troisième ange, elle s’est accomplie et continuera d’être la vérité présente jusqu’à la fin des temps. » Review and Herald, 19 août 1890.</w:t>
      </w:r>
    </w:p>
    <w:p>
      <w:pPr>
        <w:pStyle w:val="ArticleBody"/>
        <w:jc w:val="left"/>
      </w:pPr>
      <w:r>
        <w:rPr>
          <w:rFonts w:ascii="Times New Roman" w:hAnsi="Times New Roman" w:eastAsia="Times New Roman" w:cs="Times New Roman"/>
        </w:rPr>
        <w:t>L’histoire des millérites (le mouvement du premier ange) représente une manifestation croissante de la puissance de Dieu, qui commença lorsque le livre de Daniel fut descellé en 1798. Cette puissance s’accrut lorsque l’ange d’Apocalypse 10 descendit le 11 août 1840. Puis survint la première déception du 19 avril 1844, qui conduisit finalement à l’effusion du Saint-Esprit lors de la réunion de camp d’Exeter, à partir du 12 août 1844, et continua de se répandre comme un raz-de-marée sur le pays jusqu’au 22 octobre 1844.</w:t>
      </w:r>
    </w:p>
    <w:p>
      <w:pPr>
        <w:pStyle w:val="ArticleBody"/>
        <w:jc w:val="left"/>
      </w:pPr>
      <w:r>
        <w:rPr>
          <w:rFonts w:ascii="Times New Roman" w:hAnsi="Times New Roman" w:eastAsia="Times New Roman" w:cs="Times New Roman"/>
        </w:rPr>
        <w:t>L’histoire de Future for America (le mouvement du troisième ange) représente une manifestation croissante de la puissance de Dieu, qui a commencé lorsque le livre de Daniel fut descellé en 1989. Cette puissance s’accrut lorsque l’ange d’Apocalypse dix-huit descendit le 11 septembre 2001. Puis survint la première déception du 18 juillet 2020, laquelle conduira finalement à l’effusion du Saint-Esprit, qui continuera de se répandre comme un feu dévorant sur la terre jusqu’à ce que Michel se lève et que le temps de grâce de l’humanité prenne fin.</w:t>
      </w:r>
    </w:p>
    <w:p>
      <w:pPr>
        <w:pStyle w:val="ArticleBody"/>
        <w:jc w:val="left"/>
      </w:pPr>
      <w:r>
        <w:rPr>
          <w:rFonts w:ascii="Times New Roman" w:hAnsi="Times New Roman" w:eastAsia="Times New Roman" w:cs="Times New Roman"/>
        </w:rPr>
        <w:t>در ۲۲ اکتبر ۱۸۴۴، چندین نبوت به انجام رسید، و بدین‌سان آشکار شد که در قانون یکشنبه‌ایِ قریب‌الوقوع نیز چندین نبوت بار دیگر تحقق خواهد یافت. یکی از آن نبوت‌ها، درنگِ رؤیا است، آن‌گونه که در باب دومِ حبقوق به تصویر کشیده شده است. باب دومِ حبقوق تجربهٔ هر دو حرکتِ فرشتهٔ اول و فرشتهٔ سوم را مشخص ساخت. هر دو حرکت با مناظره‌ای دربارهٔ روش‌شناسیِ درستِ کتاب‌مقدسی روبه‌رو می‌شوند؛ مناظره‌ای که میان نمایندگانِ آن حرکت و قومِ برگزیدهٔ پیشین، که در جریانِ این مناظره از آنان عبور می‌شود، به انجام می‌رسد.</w:t>
      </w:r>
    </w:p>
    <w:p>
      <w:pPr>
        <w:pStyle w:val="ArticleBody"/>
        <w:jc w:val="left"/>
      </w:pPr>
      <w:r>
        <w:rPr>
          <w:rFonts w:ascii="Times New Roman" w:hAnsi="Times New Roman" w:eastAsia="Times New Roman" w:cs="Times New Roman"/>
        </w:rPr>
        <w:t>Saƙon da masu tsaro na tarihin mala’ika na fari ya kamata su kāre shi ne tantance gaskiyoyi (lu’ulu’un Miller), waɗanda a ƙarshe aka wakilta a kan jadawalai biyu masu tsarki na 1843 da 1850. A cikin tafiyar muhawarar za a sami babban baƙin ciki wanda ya nuna rabuwa daga aji biyu masu gaba da juna, da kuma kira ga zurfafa keɓe kai ga masu aminci.</w:t>
      </w:r>
    </w:p>
    <w:p>
      <w:pPr>
        <w:pStyle w:val="ArticleBody"/>
        <w:jc w:val="left"/>
      </w:pPr>
      <w:r>
        <w:rPr>
          <w:rFonts w:ascii="Times New Roman" w:hAnsi="Times New Roman" w:eastAsia="Times New Roman" w:cs="Times New Roman"/>
        </w:rPr>
        <w:t>Ensuite, Habakuk met en évidence la distinction entre les deux classes impliquées dans le processus d’épreuve des vérités fondamentales. Ce processus d’épreuve, qui comprenait le débat entre les deux classes et qui prit fin dans le silence le 22 octobre 1844, s’acheva précisément là où s’acheva le chapitre deux d’Habakuk.</w:t>
      </w:r>
    </w:p>
    <w:p>
      <w:pPr>
        <w:pStyle w:val="ArticleScripture"/>
        <w:jc w:val="left"/>
      </w:pPr>
      <w:r>
        <w:rPr>
          <w:rFonts w:ascii="Times New Roman" w:hAnsi="Times New Roman" w:eastAsia="Times New Roman" w:cs="Times New Roman"/>
        </w:rPr>
        <w:t>Mais l’Éternel est dans son saint temple : que toute la terre fasse silence devant lui. Habacuc 2:20.</w:t>
      </w:r>
    </w:p>
    <w:p>
      <w:pPr>
        <w:pStyle w:val="ArticleBody"/>
        <w:jc w:val="left"/>
      </w:pPr>
      <w:r>
        <w:rPr>
          <w:rFonts w:ascii="Times New Roman" w:hAnsi="Times New Roman" w:eastAsia="Times New Roman" w:cs="Times New Roman"/>
        </w:rPr>
        <w:t>Bwana aliingia ghafula katika hekalu Lake la Wamillerite, na ndipo dunia yote ilipaswa kunyamaza; maana Siku ya Upatanisho ya mfano halisi ilikuwa imefika, na hukumu ya wafu ilikuwa imeanza. Historia ya unabii ya Habakuki sura ya pili ilikoma tarehe 22 Oktoba, 1844, na Yesu daima hutambulisha mwisho wa jambo pamoja na mwanzo wa jambo. Mwanzo wa maono mawili ya miaka elfu mbili mia tano na ishirini ya kukanyagwa kwa patakatifu na jeshi, na maono ya kurejeshwa kwa patakatifu na jeshi, ulianza pamoja, lakini ukatenganishwa kwa miaka mia mbili na ishirini; na yalipokoma, yalitambulishwa kuwa yamekoma, katika Habakuki sura ya PILI aya ya ISHIRINI.</w:t>
      </w:r>
    </w:p>
    <w:p>
      <w:pPr>
        <w:pStyle w:val="ArticleBody"/>
        <w:jc w:val="left"/>
      </w:pPr>
      <w:r>
        <w:rPr>
          <w:rFonts w:ascii="Times New Roman" w:hAnsi="Times New Roman" w:eastAsia="Times New Roman" w:cs="Times New Roman"/>
        </w:rPr>
        <w:t>Ar an dlí Domhnaigh atá le teacht go luath, comhlíonfar roinnt tairngreachtaí. Ceann de na tairngreachtaí sin is ea moill na físe, mar a léirítear in Habacúc caibidil a dó. Aithníonn Habacúc caibidil a dó taithí ghluaiseacht an chéad aingil agus an tríú haingil araon. Cuirtear an dá ghluaiseacht araon os comhair díospóireachta i dtaobh na modheolaíochta bíoblaí cearta, díospóireacht a chuirtear i gcrích idir ionadaithe na gluaiseachta sin agus na daoine a bhí roghnaithe roimhe seo, daoine atá á sárú sa phróiseas díospóireachta.</w:t>
      </w:r>
    </w:p>
    <w:p>
      <w:pPr>
        <w:pStyle w:val="ArticleBody"/>
        <w:jc w:val="left"/>
      </w:pPr>
      <w:r>
        <w:rPr>
          <w:rFonts w:ascii="Times New Roman" w:hAnsi="Times New Roman" w:eastAsia="Times New Roman" w:cs="Times New Roman"/>
        </w:rPr>
        <w:t>Съобщението, което трябва да бъде защитавано от стражите в историята на третия ангел, е разпознаването на истините (скъпоценностите на Милър), които в крайна сметка бяха представени върху двете свещени карти от 1843 и 1850 година. В хода на спора настъпи разочарование, което отбеляза разделяне между двата враждуващи класа, и призив към по-дълбоко посвещение за верните. След това Авакум посочва разграничението между двата класа, въвлечени в изпитателния процес на основополагащите истини. Този изпитателен процес, който беше представен чрез спора между двата класа, ще завърши напълно при скоро идващия неделен закон, именно там, където завършва втора глава на Авакум.</w:t>
      </w:r>
    </w:p>
    <w:p>
      <w:pPr>
        <w:pStyle w:val="ArticleScripture"/>
        <w:jc w:val="left"/>
      </w:pPr>
      <w:r>
        <w:rPr>
          <w:rFonts w:ascii="Times New Roman" w:hAnsi="Times New Roman" w:eastAsia="Times New Roman" w:cs="Times New Roman"/>
        </w:rPr>
        <w:t>Mas na sua santa morada está o Senhor; cale-se diante dele toda a terra. Habacuque 2:20.</w:t>
      </w:r>
    </w:p>
    <w:p>
      <w:pPr>
        <w:pStyle w:val="ArticleBody"/>
        <w:jc w:val="left"/>
      </w:pPr>
      <w:r>
        <w:rPr>
          <w:rFonts w:ascii="Times New Roman" w:hAnsi="Times New Roman" w:eastAsia="Times New Roman" w:cs="Times New Roman"/>
        </w:rPr>
        <w:t>Bwana ataingia ghafula katika hekalu la wale mia moja na arobaini na nne elfu, na ndipo dunia yote itanyamaza kimya, kwa maana Siku ya Upatanisho ya kielelezo halisi itafikia hukumu ya walio hai. Historia ya kinabii ya Habakuki sura ya pili inaishia kwenye sheria ya Jumapili iliyo karibu kuja, na Yesu daima hutambulisha mwisho wa jambo kwa mwanzo wa jambo.</w:t>
      </w:r>
    </w:p>
    <w:p>
      <w:pPr>
        <w:pStyle w:val="ArticleBody"/>
        <w:jc w:val="left"/>
      </w:pPr>
      <w:r>
        <w:rPr>
          <w:rFonts w:ascii="Times New Roman" w:hAnsi="Times New Roman" w:eastAsia="Times New Roman" w:cs="Times New Roman"/>
        </w:rPr>
        <w:t>Le jugement des vivants a commencé le 11 septembre 2001, mais le jugement est un processus. Ce processus commence par la maison de Dieu, puis il parvient à un point où le jugement atteint ceux qui sont en dehors de la maison de Dieu. Lorsque les grands édifices de la ville de New York ont été abattus, le jugement représenté par l’ange qui scelle, passant par Jérusalem et mettant une marque sur ceux qui soupirent et gémissent à cause des abominations qui se commettent dans l’Église, ainsi que des abominations commises dans le pays, a commencé. Lors de la loi dominicale qui doit bientôt venir, Christ aura achevé l’œuvre d’édification du temple des cent quarante-quatre mille, et les anges destructeurs feront tomber le jugement sur Jérusalem.</w:t>
      </w:r>
    </w:p>
    <w:p>
      <w:pPr>
        <w:pStyle w:val="ArticleBody"/>
        <w:jc w:val="left"/>
      </w:pPr>
      <w:r>
        <w:rPr>
          <w:rFonts w:ascii="Times New Roman" w:hAnsi="Times New Roman" w:eastAsia="Times New Roman" w:cs="Times New Roman"/>
        </w:rPr>
        <w:t>Watu laki moja na arobaini na nne elfu ndipo huinuliwa kuwa bendera, na hukumu ya walio hai huanza kwa ajili ya kundi lile jingine, linalowakilishwa na Edomu, Moabu, na wakuu wa wana wa Amoni katika Danieli sura ya kumi na moja, aya ya arobaini na moja.</w:t>
      </w:r>
    </w:p>
    <w:p>
      <w:pPr>
        <w:pStyle w:val="ArticleBody"/>
        <w:jc w:val="left"/>
      </w:pPr>
      <w:r>
        <w:rPr>
          <w:rFonts w:ascii="Times New Roman" w:hAnsi="Times New Roman" w:eastAsia="Times New Roman" w:cs="Times New Roman"/>
        </w:rPr>
        <w:t>Que l’on considère le mouvement millérite du premier ange ou le puissant mouvement du troisième ange, l’histoire complète du mouvement réformateur représente une révélation croissante de la vérité, qui atteint son point culminant avec l’effusion du Saint-Esprit. L’effusion du Saint-Esprit est l’objet central des prophéties des derniers jours. C’est pourquoi les vierges folles n’ont pas d’huile, tandis que les sages en ont. L’huile, c’est la pluie.</w:t>
      </w:r>
    </w:p>
    <w:p>
      <w:pPr>
        <w:pStyle w:val="ArticleScripture"/>
        <w:jc w:val="left"/>
      </w:pPr>
      <w:r>
        <w:rPr>
          <w:rFonts w:ascii="Times New Roman" w:hAnsi="Times New Roman" w:eastAsia="Times New Roman" w:cs="Times New Roman"/>
        </w:rPr>
        <w:t>Akɔtɔ no, Sɛ ɔbarima gyaa ne yere, na ɔfiri ne nkyɛn kɔyɛ ɔbarima foforɔ dea a, so ɔbɛsane akɔ ne nkyɛn bio? So saa asase no renngu fi kɛseɛ? Nanso wo ne adɔfoɔ bebree abɔ aguaman; nanso sane bra me nkyɛn bio, AWURADE na ɔseɛ. Ma w’ani so kyerɛ mmeaeɛ a ɛkorɔn, na hwɛ baabi a wonnya nnaa hɔ. Wotenaa akwan no ho twɛn wɔn, sɛ Arabiani a ɔwɔ ɛserɛ so; na wode w’aguamammɔ ne w’amumuyɛ agu asase no ho fi. Enti wɔasi nsuo a ɛtɔ no kwan, na atwa toɔ nsuo no ammɛba; na wowɔ ɔbaa dwamanfoɔ anim, woampɛ sɛ wobɛyɛ aniwuo. So ɛnyɛ ɛfiri saa berɛ yi deɛ wobɛteɛm afrɛ me sɛ, M’agya, wo ne me mmabunberɛ so kandifoɔ? Yeremia 3:1–4.</w:t>
      </w:r>
    </w:p>
    <w:p>
      <w:pPr>
        <w:pStyle w:val="ArticleBody"/>
        <w:jc w:val="left"/>
      </w:pPr>
      <w:r>
        <w:rPr>
          <w:rFonts w:ascii="Times New Roman" w:hAnsi="Times New Roman" w:eastAsia="Times New Roman" w:cs="Times New Roman"/>
        </w:rPr>
        <w:t>Dans ce passage (et tous les prophètes parlent des derniers jours), Dieu constate que son peuple s’est prostitué, au point d’avoir un front de prostituée. La prostituée des derniers jours est la puissance papale, et le front représente une décision délibérée. Le peuple de Dieu des derniers jours est méchant, mais Dieu lui adresse un ultime appel, bien qu’il soit parvenu à un point où il en est venu à la même décision que la prostituée. Il a développé un caractère représenté par la quatrième génération, où il est prêt à adorer le soleil, comme cela est représenté dans la quatrième génération d’Ézéchiel, chapitre huit.</w:t>
      </w:r>
    </w:p>
    <w:p>
      <w:pPr>
        <w:pStyle w:val="ArticleScripture"/>
        <w:jc w:val="left"/>
      </w:pPr>
      <w:r>
        <w:rPr>
          <w:rFonts w:ascii="Times New Roman" w:hAnsi="Times New Roman" w:eastAsia="Times New Roman" w:cs="Times New Roman"/>
        </w:rPr>
        <w:t>«Ժամանակը եկել է, որ ճշմարիտ լույսը շողա բարոյական խավարի մեջ։ Երրորդ հրեշտակի պատգամը աշխարհ է ուղարկվել՝ մարդկանց զգուշացնելու, որ չընդունեն գազանի կամ նրա պատկերի նշանը իրենց ճակատների վրա կամ իրենց ձեռքերի մեջ։ Այս նշանը ընդունել նշանակում է գալ այն նույն որոշմանը, որին գազանն է եկել, և պաշտպանել նույն գաղափարները՝ Աստծո խոսքին ուղիղ հակառակությամբ։ Բոլոր նրանց մասին, ովքեր ընդունում են այս նշանը, Աստված ասում է. «Նա ևս պիտի խմի Աստծո բարկության գինուց, որ անխառն թափված է նրա բարկության բաժակի մեջ, և պիտի տանջվի կրակով ու ծծմբով սուրբ հրեշտակների առաջ և Գառան առաջ»։» Review and Herald, July 13, 1897.</w:t>
      </w:r>
    </w:p>
    <w:p>
      <w:pPr>
        <w:pStyle w:val="ArticleBody"/>
        <w:jc w:val="left"/>
      </w:pPr>
      <w:r>
        <w:rPr>
          <w:rFonts w:ascii="Times New Roman" w:hAnsi="Times New Roman" w:eastAsia="Times New Roman" w:cs="Times New Roman"/>
        </w:rPr>
        <w:t>یرمیا قوم خدا را در ایام آخر چنین معرفی می‌کند که پیشاپیش پیشانیِ فاحشه را دارا هستند. آنان در آستانهٔ دریافت نشانِ وحش‌اند، زیرا «شریر» هستند. در فرازِ مذکور که همین‌اکنون نقل شد، خواهر وایت ادامه می‌دهد:</w:t>
      </w:r>
    </w:p>
    <w:p>
      <w:pPr>
        <w:pStyle w:val="ArticleScripture"/>
        <w:jc w:val="left"/>
      </w:pPr>
      <w:r>
        <w:rPr>
          <w:rFonts w:ascii="Times New Roman" w:hAnsi="Times New Roman" w:eastAsia="Times New Roman" w:cs="Times New Roman"/>
        </w:rPr>
        <w:t>“Nếu ánh sáng của lẽ thật đã được trình bày cho bạn, bày tỏ ngày Sa-bát của điều răn thứ tư, và cho thấy rằng trong lời Đức Chúa Trời không có nền tảng nào cho việc giữ ngày Chúa nhật, vậy mà bạn vẫn cứ bám víu lấy ngày sa-bát giả, từ chối giữ thánh ngày Sa-bát mà Đức Chúa Trời gọi là ‘ngày thánh của Ta,’ thì bạn nhận lấy dấu con thú. Điều này xảy ra khi nào?—Khi bạn vâng theo sắc lệnh truyền cho bạn phải ngưng lao động trong ngày Chúa nhật và thờ phượng Đức Chúa Trời, trong khi bạn biết rằng không có một lời nào trong Kinh Thánh cho thấy Chúa nhật là gì khác hơn một ngày làm việc thông thường, thì bạn đồng ý nhận lấy dấu con thú, và từ chối ấn của Đức Chúa Trời. Nếu chúng ta nhận lấy dấu ấy trên trán mình hoặc trong tay mình, thì những sự đoán phạt đã được công bố chống lại kẻ bất tuân phải giáng trên chúng ta. Nhưng ấn của Đức Chúa Trời hằng sống được đặt trên những người hết lòng theo lương tâm mà giữ ngày Sa-bát của Chúa.”</w:t>
      </w:r>
    </w:p>
    <w:p>
      <w:pPr>
        <w:pStyle w:val="ArticleScripture"/>
        <w:jc w:val="left"/>
      </w:pPr>
      <w:r>
        <w:rPr>
          <w:rFonts w:ascii="Times New Roman" w:hAnsi="Times New Roman" w:eastAsia="Times New Roman" w:cs="Times New Roman"/>
        </w:rPr>
        <w:t>« Et Dieu vit que la méchanceté de l’homme était grande sur la terre, et que toute l’imagination des pensées de son cœur n’était continuellement que mal…. La terre aussi était corrompue devant Dieu, et la terre était remplie de violence…. Et Dieu dit à Noé : La fin de toute chair est arrêtée par-devers moi ; car la terre est remplie de violence à cause d’eux ; et voici, je vais les détruire avec la terre. » Ils devaient être retranchés, parce qu’ils avaient souillé la terre que Dieu avait créée pour être habitée par un peuple juste.</w:t>
      </w:r>
    </w:p>
    <w:p>
      <w:pPr>
        <w:pStyle w:val="ArticleScripture"/>
        <w:jc w:val="left"/>
      </w:pPr>
      <w:r>
        <w:rPr>
          <w:rFonts w:ascii="Times New Roman" w:hAnsi="Times New Roman" w:eastAsia="Times New Roman" w:cs="Times New Roman"/>
        </w:rPr>
        <w:t>“‘Noé tin na’õm úri ngu, Cristo rugu, ‘kugu ma nga hnemi yá nza̱i tho ya pa ra Dängandä ra Ma̱ca Hñäki.’ ¿Ha hingi ngu? Hingahma jä’i di hyandi ko ya periódicos njabu, di zädi hñu̱ ra lista ra ya nt’ot’e ya ts’oki—ra befi ra vino, ra ñuhu̱, ra mfadi, ra hyandi ra bojä, ra hñuxa. Nubu̱ ya mfamfadi enteros ts’inda tho, para ge ya ne ra jä’i di pädi ra bojä o ya bienes hingí umba ge, ya ne da zädi. Ra ximhai njap’u̱ ra ngu Noé tin na’õm úri, ngue ya jä’i hingi ma̱di ya manda ra Dios ko ya hñäki.” Review and Herald, July 13, 1897.</w:t>
      </w:r>
    </w:p>
    <w:p>
      <w:pPr>
        <w:pStyle w:val="ArticleBody"/>
        <w:jc w:val="left"/>
      </w:pPr>
      <w:r>
        <w:rPr>
          <w:rFonts w:ascii="Times New Roman" w:hAnsi="Times New Roman" w:eastAsia="Times New Roman" w:cs="Times New Roman"/>
        </w:rPr>
        <w:t>Yeremia sedang mengenal pasti umat Tuhan pada akhir zaman yang hampir sujud menyembah matahari, dan ketika dia berbuat demikian, dia mengenal pasti bahawa “hujan telah ditahan, dan hujan akhir tidak turun; dan engkau mempunyai dahi seorang sundal, engkau enggan merasa malu.” Golongan “fasik” daripada umat Tuhan pada akhir zaman tidak menerima hujan akhir, dan mereka enggan merasa malu, kerana fikiran mereka telah menjadi sentiasa jahat, sebagaimana digambarkan oleh sejarah Nuh, dan juga oleh kamar-kamar gambaran dalam kekejian yang kedua dalam Yehezkiel pasal lapan.</w:t>
      </w:r>
    </w:p>
    <w:p>
      <w:pPr>
        <w:pStyle w:val="ArticleBody"/>
        <w:jc w:val="left"/>
      </w:pPr>
      <w:r>
        <w:rPr>
          <w:rFonts w:ascii="Times New Roman" w:hAnsi="Times New Roman" w:eastAsia="Times New Roman" w:cs="Times New Roman"/>
        </w:rPr>
        <w:t>Yeremia menuding orang-orang fasik yang tidak tahu malu dari umat Allah pada akhir zaman untuk “berseru” “dari” “waktu” itu kepada “penuntun” masa “muda” mereka. Penuntun masa muda Adventisme ialah dua loh Habakuk dan permata-permata yang dilambangkan di atasnya. Satu-satunya pengharapan untuk melepaskan diri dari kefasikan yang akan segera mendatangkan kematian kekal atas orang-orang fasik dari umat Allah pada akhir zaman ialah berseru kepada Allah yang menjadi penuntun pada permulaan, yang tiba pada “waktu kesudahan” pada tahun 1798.</w:t>
      </w:r>
    </w:p>
    <w:p>
      <w:pPr>
        <w:pStyle w:val="ArticleBody"/>
        <w:jc w:val="left"/>
      </w:pPr>
      <w:r>
        <w:rPr>
          <w:rFonts w:ascii="Times New Roman" w:hAnsi="Times New Roman" w:eastAsia="Times New Roman" w:cs="Times New Roman"/>
        </w:rPr>
        <w:t>Le point décisif dans l’histoire du premier ou du troisième ange est de savoir si l’on reçoit ou non la pluie de l’arrière-saison. La pluie de l’arrière-saison a commencé lorsque les nations se sont irritées le 11 septembre 2001.</w:t>
      </w:r>
    </w:p>
    <w:p>
      <w:pPr>
        <w:pStyle w:val="ArticleScripture"/>
        <w:jc w:val="left"/>
      </w:pPr>
      <w:r>
        <w:rPr>
          <w:rFonts w:ascii="Times New Roman" w:hAnsi="Times New Roman" w:eastAsia="Times New Roman" w:cs="Times New Roman"/>
        </w:rPr>
        <w:t>“En ce temps-là, tandis que l’œuvre du salut touchera à sa fin, la détresse viendra sur la terre, et les nations seront irritées, mais retenues afin de ne pas empêcher l’œuvre du troisième ange. En ce temps-là, la « pluie de l’arrière-saison », ou le rafraîchissement venant de la présence du Seigneur, viendra pour donner de la puissance à la voix forte du troisième ange, et préparer les saints à subsister durant le temps où les sept dernières plaies seront déversées.” Early Writings, 85.</w:t>
      </w:r>
    </w:p>
    <w:p>
      <w:pPr>
        <w:pStyle w:val="ArticleBody"/>
        <w:jc w:val="left"/>
      </w:pPr>
      <w:r>
        <w:rPr>
          <w:rFonts w:ascii="Times New Roman" w:hAnsi="Times New Roman" w:eastAsia="Times New Roman" w:cs="Times New Roman"/>
        </w:rPr>
        <w:t>“mvula ya nyuma,” ambayo pia hutambulishwa kuwa ni “kuburudishwa,” ilianza wakati mataifa yalipokasirika, na wakati huo “kazi ya wokovu” ilianza kufungwa. Malaika wanne wa Ufunuo saba huizuia pepo nne huku kutiwa muhuri kwa wale mia moja na arobaini na nne elfu kukikamilishwa, na katika Ezekieli sura ya tisa, kazi hiyo huwakilishwa na malaika wanaowatia alama wale wanaougua na kulia kwa sababu ya machukizo yanayofanywa katika Yerusalemu. Mnamo Septemba 11, 2001 malaika walianza kazi ya kufunga kwa kuweka alama juu ya vipaji vya nyuso vya wale mia moja na arobaini na nne elfu.</w:t>
      </w:r>
    </w:p>
    <w:p>
      <w:pPr>
        <w:pStyle w:val="ArticleBody"/>
        <w:jc w:val="left"/>
      </w:pPr>
      <w:r>
        <w:rPr>
          <w:rFonts w:ascii="Times New Roman" w:hAnsi="Times New Roman" w:eastAsia="Times New Roman" w:cs="Times New Roman"/>
        </w:rPr>
        <w:t>De sidste gerninger i den tredje engels budskab fuldbyrdes under udgydelsen af senregnen, som også er “forfriskningen”, hvilket er et budskab.</w:t>
      </w:r>
    </w:p>
    <w:p>
      <w:pPr>
        <w:pStyle w:val="ArticleScripture"/>
        <w:jc w:val="left"/>
      </w:pPr>
      <w:r>
        <w:rPr>
          <w:rFonts w:ascii="Times New Roman" w:hAnsi="Times New Roman" w:eastAsia="Times New Roman" w:cs="Times New Roman"/>
        </w:rPr>
        <w:t>A qui il a dit: Voici le repos, où vous ferez reposer celui qui est fatigué; et voici le rafraîchissement; mais ils n’ont pas voulu écouter. Ésaïe 28:12.</w:t>
      </w:r>
    </w:p>
    <w:p>
      <w:pPr>
        <w:pStyle w:val="ArticleBody"/>
        <w:jc w:val="left"/>
      </w:pPr>
      <w:r>
        <w:rPr>
          <w:rFonts w:ascii="Times New Roman" w:hAnsi="Times New Roman" w:eastAsia="Times New Roman" w:cs="Times New Roman"/>
        </w:rPr>
        <w:t>Atĩrĩri makoragwo marĩgana kũigua kũrĩ Isaia nĩ atĩrĩri ũcio ũheanagwo na ndimi iria ikũrĩra-rĩra, na nĩyo atĩrĩri wa kũgeria ũrĩa ũmenyithagia njira ya “mũtaratara igũrũ rĩa mũtaratara.”</w:t>
      </w:r>
    </w:p>
    <w:p>
      <w:pPr>
        <w:pStyle w:val="ArticleScripture"/>
        <w:jc w:val="left"/>
      </w:pP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तोड़े</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ठट्ठा</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रहनेवाली</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प्रभुता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अधोलोक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उमड़ता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शरणस्थान</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मिथ्यावचन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28:13–15.</w:t>
      </w:r>
    </w:p>
    <w:p>
      <w:pPr>
        <w:pStyle w:val="ArticleBody"/>
        <w:jc w:val="left"/>
      </w:pPr>
      <w:r>
        <w:rPr>
          <w:rFonts w:ascii="Times New Roman" w:hAnsi="Times New Roman" w:eastAsia="Times New Roman" w:cs="Times New Roman"/>
        </w:rPr>
        <w:t>Ili Neno la Bwana, ambalo ni ujumbe wa starehe na waburudisho (mvua ya mwisho), unaowafanya “waende, na kuanguka nyuma, na kuvunjika, na kunaswa, na kukamatwa,” limetolewa kwa “watu wenye dharau, watawalao watu hawa walioko Yerusalemu.” Yerusalemu ndiko malaika huwatia alama wale wanaougua na kulia, na wazee wale waliokisaliti kile walichokabidhiwa ndio wa kwanza kuanguka.</w:t>
      </w:r>
    </w:p>
    <w:p>
      <w:pPr>
        <w:pStyle w:val="ArticleScripture"/>
        <w:jc w:val="left"/>
      </w:pPr>
      <w:r>
        <w:rPr>
          <w:rFonts w:ascii="Times New Roman" w:hAnsi="Times New Roman" w:eastAsia="Times New Roman" w:cs="Times New Roman"/>
        </w:rPr>
        <w:t>«Билеги халосӣ бар онҳое ниҳода шудааст, ки «барои ҳамаи қабоҳатҳое ки карда мешаванд, оҳу нола мекунанд». Акнун фариштаи марг берун меравад, ки дар рӯъёи Ҳизқиёл ба сурати мардоне бо силоҳҳои куштор тасвир шудааст, ки ба онҳо ин амр дода мешавад: «Пирон ва ҷавононро, ҳам духтаронро, ҳам кӯдаконро ва ҳам занонро комилан бикушед; аммо ба ҳеҷ касе ки бар ӯ билег аст, наздик нашавед; ва аз муқаддасгоҳи Ман оғоз кунед». Паёмбар мегӯяд: «Ва онҳо аз пирони пеши хона оғоз карданд». Ҳизқиёл 9:1–6. Кори нобудӣ аз миёни онҳое оғоз меёбад, ки худро муҳофизони рӯҳонии халқ вонамуд карда буданд. Посбонони дурӯғин нахустин касонеанд, ки фурӯ меафтанд. Ҳеҷ касе нест, ки раҳм кунад ё дареғ дорад. Мардон, занон, духтарон ва кӯдакони хурдсол якҷо ҳалок мешаванд». Муборизаи Бузург, 656.</w:t>
      </w:r>
    </w:p>
    <w:p>
      <w:pPr>
        <w:pStyle w:val="ArticleBody"/>
        <w:jc w:val="left"/>
      </w:pPr>
      <w:r>
        <w:rPr>
          <w:rFonts w:ascii="Times New Roman" w:hAnsi="Times New Roman" w:eastAsia="Times New Roman" w:cs="Times New Roman"/>
        </w:rPr>
        <w:t>Nous continuerons d’aborder l’augmentation de la connaissance survenue en 1989 dans le prochain article.</w:t>
      </w:r>
    </w:p>
    <w:p>
      <w:pPr>
        <w:pStyle w:val="ArticleScripture"/>
        <w:jc w:val="left"/>
      </w:pPr>
      <w:r>
        <w:rPr>
          <w:rFonts w:ascii="Times New Roman" w:hAnsi="Times New Roman" w:eastAsia="Times New Roman" w:cs="Times New Roman"/>
        </w:rPr>
        <w:t>Surface theree je noke, je sabar mon porhe, tain tader bisoye bolen jara boro alo paise: ‘Tara tader naitik o atmik obosthar jonno dukkhito o bismito hoy na.’ Hae, tara nijeder poth beche niyache, ar tader pran tader ghrinno kajey anondo pay. ‘Ami-o tader bhranti beche nebo, ar tader bhoy tader upor anbo; karon jokhon ami dekechilam, keu uttor dilo na; jokhon ami kotha bollam, tara shonlo na: kintu tara amar chokher shamne mondo korlo, ar ja-te ami anondo pai na, tai beche nilo.’ ‘Ishwar tader upor probol bhranti pathaben, jate tara mithya bishwas kore,’ karon ‘tara satyer prem grohon koreni, jate tara poritran pete parto,’ ‘borong tara adharme anondo peyechilo.’ Isaiah 66:3, 4; 2 Thessalonians 2:11, 10, 12.</w:t>
      </w:r>
    </w:p>
    <w:p>
      <w:pPr>
        <w:pStyle w:val="ArticleScripture"/>
        <w:jc w:val="left"/>
      </w:pPr>
      <w:r>
        <w:rPr>
          <w:rFonts w:ascii="Microsoft YaHei" w:hAnsi="Microsoft YaHei" w:eastAsia="Microsoft YaHei" w:cs="Microsoft YaHei"/>
        </w:rPr>
        <w:t>「天</w:t>
      </w:r>
      <w:r>
        <w:rPr>
          <w:rFonts w:ascii="MS Gothic" w:hAnsi="MS Gothic" w:eastAsia="MS Gothic" w:cs="MS Gothic"/>
        </w:rPr>
        <w:t>の</w:t>
      </w:r>
      <w:r>
        <w:rPr>
          <w:rFonts w:ascii="Microsoft YaHei" w:hAnsi="Microsoft YaHei" w:eastAsia="Microsoft YaHei" w:cs="Microsoft YaHei"/>
        </w:rPr>
        <w:t>教師</w:t>
      </w:r>
      <w:r>
        <w:rPr>
          <w:rFonts w:ascii="MS Gothic" w:hAnsi="MS Gothic" w:eastAsia="MS Gothic" w:cs="MS Gothic"/>
        </w:rPr>
        <w:t>はこう</w:t>
      </w:r>
      <w:r>
        <w:rPr>
          <w:rFonts w:ascii="Microsoft YaHei" w:hAnsi="Microsoft YaHei" w:eastAsia="Microsoft YaHei" w:cs="Microsoft YaHei"/>
        </w:rPr>
        <w:t>問</w:t>
      </w:r>
      <w:r>
        <w:rPr>
          <w:rFonts w:ascii="MS Gothic" w:hAnsi="MS Gothic" w:eastAsia="MS Gothic" w:cs="MS Gothic"/>
        </w:rPr>
        <w:t>われた</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あなたが</w:t>
      </w:r>
      <w:r>
        <w:rPr>
          <w:rFonts w:ascii="Microsoft YaHei" w:hAnsi="Microsoft YaHei" w:eastAsia="Microsoft YaHei" w:cs="Microsoft YaHei"/>
        </w:rPr>
        <w:t>正</w:t>
      </w:r>
      <w:r>
        <w:rPr>
          <w:rFonts w:ascii="MS Gothic" w:hAnsi="MS Gothic" w:eastAsia="MS Gothic" w:cs="MS Gothic"/>
        </w:rPr>
        <w:t>しい</w:t>
      </w:r>
      <w:r>
        <w:rPr>
          <w:rFonts w:ascii="Microsoft YaHei" w:hAnsi="Microsoft YaHei" w:eastAsia="Microsoft YaHei" w:cs="Microsoft YaHei"/>
        </w:rPr>
        <w:t>土台</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建</w:t>
      </w:r>
      <w:r>
        <w:rPr>
          <w:rFonts w:ascii="MS Gothic" w:hAnsi="MS Gothic" w:eastAsia="MS Gothic" w:cs="MS Gothic"/>
        </w:rPr>
        <w:t>てており</w:t>
      </w:r>
      <w:r>
        <w:rPr>
          <w:rFonts w:ascii="Microsoft YaHei" w:hAnsi="Microsoft YaHei" w:eastAsia="Microsoft YaHei" w:cs="Microsoft YaHei"/>
        </w:rPr>
        <w:t>、神</w:t>
      </w:r>
      <w:r>
        <w:rPr>
          <w:rFonts w:ascii="MS Gothic" w:hAnsi="MS Gothic" w:eastAsia="MS Gothic" w:cs="MS Gothic"/>
        </w:rPr>
        <w:t>があなたの</w:t>
      </w:r>
      <w:r>
        <w:rPr>
          <w:rFonts w:ascii="Microsoft YaHei" w:hAnsi="Microsoft YaHei" w:eastAsia="Microsoft YaHei" w:cs="Microsoft YaHei"/>
        </w:rPr>
        <w:t>業</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入</w:t>
      </w:r>
      <w:r>
        <w:rPr>
          <w:rFonts w:ascii="MS Gothic" w:hAnsi="MS Gothic" w:eastAsia="MS Gothic" w:cs="MS Gothic"/>
        </w:rPr>
        <w:t>れておられる</w:t>
      </w:r>
      <w:r>
        <w:rPr>
          <w:rFonts w:ascii="Microsoft YaHei" w:hAnsi="Microsoft YaHei" w:eastAsia="Microsoft YaHei" w:cs="Microsoft YaHei"/>
        </w:rPr>
        <w:t>、</w:t>
      </w:r>
      <w:r>
        <w:rPr>
          <w:rFonts w:ascii="MS Gothic" w:hAnsi="MS Gothic" w:eastAsia="MS Gothic" w:cs="MS Gothic"/>
        </w:rPr>
        <w:t>という</w:t>
      </w:r>
      <w:r>
        <w:rPr>
          <w:rFonts w:ascii="Microsoft YaHei" w:hAnsi="Microsoft YaHei" w:eastAsia="Microsoft YaHei" w:cs="Microsoft YaHei"/>
        </w:rPr>
        <w:t>見</w:t>
      </w:r>
      <w:r>
        <w:rPr>
          <w:rFonts w:ascii="MS Gothic" w:hAnsi="MS Gothic" w:eastAsia="MS Gothic" w:cs="MS Gothic"/>
        </w:rPr>
        <w:t>せかけほど</w:t>
      </w:r>
      <w:r>
        <w:rPr>
          <w:rFonts w:ascii="Microsoft YaHei" w:hAnsi="Microsoft YaHei" w:eastAsia="Microsoft YaHei" w:cs="Microsoft YaHei"/>
        </w:rPr>
        <w:t>、心</w:t>
      </w:r>
      <w:r>
        <w:rPr>
          <w:rFonts w:ascii="MS Gothic" w:hAnsi="MS Gothic" w:eastAsia="MS Gothic" w:cs="MS Gothic"/>
        </w:rPr>
        <w:t>を</w:t>
      </w:r>
      <w:r>
        <w:rPr>
          <w:rFonts w:ascii="Microsoft YaHei" w:hAnsi="Microsoft YaHei" w:eastAsia="Microsoft YaHei" w:cs="Microsoft YaHei"/>
        </w:rPr>
        <w:t>欺</w:t>
      </w:r>
      <w:r>
        <w:rPr>
          <w:rFonts w:ascii="MS Gothic" w:hAnsi="MS Gothic" w:eastAsia="MS Gothic" w:cs="MS Gothic"/>
        </w:rPr>
        <w:t>き</w:t>
      </w:r>
      <w:r>
        <w:rPr>
          <w:rFonts w:ascii="Microsoft YaHei" w:hAnsi="Microsoft YaHei" w:eastAsia="Microsoft YaHei" w:cs="Microsoft YaHei"/>
        </w:rPr>
        <w:t>惑</w:t>
      </w:r>
      <w:r>
        <w:rPr>
          <w:rFonts w:ascii="MS Gothic" w:hAnsi="MS Gothic" w:eastAsia="MS Gothic" w:cs="MS Gothic"/>
        </w:rPr>
        <w:t>わす</w:t>
      </w:r>
      <w:r>
        <w:rPr>
          <w:rFonts w:ascii="Microsoft YaHei" w:hAnsi="Microsoft YaHei" w:eastAsia="Microsoft YaHei" w:cs="Microsoft YaHei"/>
        </w:rPr>
        <w:t>強</w:t>
      </w:r>
      <w:r>
        <w:rPr>
          <w:rFonts w:ascii="MS Gothic" w:hAnsi="MS Gothic" w:eastAsia="MS Gothic" w:cs="MS Gothic"/>
        </w:rPr>
        <w:t>い</w:t>
      </w:r>
      <w:r>
        <w:rPr>
          <w:rFonts w:ascii="Microsoft YaHei" w:hAnsi="Microsoft YaHei" w:eastAsia="Microsoft YaHei" w:cs="Microsoft YaHei"/>
        </w:rPr>
        <w:t>妄想</w:t>
      </w:r>
      <w:r>
        <w:rPr>
          <w:rFonts w:ascii="MS Gothic" w:hAnsi="MS Gothic" w:eastAsia="MS Gothic" w:cs="MS Gothic"/>
        </w:rPr>
        <w:t>がほかにあろうか</w:t>
      </w:r>
      <w:r>
        <w:rPr>
          <w:rFonts w:ascii="Times New Roman" w:hAnsi="Times New Roman" w:eastAsia="Times New Roman" w:cs="Times New Roman"/>
        </w:rPr>
        <w:t>.</w:t>
      </w:r>
      <w:r>
        <w:rPr>
          <w:rFonts w:ascii="MS Gothic" w:hAnsi="MS Gothic" w:eastAsia="MS Gothic" w:cs="MS Gothic"/>
        </w:rPr>
        <w:t>しかも</w:t>
      </w:r>
      <w:r>
        <w:rPr>
          <w:rFonts w:ascii="Microsoft YaHei" w:hAnsi="Microsoft YaHei" w:eastAsia="Microsoft YaHei" w:cs="Microsoft YaHei"/>
        </w:rPr>
        <w:t>実際</w:t>
      </w:r>
      <w:r>
        <w:rPr>
          <w:rFonts w:ascii="MS Gothic" w:hAnsi="MS Gothic" w:eastAsia="MS Gothic" w:cs="MS Gothic"/>
        </w:rPr>
        <w:t>には</w:t>
      </w:r>
      <w:r>
        <w:rPr>
          <w:rFonts w:ascii="Microsoft YaHei" w:hAnsi="Microsoft YaHei" w:eastAsia="Microsoft YaHei" w:cs="Microsoft YaHei"/>
        </w:rPr>
        <w:t>、</w:t>
      </w:r>
      <w:r>
        <w:rPr>
          <w:rFonts w:ascii="MS Gothic" w:hAnsi="MS Gothic" w:eastAsia="MS Gothic" w:cs="MS Gothic"/>
        </w:rPr>
        <w:t>あなたは</w:t>
      </w:r>
      <w:r>
        <w:rPr>
          <w:rFonts w:ascii="Microsoft YaHei" w:hAnsi="Microsoft YaHei" w:eastAsia="Microsoft YaHei" w:cs="Microsoft YaHei"/>
        </w:rPr>
        <w:t>多</w:t>
      </w:r>
      <w:r>
        <w:rPr>
          <w:rFonts w:ascii="MS Gothic" w:hAnsi="MS Gothic" w:eastAsia="MS Gothic" w:cs="MS Gothic"/>
        </w:rPr>
        <w:t>くのことをこの</w:t>
      </w:r>
      <w:r>
        <w:rPr>
          <w:rFonts w:ascii="Microsoft YaHei" w:hAnsi="Microsoft YaHei" w:eastAsia="Microsoft YaHei" w:cs="Microsoft YaHei"/>
        </w:rPr>
        <w:t>世</w:t>
      </w:r>
      <w:r>
        <w:rPr>
          <w:rFonts w:ascii="MS Gothic" w:hAnsi="MS Gothic" w:eastAsia="MS Gothic" w:cs="MS Gothic"/>
        </w:rPr>
        <w:t>の</w:t>
      </w:r>
      <w:r>
        <w:rPr>
          <w:rFonts w:ascii="Microsoft YaHei" w:hAnsi="Microsoft YaHei" w:eastAsia="Microsoft YaHei" w:cs="Microsoft YaHei"/>
        </w:rPr>
        <w:t>方策</w:t>
      </w:r>
      <w:r>
        <w:rPr>
          <w:rFonts w:ascii="MS Gothic" w:hAnsi="MS Gothic" w:eastAsia="MS Gothic" w:cs="MS Gothic"/>
        </w:rPr>
        <w:t>に</w:t>
      </w:r>
      <w:r>
        <w:rPr>
          <w:rFonts w:ascii="Microsoft YaHei" w:hAnsi="Microsoft YaHei" w:eastAsia="Microsoft YaHei" w:cs="Microsoft YaHei"/>
        </w:rPr>
        <w:t>従</w:t>
      </w:r>
      <w:r>
        <w:rPr>
          <w:rFonts w:ascii="MS Gothic" w:hAnsi="MS Gothic" w:eastAsia="MS Gothic" w:cs="MS Gothic"/>
        </w:rPr>
        <w:t>って</w:t>
      </w:r>
      <w:r>
        <w:rPr>
          <w:rFonts w:ascii="Microsoft YaHei" w:hAnsi="Microsoft YaHei" w:eastAsia="Microsoft YaHei" w:cs="Microsoft YaHei"/>
        </w:rPr>
        <w:t>行</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エホバに</w:t>
      </w:r>
      <w:r>
        <w:rPr>
          <w:rFonts w:ascii="Microsoft YaHei" w:hAnsi="Microsoft YaHei" w:eastAsia="Microsoft YaHei" w:cs="Microsoft YaHei"/>
        </w:rPr>
        <w:t>対</w:t>
      </w:r>
      <w:r>
        <w:rPr>
          <w:rFonts w:ascii="MS Gothic" w:hAnsi="MS Gothic" w:eastAsia="MS Gothic" w:cs="MS Gothic"/>
        </w:rPr>
        <w:t>して</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犯</w:t>
      </w:r>
      <w:r>
        <w:rPr>
          <w:rFonts w:ascii="MS Gothic" w:hAnsi="MS Gothic" w:eastAsia="MS Gothic" w:cs="MS Gothic"/>
        </w:rPr>
        <w:t>しているのである</w:t>
      </w:r>
      <w:r>
        <w:rPr>
          <w:rFonts w:ascii="Times New Roman" w:hAnsi="Times New Roman" w:eastAsia="Times New Roman" w:cs="Times New Roman"/>
        </w:rPr>
        <w:t>.</w:t>
      </w:r>
      <w:r>
        <w:rPr>
          <w:rFonts w:ascii="MS Gothic" w:hAnsi="MS Gothic" w:eastAsia="MS Gothic" w:cs="MS Gothic"/>
        </w:rPr>
        <w:t>ああ</w:t>
      </w:r>
      <w:r>
        <w:rPr>
          <w:rFonts w:ascii="Microsoft YaHei" w:hAnsi="Microsoft YaHei" w:eastAsia="Microsoft YaHei" w:cs="Microsoft YaHei"/>
        </w:rPr>
        <w:t>、</w:t>
      </w:r>
      <w:r>
        <w:rPr>
          <w:rFonts w:ascii="MS Gothic" w:hAnsi="MS Gothic" w:eastAsia="MS Gothic" w:cs="MS Gothic"/>
        </w:rPr>
        <w:t>これは</w:t>
      </w:r>
      <w:r>
        <w:rPr>
          <w:rFonts w:ascii="Microsoft YaHei" w:hAnsi="Microsoft YaHei" w:eastAsia="Microsoft YaHei" w:cs="Microsoft YaHei"/>
        </w:rPr>
        <w:t>実</w:t>
      </w:r>
      <w:r>
        <w:rPr>
          <w:rFonts w:ascii="MS Gothic" w:hAnsi="MS Gothic" w:eastAsia="MS Gothic" w:cs="MS Gothic"/>
        </w:rPr>
        <w:t>に</w:t>
      </w:r>
      <w:r>
        <w:rPr>
          <w:rFonts w:ascii="Microsoft YaHei" w:hAnsi="Microsoft YaHei" w:eastAsia="Microsoft YaHei" w:cs="Microsoft YaHei"/>
        </w:rPr>
        <w:t>大</w:t>
      </w:r>
      <w:r>
        <w:rPr>
          <w:rFonts w:ascii="MS Gothic" w:hAnsi="MS Gothic" w:eastAsia="MS Gothic" w:cs="MS Gothic"/>
        </w:rPr>
        <w:t>いなる</w:t>
      </w:r>
      <w:r>
        <w:rPr>
          <w:rFonts w:ascii="Microsoft YaHei" w:hAnsi="Microsoft YaHei" w:eastAsia="Microsoft YaHei" w:cs="Microsoft YaHei"/>
        </w:rPr>
        <w:t>欺</w:t>
      </w:r>
      <w:r>
        <w:rPr>
          <w:rFonts w:ascii="MS Gothic" w:hAnsi="MS Gothic" w:eastAsia="MS Gothic" w:cs="MS Gothic"/>
        </w:rPr>
        <w:t>き</w:t>
      </w:r>
      <w:r>
        <w:rPr>
          <w:rFonts w:ascii="Microsoft YaHei" w:hAnsi="Microsoft YaHei" w:eastAsia="Microsoft YaHei" w:cs="Microsoft YaHei"/>
        </w:rPr>
        <w:t>、人</w:t>
      </w:r>
      <w:r>
        <w:rPr>
          <w:rFonts w:ascii="MS Gothic" w:hAnsi="MS Gothic" w:eastAsia="MS Gothic" w:cs="MS Gothic"/>
        </w:rPr>
        <w:t>を</w:t>
      </w:r>
      <w:r>
        <w:rPr>
          <w:rFonts w:ascii="Microsoft YaHei" w:hAnsi="Microsoft YaHei" w:eastAsia="Microsoft YaHei" w:cs="Microsoft YaHei"/>
        </w:rPr>
        <w:t>魅了</w:t>
      </w:r>
      <w:r>
        <w:rPr>
          <w:rFonts w:ascii="MS Gothic" w:hAnsi="MS Gothic" w:eastAsia="MS Gothic" w:cs="MS Gothic"/>
        </w:rPr>
        <w:t>する</w:t>
      </w:r>
      <w:r>
        <w:rPr>
          <w:rFonts w:ascii="Microsoft YaHei" w:hAnsi="Microsoft YaHei" w:eastAsia="Microsoft YaHei" w:cs="Microsoft YaHei"/>
        </w:rPr>
        <w:t>妄想</w:t>
      </w:r>
      <w:r>
        <w:rPr>
          <w:rFonts w:ascii="MS Gothic" w:hAnsi="MS Gothic" w:eastAsia="MS Gothic" w:cs="MS Gothic"/>
        </w:rPr>
        <w:t>であって</w:t>
      </w:r>
      <w:r>
        <w:rPr>
          <w:rFonts w:ascii="Microsoft YaHei" w:hAnsi="Microsoft YaHei" w:eastAsia="Microsoft YaHei" w:cs="Microsoft YaHei"/>
        </w:rPr>
        <w:t>、</w:t>
      </w:r>
      <w:r>
        <w:rPr>
          <w:rFonts w:ascii="MS Gothic" w:hAnsi="MS Gothic" w:eastAsia="MS Gothic" w:cs="MS Gothic"/>
        </w:rPr>
        <w:t>かつて</w:t>
      </w:r>
      <w:r>
        <w:rPr>
          <w:rFonts w:ascii="Microsoft YaHei" w:hAnsi="Microsoft YaHei" w:eastAsia="Microsoft YaHei" w:cs="Microsoft YaHei"/>
        </w:rPr>
        <w:t>真理</w:t>
      </w:r>
      <w:r>
        <w:rPr>
          <w:rFonts w:ascii="MS Gothic" w:hAnsi="MS Gothic" w:eastAsia="MS Gothic" w:cs="MS Gothic"/>
        </w:rPr>
        <w:t>を</w:t>
      </w:r>
      <w:r>
        <w:rPr>
          <w:rFonts w:ascii="Microsoft YaHei" w:hAnsi="Microsoft YaHei" w:eastAsia="Microsoft YaHei" w:cs="Microsoft YaHei"/>
        </w:rPr>
        <w:t>知</w:t>
      </w:r>
      <w:r>
        <w:rPr>
          <w:rFonts w:ascii="MS Gothic" w:hAnsi="MS Gothic" w:eastAsia="MS Gothic" w:cs="MS Gothic"/>
        </w:rPr>
        <w:t>った</w:t>
      </w:r>
      <w:r>
        <w:rPr>
          <w:rFonts w:ascii="Microsoft YaHei" w:hAnsi="Microsoft YaHei" w:eastAsia="Microsoft YaHei" w:cs="Microsoft YaHei"/>
        </w:rPr>
        <w:t>者</w:t>
      </w:r>
      <w:r>
        <w:rPr>
          <w:rFonts w:ascii="MS Gothic" w:hAnsi="MS Gothic" w:eastAsia="MS Gothic" w:cs="MS Gothic"/>
        </w:rPr>
        <w:t>たちが</w:t>
      </w:r>
      <w:r>
        <w:rPr>
          <w:rFonts w:ascii="Microsoft YaHei" w:hAnsi="Microsoft YaHei" w:eastAsia="Microsoft YaHei" w:cs="Microsoft YaHei"/>
        </w:rPr>
        <w:t>、敬虔</w:t>
      </w:r>
      <w:r>
        <w:rPr>
          <w:rFonts w:ascii="MS Gothic" w:hAnsi="MS Gothic" w:eastAsia="MS Gothic" w:cs="MS Gothic"/>
        </w:rPr>
        <w:t>の</w:t>
      </w:r>
      <w:r>
        <w:rPr>
          <w:rFonts w:ascii="Microsoft YaHei" w:hAnsi="Microsoft YaHei" w:eastAsia="Microsoft YaHei" w:cs="Microsoft YaHei"/>
        </w:rPr>
        <w:t>形</w:t>
      </w:r>
      <w:r>
        <w:rPr>
          <w:rFonts w:ascii="MS Gothic" w:hAnsi="MS Gothic" w:eastAsia="MS Gothic" w:cs="MS Gothic"/>
        </w:rPr>
        <w:t>をその</w:t>
      </w:r>
      <w:r>
        <w:rPr>
          <w:rFonts w:ascii="Microsoft YaHei" w:hAnsi="Microsoft YaHei" w:eastAsia="Microsoft YaHei" w:cs="Microsoft YaHei"/>
        </w:rPr>
        <w:t>霊</w:t>
      </w:r>
      <w:r>
        <w:rPr>
          <w:rFonts w:ascii="MS Gothic" w:hAnsi="MS Gothic" w:eastAsia="MS Gothic" w:cs="MS Gothic"/>
        </w:rPr>
        <w:t>と</w:t>
      </w:r>
      <w:r>
        <w:rPr>
          <w:rFonts w:ascii="Microsoft YaHei" w:hAnsi="Microsoft YaHei" w:eastAsia="Microsoft YaHei" w:cs="Microsoft YaHei"/>
        </w:rPr>
        <w:t>力</w:t>
      </w:r>
      <w:r>
        <w:rPr>
          <w:rFonts w:ascii="MS Gothic" w:hAnsi="MS Gothic" w:eastAsia="MS Gothic" w:cs="MS Gothic"/>
        </w:rPr>
        <w:t>と</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違</w:t>
      </w:r>
      <w:r>
        <w:rPr>
          <w:rFonts w:ascii="MS Gothic" w:hAnsi="MS Gothic" w:eastAsia="MS Gothic" w:cs="MS Gothic"/>
        </w:rPr>
        <w:t>え</w:t>
      </w:r>
      <w:r>
        <w:rPr>
          <w:rFonts w:ascii="Microsoft YaHei" w:hAnsi="Microsoft YaHei" w:eastAsia="Microsoft YaHei" w:cs="Microsoft YaHei"/>
        </w:rPr>
        <w:t>、自分</w:t>
      </w:r>
      <w:r>
        <w:rPr>
          <w:rFonts w:ascii="MS Gothic" w:hAnsi="MS Gothic" w:eastAsia="MS Gothic" w:cs="MS Gothic"/>
        </w:rPr>
        <w:t>は</w:t>
      </w:r>
      <w:r>
        <w:rPr>
          <w:rFonts w:ascii="Microsoft YaHei" w:hAnsi="Microsoft YaHei" w:eastAsia="Microsoft YaHei" w:cs="Microsoft YaHei"/>
        </w:rPr>
        <w:t>富</w:t>
      </w:r>
      <w:r>
        <w:rPr>
          <w:rFonts w:ascii="MS Gothic" w:hAnsi="MS Gothic" w:eastAsia="MS Gothic" w:cs="MS Gothic"/>
        </w:rPr>
        <w:t>み</w:t>
      </w:r>
      <w:r>
        <w:rPr>
          <w:rFonts w:ascii="Microsoft YaHei" w:hAnsi="Microsoft YaHei" w:eastAsia="Microsoft YaHei" w:cs="Microsoft YaHei"/>
        </w:rPr>
        <w:t>、財</w:t>
      </w:r>
      <w:r>
        <w:rPr>
          <w:rFonts w:ascii="MS Gothic" w:hAnsi="MS Gothic" w:eastAsia="MS Gothic" w:cs="MS Gothic"/>
        </w:rPr>
        <w:t>に</w:t>
      </w:r>
      <w:r>
        <w:rPr>
          <w:rFonts w:ascii="Microsoft YaHei" w:hAnsi="Microsoft YaHei" w:eastAsia="Microsoft YaHei" w:cs="Microsoft YaHei"/>
        </w:rPr>
        <w:t>満</w:t>
      </w:r>
      <w:r>
        <w:rPr>
          <w:rFonts w:ascii="MS Gothic" w:hAnsi="MS Gothic" w:eastAsia="MS Gothic" w:cs="MS Gothic"/>
        </w:rPr>
        <w:t>ち</w:t>
      </w:r>
      <w:r>
        <w:rPr>
          <w:rFonts w:ascii="Microsoft YaHei" w:hAnsi="Microsoft YaHei" w:eastAsia="Microsoft YaHei" w:cs="Microsoft YaHei"/>
        </w:rPr>
        <w:t>、何一</w:t>
      </w:r>
      <w:r>
        <w:rPr>
          <w:rFonts w:ascii="MS Gothic" w:hAnsi="MS Gothic" w:eastAsia="MS Gothic" w:cs="MS Gothic"/>
        </w:rPr>
        <w:t>つ</w:t>
      </w:r>
      <w:r>
        <w:rPr>
          <w:rFonts w:ascii="Microsoft YaHei" w:hAnsi="Microsoft YaHei" w:eastAsia="Microsoft YaHei" w:cs="Microsoft YaHei"/>
        </w:rPr>
        <w:t>欠</w:t>
      </w:r>
      <w:r>
        <w:rPr>
          <w:rFonts w:ascii="MS Gothic" w:hAnsi="MS Gothic" w:eastAsia="MS Gothic" w:cs="MS Gothic"/>
        </w:rPr>
        <w:t>けるところがないと</w:t>
      </w:r>
      <w:r>
        <w:rPr>
          <w:rFonts w:ascii="Microsoft YaHei" w:hAnsi="Microsoft YaHei" w:eastAsia="Microsoft YaHei" w:cs="Microsoft YaHei"/>
        </w:rPr>
        <w:t>思</w:t>
      </w:r>
      <w:r>
        <w:rPr>
          <w:rFonts w:ascii="MS Gothic" w:hAnsi="MS Gothic" w:eastAsia="MS Gothic" w:cs="MS Gothic"/>
        </w:rPr>
        <w:t>い</w:t>
      </w:r>
      <w:r>
        <w:rPr>
          <w:rFonts w:ascii="Microsoft YaHei" w:hAnsi="Microsoft YaHei" w:eastAsia="Microsoft YaHei" w:cs="Microsoft YaHei"/>
        </w:rPr>
        <w:t>込</w:t>
      </w:r>
      <w:r>
        <w:rPr>
          <w:rFonts w:ascii="MS Gothic" w:hAnsi="MS Gothic" w:eastAsia="MS Gothic" w:cs="MS Gothic"/>
        </w:rPr>
        <w:t>む</w:t>
      </w:r>
      <w:r>
        <w:rPr>
          <w:rFonts w:ascii="Microsoft YaHei" w:hAnsi="Microsoft YaHei" w:eastAsia="Microsoft YaHei" w:cs="Microsoft YaHei"/>
        </w:rPr>
        <w:t>一方、実際</w:t>
      </w:r>
      <w:r>
        <w:rPr>
          <w:rFonts w:ascii="MS Gothic" w:hAnsi="MS Gothic" w:eastAsia="MS Gothic" w:cs="MS Gothic"/>
        </w:rPr>
        <w:t>にはあらゆるものを</w:t>
      </w:r>
      <w:r>
        <w:rPr>
          <w:rFonts w:ascii="Microsoft YaHei" w:hAnsi="Microsoft YaHei" w:eastAsia="Microsoft YaHei" w:cs="Microsoft YaHei"/>
        </w:rPr>
        <w:t>必要</w:t>
      </w:r>
      <w:r>
        <w:rPr>
          <w:rFonts w:ascii="MS Gothic" w:hAnsi="MS Gothic" w:eastAsia="MS Gothic" w:cs="MS Gothic"/>
        </w:rPr>
        <w:t>としているとき</w:t>
      </w:r>
      <w:r>
        <w:rPr>
          <w:rFonts w:ascii="Microsoft YaHei" w:hAnsi="Microsoft YaHei" w:eastAsia="Microsoft YaHei" w:cs="Microsoft YaHei"/>
        </w:rPr>
        <w:t>、</w:t>
      </w:r>
      <w:r>
        <w:rPr>
          <w:rFonts w:ascii="MS Gothic" w:hAnsi="MS Gothic" w:eastAsia="MS Gothic" w:cs="MS Gothic"/>
        </w:rPr>
        <w:t>そのような</w:t>
      </w:r>
      <w:r>
        <w:rPr>
          <w:rFonts w:ascii="Microsoft YaHei" w:hAnsi="Microsoft YaHei" w:eastAsia="Microsoft YaHei" w:cs="Microsoft YaHei"/>
        </w:rPr>
        <w:t>心</w:t>
      </w:r>
      <w:r>
        <w:rPr>
          <w:rFonts w:ascii="MS Gothic" w:hAnsi="MS Gothic" w:eastAsia="MS Gothic" w:cs="MS Gothic"/>
        </w:rPr>
        <w:t>を</w:t>
      </w:r>
      <w:r>
        <w:rPr>
          <w:rFonts w:ascii="Microsoft YaHei" w:hAnsi="Microsoft YaHei" w:eastAsia="Microsoft YaHei" w:cs="Microsoft YaHei"/>
        </w:rPr>
        <w:t>支配</w:t>
      </w:r>
      <w:r>
        <w:rPr>
          <w:rFonts w:ascii="MS Gothic" w:hAnsi="MS Gothic" w:eastAsia="MS Gothic" w:cs="MS Gothic"/>
        </w:rPr>
        <w:t>するのである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Testimonies</w:t>
      </w:r>
      <w:r>
        <w:rPr>
          <w:rFonts w:ascii="Microsoft YaHei" w:hAnsi="Microsoft YaHei" w:eastAsia="Microsoft YaHei" w:cs="Microsoft YaHei"/>
        </w:rPr>
        <w:t>』第</w:t>
      </w:r>
      <w:r>
        <w:rPr>
          <w:rFonts w:ascii="Times New Roman" w:hAnsi="Times New Roman" w:eastAsia="Times New Roman" w:cs="Times New Roman"/>
        </w:rPr>
        <w:t>8</w:t>
      </w:r>
      <w:r>
        <w:rPr>
          <w:rFonts w:ascii="Microsoft YaHei" w:hAnsi="Microsoft YaHei" w:eastAsia="Microsoft YaHei" w:cs="Microsoft YaHei"/>
        </w:rPr>
        <w:t>巻</w:t>
      </w:r>
      <w:r>
        <w:rPr>
          <w:rFonts w:ascii="Times New Roman" w:hAnsi="Times New Roman" w:eastAsia="Times New Roman" w:cs="Times New Roman"/>
        </w:rPr>
        <w:t>249</w:t>
      </w:r>
      <w:r>
        <w:rPr>
          <w:rFonts w:ascii="Microsoft YaHei" w:hAnsi="Microsoft YaHei" w:eastAsia="Microsoft YaHei" w:cs="Microsoft YaHei"/>
        </w:rPr>
        <w:t>、</w:t>
      </w:r>
      <w:r>
        <w:rPr>
          <w:rFonts w:ascii="Times New Roman" w:hAnsi="Times New Roman" w:eastAsia="Times New Roman" w:cs="Times New Roman"/>
        </w:rPr>
        <w:t>250</w:t>
      </w:r>
      <w:r>
        <w:rPr>
          <w:rFonts w:ascii="Microsoft YaHei" w:hAnsi="Microsoft YaHei" w:eastAsia="Microsoft YaHei" w:cs="Microsoft YaHei"/>
        </w:rPr>
        <w:t>頁</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Nomoro Vochi-Nim Pankostë Pesë</dc:title>
  <dc:subject>Açıklamak Kehânetî Yolculuğu: Tarihsel Kilometre Taşlarının İlâhî Bağlantısı</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