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Quatre-vingt-six</w:t>
      </w:r>
    </w:p>
    <w:p>
      <w:pPr>
        <w:pStyle w:val="ArticleSubtitle"/>
        <w:jc w:val="left"/>
      </w:pPr>
      <w:r>
        <w:rPr>
          <w:rFonts w:ascii="Arial" w:hAnsi="Arial" w:eastAsia="Arial" w:cs="Arial"/>
        </w:rPr>
        <w:t>Læspælcendlic Onwrigennes: Tō Understondenne þæne Ēacenunge Þæs Cnōwleċes and Þone Midsihtes Clypunges Bōdskap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Ngayon ay tinatalakay natin ang pagkakatulad sa pagitan ng mga kilusan ng una at ikatlong anghel, upang higit na maunawaan kung ano ang sinasagisag ng pagdami ng kaalaman kapag ito ay nabuksan sa panahon ng kawakasan. Sinisikap nating ipakita na ito ay kumakatawan sa isang pagtaas ng katotohanan na sa wakas ay sumasapit sa sukdulan bilang huling ulan, na siyang mensahe ng Sigaw sa Hatinggabi. Bilang isang sagisag, ang “pagdami ng kaalaman” ay nagmumula sa aklat ni Daniel, at doon ito ay kinikilala bilang kaalamang panghula na sumusubok at lumilikha ng dalawang uri ng mga sumasamba.</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ሂድ፤</w:t>
      </w:r>
      <w:r>
        <w:rPr>
          <w:rFonts w:ascii="Times New Roman" w:hAnsi="Times New Roman" w:eastAsia="Times New Roman" w:cs="Times New Roman"/>
        </w:rPr>
        <w:t xml:space="preserve"> </w:t>
      </w:r>
      <w:r>
        <w:rPr>
          <w:rFonts w:ascii="Ebrima" w:hAnsi="Ebrima" w:eastAsia="Ebrima" w:cs="Ebrima"/>
        </w:rPr>
        <w:t>ቃላቱ</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ተዘግተውና</w:t>
      </w:r>
      <w:r>
        <w:rPr>
          <w:rFonts w:ascii="Times New Roman" w:hAnsi="Times New Roman" w:eastAsia="Times New Roman" w:cs="Times New Roman"/>
        </w:rPr>
        <w:t xml:space="preserve"> </w:t>
      </w:r>
      <w:r>
        <w:rPr>
          <w:rFonts w:ascii="Ebrima" w:hAnsi="Ebrima" w:eastAsia="Ebrima" w:cs="Ebrima"/>
        </w:rPr>
        <w:t>ታተሙ</w:t>
      </w:r>
      <w:r>
        <w:rPr>
          <w:rFonts w:ascii="Times New Roman" w:hAnsi="Times New Roman" w:eastAsia="Times New Roman" w:cs="Times New Roman"/>
        </w:rPr>
        <w:t xml:space="preserve"> </w:t>
      </w:r>
      <w:r>
        <w:rPr>
          <w:rFonts w:ascii="Ebrima" w:hAnsi="Ebrima" w:eastAsia="Ebrima" w:cs="Ebrima"/>
        </w:rPr>
        <w:t>ናቸውና።</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ይነጹ፥</w:t>
      </w:r>
      <w:r>
        <w:rPr>
          <w:rFonts w:ascii="Times New Roman" w:hAnsi="Times New Roman" w:eastAsia="Times New Roman" w:cs="Times New Roman"/>
        </w:rPr>
        <w:t xml:space="preserve"> </w:t>
      </w:r>
      <w:r>
        <w:rPr>
          <w:rFonts w:ascii="Ebrima" w:hAnsi="Ebrima" w:eastAsia="Ebrima" w:cs="Ebrima"/>
        </w:rPr>
        <w:t>ነጭም</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ይፈተኑማል፤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ኃጢአተኞች</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ያደርጋሉ፥</w:t>
      </w:r>
      <w:r>
        <w:rPr>
          <w:rFonts w:ascii="Times New Roman" w:hAnsi="Times New Roman" w:eastAsia="Times New Roman" w:cs="Times New Roman"/>
        </w:rPr>
        <w:t xml:space="preserve"> </w:t>
      </w:r>
      <w:r>
        <w:rPr>
          <w:rFonts w:ascii="Ebrima" w:hAnsi="Ebrima" w:eastAsia="Ebrima" w:cs="Ebrima"/>
        </w:rPr>
        <w:t>ከኃጢአተኞችም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ስንኳ</w:t>
      </w:r>
      <w:r>
        <w:rPr>
          <w:rFonts w:ascii="Times New Roman" w:hAnsi="Times New Roman" w:eastAsia="Times New Roman" w:cs="Times New Roman"/>
        </w:rPr>
        <w:t xml:space="preserve"> </w:t>
      </w:r>
      <w:r>
        <w:rPr>
          <w:rFonts w:ascii="Ebrima" w:hAnsi="Ebrima" w:eastAsia="Ebrima" w:cs="Ebrima"/>
        </w:rPr>
        <w:t>አያስተውልም፤</w:t>
      </w:r>
      <w:r>
        <w:rPr>
          <w:rFonts w:ascii="Times New Roman" w:hAnsi="Times New Roman" w:eastAsia="Times New Roman" w:cs="Times New Roman"/>
        </w:rPr>
        <w:t xml:space="preserve"> </w:t>
      </w:r>
      <w:r>
        <w:rPr>
          <w:rFonts w:ascii="Ebrima" w:hAnsi="Ebrima" w:eastAsia="Ebrima" w:cs="Ebrima"/>
        </w:rPr>
        <w:t>ጥበበኞች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ያስተውላሉ።</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12</w:t>
      </w:r>
      <w:r>
        <w:rPr>
          <w:rFonts w:ascii="Ebrima" w:hAnsi="Ebrima" w:eastAsia="Ebrima" w:cs="Ebrima"/>
        </w:rPr>
        <w:t>፥</w:t>
      </w:r>
      <w:r>
        <w:rPr>
          <w:rFonts w:ascii="Times New Roman" w:hAnsi="Times New Roman" w:eastAsia="Times New Roman" w:cs="Times New Roman"/>
        </w:rPr>
        <w:t>9-10</w:t>
      </w:r>
      <w:r>
        <w:rPr>
          <w:rFonts w:ascii="Ebrima" w:hAnsi="Ebrima" w:eastAsia="Ebrima" w:cs="Ebrima"/>
        </w:rPr>
        <w:t>።</w:t>
      </w:r>
    </w:p>
    <w:p>
      <w:pPr>
        <w:pStyle w:val="ArticleBody"/>
        <w:jc w:val="left"/>
      </w:pPr>
      <w:r>
        <w:rPr>
          <w:rFonts w:ascii="Times New Roman" w:hAnsi="Times New Roman" w:eastAsia="Times New Roman" w:cs="Times New Roman"/>
        </w:rPr>
        <w:t>1989</w:t>
      </w:r>
      <w:r>
        <w:rPr>
          <w:rFonts w:ascii="Microsoft YaHei" w:hAnsi="Microsoft YaHei" w:eastAsia="Microsoft YaHei" w:cs="Microsoft YaHei"/>
        </w:rPr>
        <w:t>年、最終的</w:t>
      </w:r>
      <w:r>
        <w:rPr>
          <w:rFonts w:ascii="MS Gothic" w:hAnsi="MS Gothic" w:eastAsia="MS Gothic" w:cs="MS Gothic"/>
        </w:rPr>
        <w:t>に</w:t>
      </w:r>
      <w:r>
        <w:rPr>
          <w:rFonts w:ascii="Microsoft YaHei" w:hAnsi="Microsoft YaHei" w:eastAsia="Microsoft YaHei" w:cs="Microsoft YaHei"/>
        </w:rPr>
        <w:t>二種類</w:t>
      </w:r>
      <w:r>
        <w:rPr>
          <w:rFonts w:ascii="MS Gothic" w:hAnsi="MS Gothic" w:eastAsia="MS Gothic" w:cs="MS Gothic"/>
        </w:rPr>
        <w:t>の</w:t>
      </w:r>
      <w:r>
        <w:rPr>
          <w:rFonts w:ascii="Microsoft YaHei" w:hAnsi="Microsoft YaHei" w:eastAsia="Microsoft YaHei" w:cs="Microsoft YaHei"/>
        </w:rPr>
        <w:t>礼拝者</w:t>
      </w:r>
      <w:r>
        <w:rPr>
          <w:rFonts w:ascii="MS Gothic" w:hAnsi="MS Gothic" w:eastAsia="MS Gothic" w:cs="MS Gothic"/>
        </w:rPr>
        <w:t>を</w:t>
      </w:r>
      <w:r>
        <w:rPr>
          <w:rFonts w:ascii="Microsoft YaHei" w:hAnsi="Microsoft YaHei" w:eastAsia="Microsoft YaHei" w:cs="Microsoft YaHei"/>
        </w:rPr>
        <w:t>明</w:t>
      </w:r>
      <w:r>
        <w:rPr>
          <w:rFonts w:ascii="MS Gothic" w:hAnsi="MS Gothic" w:eastAsia="MS Gothic" w:cs="MS Gothic"/>
        </w:rPr>
        <w:t>らかにすることになる</w:t>
      </w:r>
      <w:r>
        <w:rPr>
          <w:rFonts w:ascii="Microsoft YaHei" w:hAnsi="Microsoft YaHei" w:eastAsia="Microsoft YaHei" w:cs="Microsoft YaHei"/>
        </w:rPr>
        <w:t>「知識</w:t>
      </w:r>
      <w:r>
        <w:rPr>
          <w:rFonts w:ascii="MS Gothic" w:hAnsi="MS Gothic" w:eastAsia="MS Gothic" w:cs="MS Gothic"/>
        </w:rPr>
        <w:t>の</w:t>
      </w:r>
      <w:r>
        <w:rPr>
          <w:rFonts w:ascii="Microsoft YaHei" w:hAnsi="Microsoft YaHei" w:eastAsia="Microsoft YaHei" w:cs="Microsoft YaHei"/>
        </w:rPr>
        <w:t>増加」</w:t>
      </w:r>
      <w:r>
        <w:rPr>
          <w:rFonts w:ascii="MS Gothic" w:hAnsi="MS Gothic" w:eastAsia="MS Gothic" w:cs="MS Gothic"/>
        </w:rPr>
        <w:t>が</w:t>
      </w:r>
      <w:r>
        <w:rPr>
          <w:rFonts w:ascii="Microsoft YaHei" w:hAnsi="Microsoft YaHei" w:eastAsia="Microsoft YaHei" w:cs="Microsoft YaHei"/>
        </w:rPr>
        <w:t>解</w:t>
      </w:r>
      <w:r>
        <w:rPr>
          <w:rFonts w:ascii="MS Gothic" w:hAnsi="MS Gothic" w:eastAsia="MS Gothic" w:cs="MS Gothic"/>
        </w:rPr>
        <w:t>き</w:t>
      </w:r>
      <w:r>
        <w:rPr>
          <w:rFonts w:ascii="Microsoft YaHei" w:hAnsi="Microsoft YaHei" w:eastAsia="Microsoft YaHei" w:cs="Microsoft YaHei"/>
        </w:rPr>
        <w:t>明</w:t>
      </w:r>
      <w:r>
        <w:rPr>
          <w:rFonts w:ascii="MS Gothic" w:hAnsi="MS Gothic" w:eastAsia="MS Gothic" w:cs="MS Gothic"/>
        </w:rPr>
        <w:t>かされた</w:t>
      </w:r>
      <w:r>
        <w:rPr>
          <w:rFonts w:ascii="Times New Roman" w:hAnsi="Times New Roman" w:eastAsia="Times New Roman" w:cs="Times New Roman"/>
        </w:rPr>
        <w:t>.</w:t>
      </w:r>
      <w:r>
        <w:rPr>
          <w:rFonts w:ascii="MS Gothic" w:hAnsi="MS Gothic" w:eastAsia="MS Gothic" w:cs="MS Gothic"/>
        </w:rPr>
        <w:t>これら</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階級</w:t>
      </w:r>
      <w:r>
        <w:rPr>
          <w:rFonts w:ascii="MS Gothic" w:hAnsi="MS Gothic" w:eastAsia="MS Gothic" w:cs="MS Gothic"/>
        </w:rPr>
        <w:t>は</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のメッセージに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彼</w:t>
      </w:r>
      <w:r>
        <w:rPr>
          <w:rFonts w:ascii="MS Gothic" w:hAnsi="MS Gothic" w:eastAsia="MS Gothic" w:cs="MS Gothic"/>
        </w:rPr>
        <w:t>らがいかに</w:t>
      </w:r>
      <w:r>
        <w:rPr>
          <w:rFonts w:ascii="Microsoft YaHei" w:hAnsi="Microsoft YaHei" w:eastAsia="Microsoft YaHei" w:cs="Microsoft YaHei"/>
        </w:rPr>
        <w:t>関</w:t>
      </w:r>
      <w:r>
        <w:rPr>
          <w:rFonts w:ascii="MS Gothic" w:hAnsi="MS Gothic" w:eastAsia="MS Gothic" w:cs="MS Gothic"/>
        </w:rPr>
        <w:t>わるかという</w:t>
      </w:r>
      <w:r>
        <w:rPr>
          <w:rFonts w:ascii="Microsoft YaHei" w:hAnsi="Microsoft YaHei" w:eastAsia="Microsoft YaHei" w:cs="Microsoft YaHei"/>
        </w:rPr>
        <w:t>文脈</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例証</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悪</w:t>
      </w:r>
      <w:r>
        <w:rPr>
          <w:rFonts w:ascii="MS Gothic" w:hAnsi="MS Gothic" w:eastAsia="MS Gothic" w:cs="MS Gothic"/>
        </w:rPr>
        <w:t>しき</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を</w:t>
      </w:r>
      <w:r>
        <w:rPr>
          <w:rFonts w:ascii="Microsoft YaHei" w:hAnsi="Microsoft YaHei" w:eastAsia="Microsoft YaHei" w:cs="Microsoft YaHei"/>
        </w:rPr>
        <w:t>認識</w:t>
      </w:r>
      <w:r>
        <w:rPr>
          <w:rFonts w:ascii="MS Gothic" w:hAnsi="MS Gothic" w:eastAsia="MS Gothic" w:cs="MS Gothic"/>
        </w:rPr>
        <w:t>せず</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れないが</w:t>
      </w:r>
      <w:r>
        <w:rPr>
          <w:rFonts w:ascii="Microsoft YaHei" w:hAnsi="Microsoft YaHei" w:eastAsia="Microsoft YaHei" w:cs="Microsoft YaHei"/>
        </w:rPr>
        <w:t>、賢</w:t>
      </w:r>
      <w:r>
        <w:rPr>
          <w:rFonts w:ascii="MS Gothic" w:hAnsi="MS Gothic" w:eastAsia="MS Gothic" w:cs="MS Gothic"/>
        </w:rPr>
        <w:t>い</w:t>
      </w:r>
      <w:r>
        <w:rPr>
          <w:rFonts w:ascii="Microsoft YaHei" w:hAnsi="Microsoft YaHei" w:eastAsia="Microsoft YaHei" w:cs="Microsoft YaHei"/>
        </w:rPr>
        <w:t>者</w:t>
      </w:r>
      <w:r>
        <w:rPr>
          <w:rFonts w:ascii="MS Gothic" w:hAnsi="MS Gothic" w:eastAsia="MS Gothic" w:cs="MS Gothic"/>
        </w:rPr>
        <w:t>はこれを</w:t>
      </w:r>
      <w:r>
        <w:rPr>
          <w:rFonts w:ascii="Microsoft YaHei" w:hAnsi="Microsoft YaHei" w:eastAsia="Microsoft YaHei" w:cs="Microsoft YaHei"/>
        </w:rPr>
        <w:t>認識</w:t>
      </w:r>
      <w:r>
        <w:rPr>
          <w:rFonts w:ascii="MS Gothic" w:hAnsi="MS Gothic" w:eastAsia="MS Gothic" w:cs="MS Gothic"/>
        </w:rPr>
        <w:t>し</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れる</w:t>
      </w:r>
      <w:r>
        <w:rPr>
          <w:rFonts w:ascii="Times New Roman" w:hAnsi="Times New Roman" w:eastAsia="Times New Roman" w:cs="Times New Roman"/>
        </w:rPr>
        <w:t>.</w:t>
      </w:r>
      <w:r>
        <w:rPr>
          <w:rFonts w:ascii="MS Gothic" w:hAnsi="MS Gothic" w:eastAsia="MS Gothic" w:cs="MS Gothic"/>
        </w:rPr>
        <w:t>したがって</w:t>
      </w:r>
      <w:r>
        <w:rPr>
          <w:rFonts w:ascii="Microsoft YaHei" w:hAnsi="Microsoft YaHei" w:eastAsia="Microsoft YaHei" w:cs="Microsoft YaHei"/>
        </w:rPr>
        <w:t>悪</w:t>
      </w:r>
      <w:r>
        <w:rPr>
          <w:rFonts w:ascii="MS Gothic" w:hAnsi="MS Gothic" w:eastAsia="MS Gothic" w:cs="MS Gothic"/>
        </w:rPr>
        <w:t>しき</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が</w:t>
      </w:r>
      <w:r>
        <w:rPr>
          <w:rFonts w:ascii="Microsoft YaHei" w:hAnsi="Microsoft YaHei" w:eastAsia="Microsoft YaHei" w:cs="Microsoft YaHei"/>
        </w:rPr>
        <w:t>降</w:t>
      </w:r>
      <w:r>
        <w:rPr>
          <w:rFonts w:ascii="MS Gothic" w:hAnsi="MS Gothic" w:eastAsia="MS Gothic" w:cs="MS Gothic"/>
        </w:rPr>
        <w:t>り</w:t>
      </w:r>
      <w:r>
        <w:rPr>
          <w:rFonts w:ascii="Microsoft YaHei" w:hAnsi="Microsoft YaHei" w:eastAsia="Microsoft YaHei" w:cs="Microsoft YaHei"/>
        </w:rPr>
        <w:t>始</w:t>
      </w:r>
      <w:r>
        <w:rPr>
          <w:rFonts w:ascii="MS Gothic" w:hAnsi="MS Gothic" w:eastAsia="MS Gothic" w:cs="MS Gothic"/>
        </w:rPr>
        <w:t>める</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見分</w:t>
      </w:r>
      <w:r>
        <w:rPr>
          <w:rFonts w:ascii="MS Gothic" w:hAnsi="MS Gothic" w:eastAsia="MS Gothic" w:cs="MS Gothic"/>
        </w:rPr>
        <w:t>けない</w:t>
      </w:r>
      <w:r>
        <w:rPr>
          <w:rFonts w:ascii="Times New Roman" w:hAnsi="Times New Roman" w:eastAsia="Times New Roman" w:cs="Times New Roman"/>
        </w:rPr>
        <w:t>.</w:t>
      </w:r>
      <w:r>
        <w:rPr>
          <w:rFonts w:ascii="MS Gothic" w:hAnsi="MS Gothic" w:eastAsia="MS Gothic" w:cs="MS Gothic"/>
        </w:rPr>
        <w:t>そしてそれは</w:t>
      </w:r>
      <w:r>
        <w:rPr>
          <w:rFonts w:ascii="Microsoft YaHei" w:hAnsi="Microsoft YaHei" w:eastAsia="Microsoft YaHei" w:cs="Microsoft YaHei"/>
        </w:rPr>
        <w:t>、</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諸国民</w:t>
      </w:r>
      <w:r>
        <w:rPr>
          <w:rFonts w:ascii="MS Gothic" w:hAnsi="MS Gothic" w:eastAsia="MS Gothic" w:cs="MS Gothic"/>
        </w:rPr>
        <w:t>が</w:t>
      </w:r>
      <w:r>
        <w:rPr>
          <w:rFonts w:ascii="Microsoft YaHei" w:hAnsi="Microsoft YaHei" w:eastAsia="Microsoft YaHei" w:cs="Microsoft YaHei"/>
        </w:rPr>
        <w:t>怒</w:t>
      </w:r>
      <w:r>
        <w:rPr>
          <w:rFonts w:ascii="MS Gothic" w:hAnsi="MS Gothic" w:eastAsia="MS Gothic" w:cs="MS Gothic"/>
        </w:rPr>
        <w:t>った</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降</w:t>
      </w:r>
      <w:r>
        <w:rPr>
          <w:rFonts w:ascii="MS Gothic" w:hAnsi="MS Gothic" w:eastAsia="MS Gothic" w:cs="MS Gothic"/>
        </w:rPr>
        <w:t>り</w:t>
      </w:r>
      <w:r>
        <w:rPr>
          <w:rFonts w:ascii="Microsoft YaHei" w:hAnsi="Microsoft YaHei" w:eastAsia="Microsoft YaHei" w:cs="Microsoft YaHei"/>
        </w:rPr>
        <w:t>始</w:t>
      </w:r>
      <w:r>
        <w:rPr>
          <w:rFonts w:ascii="MS Gothic" w:hAnsi="MS Gothic" w:eastAsia="MS Gothic" w:cs="MS Gothic"/>
        </w:rPr>
        <w:t>めたのである</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エゼキエル</w:t>
      </w:r>
      <w:r>
        <w:rPr>
          <w:rFonts w:ascii="Microsoft YaHei" w:hAnsi="Microsoft YaHei" w:eastAsia="Microsoft YaHei" w:cs="Microsoft YaHei"/>
        </w:rPr>
        <w:t>書第八章</w:t>
      </w:r>
      <w:r>
        <w:rPr>
          <w:rFonts w:ascii="MS Gothic" w:hAnsi="MS Gothic" w:eastAsia="MS Gothic" w:cs="MS Gothic"/>
        </w:rPr>
        <w:t>および</w:t>
      </w:r>
      <w:r>
        <w:rPr>
          <w:rFonts w:ascii="Microsoft YaHei" w:hAnsi="Microsoft YaHei" w:eastAsia="Microsoft YaHei" w:cs="Microsoft YaHei"/>
        </w:rPr>
        <w:t>第九章、</w:t>
      </w:r>
      <w:r>
        <w:rPr>
          <w:rFonts w:ascii="MS Gothic" w:hAnsi="MS Gothic" w:eastAsia="MS Gothic" w:cs="MS Gothic"/>
        </w:rPr>
        <w:t>またイザヤ</w:t>
      </w:r>
      <w:r>
        <w:rPr>
          <w:rFonts w:ascii="Microsoft YaHei" w:hAnsi="Microsoft YaHei" w:eastAsia="Microsoft YaHei" w:cs="Microsoft YaHei"/>
        </w:rPr>
        <w:t>書第二十八章</w:t>
      </w:r>
      <w:r>
        <w:rPr>
          <w:rFonts w:ascii="MS Gothic" w:hAnsi="MS Gothic" w:eastAsia="MS Gothic" w:cs="MS Gothic"/>
        </w:rPr>
        <w:t>に</w:t>
      </w:r>
      <w:r>
        <w:rPr>
          <w:rFonts w:ascii="Microsoft YaHei" w:hAnsi="Microsoft YaHei" w:eastAsia="Microsoft YaHei" w:cs="Microsoft YaHei"/>
        </w:rPr>
        <w:t>表象</w:t>
      </w:r>
      <w:r>
        <w:rPr>
          <w:rFonts w:ascii="MS Gothic" w:hAnsi="MS Gothic" w:eastAsia="MS Gothic" w:cs="MS Gothic"/>
        </w:rPr>
        <w:t>されている</w:t>
      </w:r>
      <w:r>
        <w:rPr>
          <w:rFonts w:ascii="Microsoft YaHei" w:hAnsi="Microsoft YaHei" w:eastAsia="Microsoft YaHei" w:cs="Microsoft YaHei"/>
        </w:rPr>
        <w:t>、</w:t>
      </w:r>
      <w:r>
        <w:rPr>
          <w:rFonts w:ascii="MS Gothic" w:hAnsi="MS Gothic" w:eastAsia="MS Gothic" w:cs="MS Gothic"/>
        </w:rPr>
        <w:t>ラオデキヤ</w:t>
      </w:r>
      <w:r>
        <w:rPr>
          <w:rFonts w:ascii="Microsoft YaHei" w:hAnsi="Microsoft YaHei" w:eastAsia="Microsoft YaHei" w:cs="Microsoft YaHei"/>
        </w:rPr>
        <w:t>的再臨信仰</w:t>
      </w:r>
      <w:r>
        <w:rPr>
          <w:rFonts w:ascii="MS Gothic" w:hAnsi="MS Gothic" w:eastAsia="MS Gothic" w:cs="MS Gothic"/>
        </w:rPr>
        <w:t>の</w:t>
      </w:r>
      <w:r>
        <w:rPr>
          <w:rFonts w:ascii="Microsoft YaHei" w:hAnsi="Microsoft YaHei" w:eastAsia="Microsoft YaHei" w:cs="Microsoft YaHei"/>
        </w:rPr>
        <w:t>指導部</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けて</w:t>
      </w:r>
      <w:r>
        <w:rPr>
          <w:rFonts w:ascii="Microsoft YaHei" w:hAnsi="Microsoft YaHei" w:eastAsia="Microsoft YaHei" w:cs="Microsoft YaHei"/>
        </w:rPr>
        <w:t>語</w:t>
      </w:r>
      <w:r>
        <w:rPr>
          <w:rFonts w:ascii="MS Gothic" w:hAnsi="MS Gothic" w:eastAsia="MS Gothic" w:cs="MS Gothic"/>
        </w:rPr>
        <w:t>ってきた</w:t>
      </w:r>
      <w:r>
        <w:rPr>
          <w:rFonts w:ascii="Times New Roman" w:hAnsi="Times New Roman" w:eastAsia="Times New Roman" w:cs="Times New Roman"/>
        </w:rPr>
        <w:t>.</w:t>
      </w:r>
      <w:r>
        <w:rPr>
          <w:rFonts w:ascii="MS Gothic" w:hAnsi="MS Gothic" w:eastAsia="MS Gothic" w:cs="MS Gothic"/>
        </w:rPr>
        <w:t>イザヤ</w:t>
      </w:r>
      <w:r>
        <w:rPr>
          <w:rFonts w:ascii="Microsoft YaHei" w:hAnsi="Microsoft YaHei" w:eastAsia="Microsoft YaHei" w:cs="Microsoft YaHei"/>
        </w:rPr>
        <w:t>書</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あざける</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「偽</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をその</w:t>
      </w:r>
      <w:r>
        <w:rPr>
          <w:rFonts w:ascii="Microsoft YaHei" w:hAnsi="Microsoft YaHei" w:eastAsia="Microsoft YaHei" w:cs="Microsoft YaHei"/>
        </w:rPr>
        <w:t>「避</w:t>
      </w:r>
      <w:r>
        <w:rPr>
          <w:rFonts w:ascii="MS Gothic" w:hAnsi="MS Gothic" w:eastAsia="MS Gothic" w:cs="MS Gothic"/>
        </w:rPr>
        <w:t>け</w:t>
      </w:r>
      <w:r>
        <w:rPr>
          <w:rFonts w:ascii="Microsoft YaHei" w:hAnsi="Microsoft YaHei" w:eastAsia="Microsoft YaHei" w:cs="Microsoft YaHei"/>
        </w:rPr>
        <w:t>所」</w:t>
      </w:r>
      <w:r>
        <w:rPr>
          <w:rFonts w:ascii="MS Gothic" w:hAnsi="MS Gothic" w:eastAsia="MS Gothic" w:cs="MS Gothic"/>
        </w:rPr>
        <w:t>とし</w:t>
      </w:r>
      <w:r>
        <w:rPr>
          <w:rFonts w:ascii="Microsoft YaHei" w:hAnsi="Microsoft YaHei" w:eastAsia="Microsoft YaHei" w:cs="Microsoft YaHei"/>
        </w:rPr>
        <w:t>、「虚偽」</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に</w:t>
      </w:r>
      <w:r>
        <w:rPr>
          <w:rFonts w:ascii="Microsoft YaHei" w:hAnsi="Microsoft YaHei" w:eastAsia="Microsoft YaHei" w:cs="Microsoft YaHei"/>
        </w:rPr>
        <w:t>身</w:t>
      </w:r>
      <w:r>
        <w:rPr>
          <w:rFonts w:ascii="MS Gothic" w:hAnsi="MS Gothic" w:eastAsia="MS Gothic" w:cs="MS Gothic"/>
        </w:rPr>
        <w:t>を</w:t>
      </w:r>
      <w:r>
        <w:rPr>
          <w:rFonts w:ascii="Microsoft YaHei" w:hAnsi="Microsoft YaHei" w:eastAsia="Microsoft YaHei" w:cs="Microsoft YaHei"/>
        </w:rPr>
        <w:t>「隠</w:t>
      </w:r>
      <w:r>
        <w:rPr>
          <w:rFonts w:ascii="MS Gothic" w:hAnsi="MS Gothic" w:eastAsia="MS Gothic" w:cs="MS Gothic"/>
        </w:rPr>
        <w:t>した</w:t>
      </w:r>
      <w:r>
        <w:rPr>
          <w:rFonts w:ascii="Microsoft YaHei" w:hAnsi="Microsoft YaHei" w:eastAsia="Microsoft YaHei" w:cs="Microsoft YaHei"/>
        </w:rPr>
        <w:t>」</w:t>
      </w:r>
      <w:r>
        <w:rPr>
          <w:rFonts w:ascii="MS Gothic" w:hAnsi="MS Gothic" w:eastAsia="MS Gothic" w:cs="MS Gothic"/>
        </w:rPr>
        <w:t>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Kaya nga, pakinggan ninyo ang salita ng Panginoon, kayong mga mapanlibak na lalaki, na namumuno sa bayang ito na nasa Jerusalem. Sapagkat inyong sinabi, Kami ay nakipagtipan sa kamatayan, at kami ay may kasunduan sa impiyerno; kapag ang rumaragasang salot ay dumaan, iyon ay hindi darating sa amin: sapagkat ginawa naming kanlungan ang mga kasinungalingan, at sa ilalim ng kabulaanan ay nagtago kami. Isaias 28:14, 15.</w:t>
      </w:r>
    </w:p>
    <w:p>
      <w:pPr>
        <w:pStyle w:val="ArticleBody"/>
        <w:jc w:val="left"/>
      </w:pPr>
      <w:r>
        <w:rPr>
          <w:rFonts w:ascii="Times New Roman" w:hAnsi="Times New Roman" w:eastAsia="Times New Roman" w:cs="Times New Roman"/>
        </w:rPr>
        <w:t>Ang mga sinaunang lalaki ng Jerusalem sa mga huling araw ay bumabagsak sa pagsubok ng “kapahingahan at kaginhawahan” na inilalarawan ng metodolohiyang “utos sa utos,” na nagbibigay-daan sa marurunong na makilala ang huling ulan ng mga huling araw, sa pamamagitan ng makasaysayang paglalarawan ng huling ulan sa kasaysayang Millerita. Ang makahulang katangian ng “mga mapanuyang lalaki” na binibigyang-diin ni Isaias sa talata ay ang mga kasinungalingan at kabulaanang kanilang ikinubli sa ilalim nito at ginawang kanilang kanlungan. Kaya nga, kaugnay ng pagsubok ng mensahe ng huling ulan (ang kapahingahan at kaginhawahan na ayaw nilang pakinggan), ang mga sinaunang lalaki ng Jerusalem ay tumanggap ng isang kasinungalingan.</w:t>
      </w:r>
    </w:p>
    <w:p>
      <w:pPr>
        <w:pStyle w:val="ArticleBody"/>
        <w:jc w:val="left"/>
      </w:pPr>
      <w:r>
        <w:rPr>
          <w:rFonts w:ascii="Times New Roman" w:hAnsi="Times New Roman" w:eastAsia="Times New Roman" w:cs="Times New Roman"/>
        </w:rPr>
        <w:t>Saƙon ruwan sama na ƙarshe ya zo tare da muhawara, kamar yadda aka wakilta a cikin Habakkuk sura ta biyu, inda mai tsaro a can yake tambayar Allah abin da ya kamata ya amsa a cikin “muhawara” ta tarihinsa, gama kalmar “reproved” a aya ta ɗaya ta sura ta biyu na nufin “argued with”.</w:t>
      </w:r>
    </w:p>
    <w:p>
      <w:pPr>
        <w:pStyle w:val="ArticleScripture"/>
        <w:jc w:val="left"/>
      </w:pPr>
      <w:r>
        <w:rPr>
          <w:rFonts w:ascii="Times New Roman" w:hAnsi="Times New Roman" w:eastAsia="Times New Roman" w:cs="Times New Roman"/>
        </w:rPr>
        <w:t>Je me tiendrai à mon poste de garde, je me placerai sur la tour, et je veillerai pour voir ce qu’il me dira, et ce que je répondrai quand je serai repris. Habacuc 2:1.</w:t>
      </w:r>
    </w:p>
    <w:p>
      <w:pPr>
        <w:pStyle w:val="ArticleBody"/>
        <w:jc w:val="left"/>
      </w:pPr>
      <w:r>
        <w:rPr>
          <w:rFonts w:ascii="Times New Roman" w:hAnsi="Times New Roman" w:eastAsia="Times New Roman" w:cs="Times New Roman"/>
        </w:rPr>
        <w:t>‘Akpafoɔ no, wɔ awieeɛ osutɔ a ɛtɔ akyiri no ho akyinnyeɛ no mu no, de nokorɛ a wɔde gyina hɔ ma sɛ Miller ahuhuro no to gua, a ɛno ara nso ne nokorɛ ahorow a ɛyɛ fapem a Millerfoɔ no huu, de sii hɔ, na wɔde too gua no. Wɔde saa nokorɛ ahorow no gyina hɔ ma sɛ Kristo, Daa Botan no.</w:t>
      </w:r>
    </w:p>
    <w:p>
      <w:pPr>
        <w:pStyle w:val="ArticleScripture"/>
        <w:jc w:val="left"/>
      </w:pPr>
      <w:r>
        <w:rPr>
          <w:rFonts w:ascii="Times New Roman" w:hAnsi="Times New Roman" w:eastAsia="Times New Roman" w:cs="Times New Roman"/>
        </w:rPr>
        <w:t>«Lass diejenigen, die als Gottes Wächter auf den Mauern Zions stehen, Männer sein, die die Gefahren vor dem Volk erkennen können,—Männer, die zwischen Wahrheit und Irrtum, Gerechtigkeit und Ungerechtigkeit unterscheiden können.»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ការព្រមានបានមកដល់ហើយ៖</w:t>
      </w:r>
      <w:r>
        <w:rPr>
          <w:rFonts w:ascii="Times New Roman" w:hAnsi="Times New Roman" w:eastAsia="Times New Roman" w:cs="Times New Roman"/>
        </w:rPr>
        <w:t xml:space="preserve"> </w:t>
      </w:r>
      <w:r>
        <w:rPr>
          <w:rFonts w:ascii="Leelawadee UI" w:hAnsi="Leelawadee UI" w:eastAsia="Leelawadee UI" w:cs="Leelawadee UI"/>
        </w:rPr>
        <w:t>មិនត្រូវអនុញ្ញាតឲ្យអ្វីមួយណាចូលមក</w:t>
      </w:r>
      <w:r>
        <w:rPr>
          <w:rFonts w:ascii="Times New Roman" w:hAnsi="Times New Roman" w:eastAsia="Times New Roman" w:cs="Times New Roman"/>
        </w:rPr>
        <w:t xml:space="preserve"> </w:t>
      </w:r>
      <w:r>
        <w:rPr>
          <w:rFonts w:ascii="Leelawadee UI" w:hAnsi="Leelawadee UI" w:eastAsia="Leelawadee UI" w:cs="Leelawadee UI"/>
        </w:rPr>
        <w:t>ដែលនឹងរំខានដល់មូលដ្ឋាននៃសេចក្ដីជំនឿ</w:t>
      </w:r>
      <w:r>
        <w:rPr>
          <w:rFonts w:ascii="Times New Roman" w:hAnsi="Times New Roman" w:eastAsia="Times New Roman" w:cs="Times New Roman"/>
        </w:rPr>
        <w:t xml:space="preserve"> </w:t>
      </w:r>
      <w:r>
        <w:rPr>
          <w:rFonts w:ascii="Leelawadee UI" w:hAnsi="Leelawadee UI" w:eastAsia="Leelawadee UI" w:cs="Leelawadee UI"/>
        </w:rPr>
        <w:t>ដែលយើងបានកំពុងស្ថាបនាលើវា</w:t>
      </w:r>
      <w:r>
        <w:rPr>
          <w:rFonts w:ascii="Times New Roman" w:hAnsi="Times New Roman" w:eastAsia="Times New Roman" w:cs="Times New Roman"/>
        </w:rPr>
        <w:t xml:space="preserve"> </w:t>
      </w:r>
      <w:r>
        <w:rPr>
          <w:rFonts w:ascii="Leelawadee UI" w:hAnsi="Leelawadee UI" w:eastAsia="Leelawadee UI" w:cs="Leelawadee UI"/>
        </w:rPr>
        <w:t>តាំងពីពេលសារនោះបានមកនៅឆ្នាំ</w:t>
      </w:r>
      <w:r>
        <w:rPr>
          <w:rFonts w:ascii="Times New Roman" w:hAnsi="Times New Roman" w:eastAsia="Times New Roman" w:cs="Times New Roman"/>
        </w:rPr>
        <w:t xml:space="preserve"> 1842, 1843, </w:t>
      </w:r>
      <w:r>
        <w:rPr>
          <w:rFonts w:ascii="Leelawadee UI" w:hAnsi="Leelawadee UI" w:eastAsia="Leelawadee UI" w:cs="Leelawadee UI"/>
        </w:rPr>
        <w:t>និង</w:t>
      </w:r>
      <w:r>
        <w:rPr>
          <w:rFonts w:ascii="Times New Roman" w:hAnsi="Times New Roman" w:eastAsia="Times New Roman" w:cs="Times New Roman"/>
        </w:rPr>
        <w:t xml:space="preserve"> 1844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ខ្ញុំបានស្ថិតនៅក្នុងសារនេះ</w:t>
      </w:r>
      <w:r>
        <w:rPr>
          <w:rFonts w:ascii="Times New Roman" w:hAnsi="Times New Roman" w:eastAsia="Times New Roman" w:cs="Times New Roman"/>
        </w:rPr>
        <w:t xml:space="preserve"> </w:t>
      </w:r>
      <w:r>
        <w:rPr>
          <w:rFonts w:ascii="Leelawadee UI" w:hAnsi="Leelawadee UI" w:eastAsia="Leelawadee UI" w:cs="Leelawadee UI"/>
        </w:rPr>
        <w:t>ហើយតាំងពីពេលនោះមក</w:t>
      </w:r>
      <w:r>
        <w:rPr>
          <w:rFonts w:ascii="Times New Roman" w:hAnsi="Times New Roman" w:eastAsia="Times New Roman" w:cs="Times New Roman"/>
        </w:rPr>
        <w:t xml:space="preserve"> </w:t>
      </w:r>
      <w:r>
        <w:rPr>
          <w:rFonts w:ascii="Leelawadee UI" w:hAnsi="Leelawadee UI" w:eastAsia="Leelawadee UI" w:cs="Leelawadee UI"/>
        </w:rPr>
        <w:t>ខ្ញុំបានឈរនៅចំពោះមុខលោកិយ</w:t>
      </w:r>
      <w:r>
        <w:rPr>
          <w:rFonts w:ascii="Times New Roman" w:hAnsi="Times New Roman" w:eastAsia="Times New Roman" w:cs="Times New Roman"/>
        </w:rPr>
        <w:t xml:space="preserve"> </w:t>
      </w:r>
      <w:r>
        <w:rPr>
          <w:rFonts w:ascii="Leelawadee UI" w:hAnsi="Leelawadee UI" w:eastAsia="Leelawadee UI" w:cs="Leelawadee UI"/>
        </w:rPr>
        <w:t>ដោយស្មោះត្រង់ចំពោះពន្លឺដែលព្រះបានប្រទានឲ្យយើង។</w:t>
      </w:r>
      <w:r>
        <w:rPr>
          <w:rFonts w:ascii="Times New Roman" w:hAnsi="Times New Roman" w:eastAsia="Times New Roman" w:cs="Times New Roman"/>
        </w:rPr>
        <w:t xml:space="preserve"> </w:t>
      </w:r>
      <w:r>
        <w:rPr>
          <w:rFonts w:ascii="Leelawadee UI" w:hAnsi="Leelawadee UI" w:eastAsia="Leelawadee UI" w:cs="Leelawadee UI"/>
        </w:rPr>
        <w:t>យើងមិនមានបំណងដកជើងរបស់យើងចេញពីវេទិកាដែលជើងទាំងនោះត្រូវបានដាក់លើវា</w:t>
      </w:r>
      <w:r>
        <w:rPr>
          <w:rFonts w:ascii="Times New Roman" w:hAnsi="Times New Roman" w:eastAsia="Times New Roman" w:cs="Times New Roman"/>
        </w:rPr>
        <w:t xml:space="preserve"> </w:t>
      </w:r>
      <w:r>
        <w:rPr>
          <w:rFonts w:ascii="Leelawadee UI" w:hAnsi="Leelawadee UI" w:eastAsia="Leelawadee UI" w:cs="Leelawadee UI"/>
        </w:rPr>
        <w:t>ខណៈដែលពីមួយថ្ងៃទៅមួយថ្ងៃ</w:t>
      </w:r>
      <w:r>
        <w:rPr>
          <w:rFonts w:ascii="Times New Roman" w:hAnsi="Times New Roman" w:eastAsia="Times New Roman" w:cs="Times New Roman"/>
        </w:rPr>
        <w:t xml:space="preserve"> </w:t>
      </w:r>
      <w:r>
        <w:rPr>
          <w:rFonts w:ascii="Leelawadee UI" w:hAnsi="Leelawadee UI" w:eastAsia="Leelawadee UI" w:cs="Leelawadee UI"/>
        </w:rPr>
        <w:t>យើងបានស្វែងរកព្រះអម្ចាស់ដោយការអធិស្ឋានយ៉ាងទទូច</w:t>
      </w:r>
      <w:r>
        <w:rPr>
          <w:rFonts w:ascii="Times New Roman" w:hAnsi="Times New Roman" w:eastAsia="Times New Roman" w:cs="Times New Roman"/>
        </w:rPr>
        <w:t xml:space="preserve"> </w:t>
      </w:r>
      <w:r>
        <w:rPr>
          <w:rFonts w:ascii="Leelawadee UI" w:hAnsi="Leelawadee UI" w:eastAsia="Leelawadee UI" w:cs="Leelawadee UI"/>
        </w:rPr>
        <w:t>ដោយស្វែងរកពន្លឺ។</w:t>
      </w:r>
      <w:r>
        <w:rPr>
          <w:rFonts w:ascii="Times New Roman" w:hAnsi="Times New Roman" w:eastAsia="Times New Roman" w:cs="Times New Roman"/>
        </w:rPr>
        <w:t xml:space="preserve"> </w:t>
      </w:r>
      <w:r>
        <w:rPr>
          <w:rFonts w:ascii="Leelawadee UI" w:hAnsi="Leelawadee UI" w:eastAsia="Leelawadee UI" w:cs="Leelawadee UI"/>
        </w:rPr>
        <w:t>តើអ្នកគិតថា</w:t>
      </w:r>
      <w:r>
        <w:rPr>
          <w:rFonts w:ascii="Times New Roman" w:hAnsi="Times New Roman" w:eastAsia="Times New Roman" w:cs="Times New Roman"/>
        </w:rPr>
        <w:t xml:space="preserve"> </w:t>
      </w:r>
      <w:r>
        <w:rPr>
          <w:rFonts w:ascii="Leelawadee UI" w:hAnsi="Leelawadee UI" w:eastAsia="Leelawadee UI" w:cs="Leelawadee UI"/>
        </w:rPr>
        <w:t>ខ្ញុំអាចបោះបង់ពន្លឺដែលព្រះបានប្រទានឲ្យខ្ញុំឬ</w:t>
      </w:r>
      <w:r>
        <w:rPr>
          <w:rFonts w:ascii="Times New Roman" w:hAnsi="Times New Roman" w:eastAsia="Times New Roman" w:cs="Times New Roman"/>
        </w:rPr>
        <w:t xml:space="preserve">? </w:t>
      </w:r>
      <w:r>
        <w:rPr>
          <w:rFonts w:ascii="Leelawadee UI" w:hAnsi="Leelawadee UI" w:eastAsia="Leelawadee UI" w:cs="Leelawadee UI"/>
        </w:rPr>
        <w:t>វាត្រូវតែដូចជាថ្មដាអស់កល្បជានិច្ច។</w:t>
      </w:r>
      <w:r>
        <w:rPr>
          <w:rFonts w:ascii="Times New Roman" w:hAnsi="Times New Roman" w:eastAsia="Times New Roman" w:cs="Times New Roman"/>
        </w:rPr>
        <w:t xml:space="preserve"> </w:t>
      </w:r>
      <w:r>
        <w:rPr>
          <w:rFonts w:ascii="Leelawadee UI" w:hAnsi="Leelawadee UI" w:eastAsia="Leelawadee UI" w:cs="Leelawadee UI"/>
        </w:rPr>
        <w:t>វាបានដឹកនាំខ្ញុំតាំងពីពេលដែលវាត្រូវបានប្រទានមក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April 14, 1903.</w:t>
      </w:r>
    </w:p>
    <w:p>
      <w:pPr>
        <w:pStyle w:val="ArticleBody"/>
        <w:jc w:val="left"/>
      </w:pPr>
      <w:r>
        <w:rPr>
          <w:rFonts w:ascii="Nirmala UI" w:hAnsi="Nirmala UI" w:eastAsia="Nirmala UI" w:cs="Nirmala UI"/>
        </w:rPr>
        <w:t>पुरातन</w:t>
      </w:r>
      <w:r>
        <w:rPr>
          <w:rFonts w:ascii="Times New Roman" w:hAnsi="Times New Roman" w:eastAsia="Times New Roman" w:cs="Times New Roman"/>
        </w:rPr>
        <w:t xml:space="preserve"> </w:t>
      </w:r>
      <w:r>
        <w:rPr>
          <w:rFonts w:ascii="Nirmala UI" w:hAnsi="Nirmala UI" w:eastAsia="Nirmala UI" w:cs="Nirmala UI"/>
        </w:rPr>
        <w:t>पुरुषहरू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असत्यताको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पुरातन</w:t>
      </w:r>
      <w:r>
        <w:rPr>
          <w:rFonts w:ascii="Times New Roman" w:hAnsi="Times New Roman" w:eastAsia="Times New Roman" w:cs="Times New Roman"/>
        </w:rPr>
        <w:t xml:space="preserve"> </w:t>
      </w:r>
      <w:r>
        <w:rPr>
          <w:rFonts w:ascii="Nirmala UI" w:hAnsi="Nirmala UI" w:eastAsia="Nirmala UI" w:cs="Nirmala UI"/>
        </w:rPr>
        <w:t>पुरुषहरू</w:t>
      </w:r>
      <w:r>
        <w:rPr>
          <w:rFonts w:ascii="Times New Roman" w:hAnsi="Times New Roman" w:eastAsia="Times New Roman" w:cs="Times New Roman"/>
        </w:rPr>
        <w:t xml:space="preserve"> </w:t>
      </w:r>
      <w:r>
        <w:rPr>
          <w:rFonts w:ascii="Nirmala UI" w:hAnsi="Nirmala UI" w:eastAsia="Nirmala UI" w:cs="Nirmala UI"/>
        </w:rPr>
        <w:t>सूर्यलाई</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पाउनेहरूसँग</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विरोधाभास</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तम्मूजको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रोइरहनु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पुस्तामा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1919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 W. Prescott </w:t>
      </w:r>
      <w:r>
        <w:rPr>
          <w:rFonts w:ascii="Nirmala UI" w:hAnsi="Nirmala UI" w:eastAsia="Nirmala UI" w:cs="Nirmala UI"/>
        </w:rPr>
        <w:t>ले</w:t>
      </w:r>
      <w:r>
        <w:rPr>
          <w:rFonts w:ascii="Times New Roman" w:hAnsi="Times New Roman" w:eastAsia="Times New Roman" w:cs="Times New Roman"/>
        </w:rPr>
        <w:t xml:space="preserve"> 1919 Bible Conference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सुसमाचारसँग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भित्र्याइयो।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तम्मूजको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रोइरहनु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Il est important de consacrer du temps à identifier précisément le « mensonge » dans la prophétie, car le « mensonge » est la raison principale pour laquelle l’adventisme laodicéen ne peut discerner l’augmentation de la connaissance en 1989. Le « mensonge » consiste à affirmer que « le continuel » dans le livre de Daniel représente le ministère de Christ dans le sanctuaire. Appliquer prophétiquement « le continuel » au ministère de Christ dans le sanctuaire constitue une application prophétique fausse et erronée; mais le « mensonge » ne consiste pas simplement à relever cette fausse identification de « le continuel » comme symbole prophétique: il représente aussi un « mensonge » prétendant que Sœur White approuvait cette fausse application, puis se servant de cette fausseté pour établir ensuite l’application erronée comme une vérité établie.</w:t>
      </w:r>
    </w:p>
    <w:p>
      <w:pPr>
        <w:pStyle w:val="ArticleBody"/>
        <w:jc w:val="left"/>
      </w:pPr>
      <w:r>
        <w:rPr>
          <w:rFonts w:ascii="Microsoft YaHei" w:hAnsi="Microsoft YaHei" w:eastAsia="Microsoft YaHei" w:cs="Microsoft YaHei"/>
        </w:rPr>
        <w:t>理解但以理书第十一章最后六节的正确方式</w:t>
      </w:r>
      <w:r>
        <w:rPr>
          <w:rFonts w:ascii="Times New Roman" w:hAnsi="Times New Roman" w:eastAsia="Times New Roman" w:cs="Times New Roman"/>
        </w:rPr>
        <w:t>,</w:t>
      </w:r>
      <w:r>
        <w:rPr>
          <w:rFonts w:ascii="Microsoft YaHei" w:hAnsi="Microsoft YaHei" w:eastAsia="Microsoft YaHei" w:cs="Microsoft YaHei"/>
        </w:rPr>
        <w:t>乃是借着第三十至三十六节所预表的内容</w:t>
      </w:r>
      <w:r>
        <w:rPr>
          <w:rFonts w:ascii="Times New Roman" w:hAnsi="Times New Roman" w:eastAsia="Times New Roman" w:cs="Times New Roman"/>
        </w:rPr>
        <w:t>;</w:t>
      </w:r>
      <w:r>
        <w:rPr>
          <w:rFonts w:ascii="Microsoft YaHei" w:hAnsi="Microsoft YaHei" w:eastAsia="Microsoft YaHei" w:cs="Microsoft YaHei"/>
        </w:rPr>
        <w:t>当怀爱伦姊妹指出但以理书第十一章将得着完全应验时</w:t>
      </w:r>
      <w:r>
        <w:rPr>
          <w:rFonts w:ascii="Times New Roman" w:hAnsi="Times New Roman" w:eastAsia="Times New Roman" w:cs="Times New Roman"/>
        </w:rPr>
        <w:t>,</w:t>
      </w:r>
      <w:r>
        <w:rPr>
          <w:rFonts w:ascii="Microsoft YaHei" w:hAnsi="Microsoft YaHei" w:eastAsia="Microsoft YaHei" w:cs="Microsoft YaHei"/>
        </w:rPr>
        <w:t>她说</w:t>
      </w:r>
      <w:r>
        <w:rPr>
          <w:rFonts w:ascii="Times New Roman" w:hAnsi="Times New Roman" w:eastAsia="Times New Roman" w:cs="Times New Roman"/>
        </w:rPr>
        <w:t>,</w:t>
      </w:r>
      <w:r>
        <w:rPr>
          <w:rFonts w:ascii="Microsoft YaHei" w:hAnsi="Microsoft YaHei" w:eastAsia="Microsoft YaHei" w:cs="Microsoft YaHei"/>
        </w:rPr>
        <w:t>第三十至三十六节中</w:t>
      </w:r>
      <w:r>
        <w:rPr>
          <w:rFonts w:ascii="Times New Roman" w:hAnsi="Times New Roman" w:eastAsia="Times New Roman" w:cs="Times New Roman"/>
        </w:rPr>
        <w:t>“</w:t>
      </w:r>
      <w:r>
        <w:rPr>
          <w:rFonts w:ascii="Microsoft YaHei" w:hAnsi="Microsoft YaHei" w:eastAsia="Microsoft YaHei" w:cs="Microsoft YaHei"/>
        </w:rPr>
        <w:t>所描述之情景之类似者</w:t>
      </w:r>
      <w:r>
        <w:rPr>
          <w:rFonts w:ascii="Times New Roman" w:hAnsi="Times New Roman" w:eastAsia="Times New Roman" w:cs="Times New Roman"/>
        </w:rPr>
        <w:t>”“</w:t>
      </w:r>
      <w:r>
        <w:rPr>
          <w:rFonts w:ascii="Microsoft YaHei" w:hAnsi="Microsoft YaHei" w:eastAsia="Microsoft YaHei" w:cs="Microsoft YaHei"/>
        </w:rPr>
        <w:t>必将重演</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utilisant la fausse définition du « continuel », on produit une fausse structure historique. L’histoire présentée dans Daniel, chapitre onze, versets trente à trente-six, comprend la suppression du « continuel ». Le « continuel » est soit l’application millérite, soit l’application de Prescott et de Daniells. Selon l’application qui est retenue, deux structures historiques différentes seront produites.</w:t>
      </w:r>
    </w:p>
    <w:p>
      <w:pPr>
        <w:pStyle w:val="ArticleScripture"/>
        <w:jc w:val="left"/>
      </w:pPr>
      <w:r>
        <w:rPr>
          <w:rFonts w:ascii="Times New Roman" w:hAnsi="Times New Roman" w:eastAsia="Times New Roman" w:cs="Times New Roman"/>
        </w:rPr>
        <w:t>Kwaye ingabo zizahagarara ku ruhande rwe, kandi zizahumanya ubuturo bwera bw’imbaraga, kandi zizakuraho igitambo cya buri munsi, kandi zizashyiraho ikizira giteza ubuhenebere. Daniyeli 11:31.</w:t>
      </w:r>
    </w:p>
    <w:p>
      <w:pPr>
        <w:pStyle w:val="ArticleBody"/>
        <w:jc w:val="left"/>
      </w:pPr>
      <w:r>
        <w:rPr>
          <w:rFonts w:ascii="Times New Roman" w:hAnsi="Times New Roman" w:eastAsia="Times New Roman" w:cs="Times New Roman"/>
        </w:rPr>
        <w:t>Có nợ khí, lịch sử tiên tri được trình-bầy trong câu này, và gồm cả câu ba mươi, cùng các câu ba mươi hai đến ba mươi sáu, sẽ được lặp lại trong các câu bốn mươi đến bốn mươi lăm của Đa-ni-ên đoạn mười một.</w:t>
      </w:r>
    </w:p>
    <w:p>
      <w:pPr>
        <w:pStyle w:val="ArticleScripture"/>
        <w:jc w:val="left"/>
      </w:pPr>
      <w:r>
        <w:rPr>
          <w:rFonts w:ascii="Times New Roman" w:hAnsi="Times New Roman" w:eastAsia="Times New Roman" w:cs="Times New Roman"/>
        </w:rPr>
        <w:t>“Rambuzi ya katika Danieli kumi na moja imekaribia kufikia utimilifu wake kamili. Sehemu kubwa ya historia iliyotokea katika kutimizwa kwa rambuzi hii itarudiwa. Katika aya ya thelathini kunenwa juu ya mamlaka ambayo ‘itahuzunika, [Danieli 11:30–36 imenukuliwa.]”</w:t>
      </w:r>
    </w:p>
    <w:p>
      <w:pPr>
        <w:pStyle w:val="ArticleScripture"/>
        <w:jc w:val="left"/>
      </w:pPr>
      <w:r>
        <w:rPr>
          <w:rFonts w:ascii="Times New Roman" w:hAnsi="Times New Roman" w:eastAsia="Times New Roman" w:cs="Times New Roman"/>
        </w:rPr>
        <w:t>« Des scènes semblables à celles décrites dans ces paroles auront lieu. » Manuscript Releases, n° 13, p. 394.</w:t>
      </w:r>
    </w:p>
    <w:p>
      <w:pPr>
        <w:pStyle w:val="ArticleBody"/>
        <w:jc w:val="left"/>
      </w:pPr>
      <w:r>
        <w:rPr>
          <w:rFonts w:ascii="Times New Roman" w:hAnsi="Times New Roman" w:eastAsia="Times New Roman" w:cs="Times New Roman"/>
        </w:rPr>
        <w:t>Aayirak kaŋko a “the daily” bunnto e aayaaje sappo e go’o e go’o.</w:t>
      </w:r>
    </w:p>
    <w:p>
      <w:pPr>
        <w:pStyle w:val="ArticleScripture"/>
        <w:jc w:val="left"/>
      </w:pPr>
      <w:r>
        <w:rPr>
          <w:rFonts w:ascii="Times New Roman" w:hAnsi="Times New Roman" w:eastAsia="Times New Roman" w:cs="Times New Roman"/>
        </w:rPr>
        <w:t>Et des forces se tiendront de sa part; elles profaneront le sanctuaire, la forteresse, elles feront cesser le sacrifice perpétuel, et elles établiront l’abomination qui cause la désolation. Daniel 11:31.</w:t>
      </w:r>
    </w:p>
    <w:p>
      <w:pPr>
        <w:pStyle w:val="ArticleBody"/>
        <w:jc w:val="left"/>
      </w:pPr>
      <w:r>
        <w:rPr>
          <w:rFonts w:ascii="Times New Roman" w:hAnsi="Times New Roman" w:eastAsia="Times New Roman" w:cs="Times New Roman"/>
        </w:rPr>
        <w:t>«Քևերը» այս համարում կանգնում են «նրա կողմից»։ «Քևերը» իշխանություն են, ինչպես և նա, որի համար նրանք «կանգնում են»։ Այս համարում հենց «քևերն» են, որ «կանգնում են նրա կողմից», և «քևերն» են, որ «պղծում են զորության սրբարանը», և «քևերն» են, որ «վերցնում են ամենօրյան», և դարձյալ «քևերն» են, որ «դնում են ամայացնող պղծությունը»։ Հայտնության տասներեքերորդ գլխում վիշապը, այսինքն՝ հեթանոսական Հռոմը, պապականությանը տալիս է երեք բան։</w:t>
      </w:r>
    </w:p>
    <w:p>
      <w:pPr>
        <w:pStyle w:val="ArticleScripture"/>
        <w:jc w:val="left"/>
      </w:pPr>
      <w:r>
        <w:rPr>
          <w:rFonts w:ascii="Times New Roman" w:hAnsi="Times New Roman" w:eastAsia="Times New Roman" w:cs="Times New Roman"/>
        </w:rPr>
        <w:t>Nayona nyama yandamune, ndipo njokwe zakuwisi zayo zikadakhala ngati za njobvu, ndipo pakamwa payo pakadakhala ngati pakamwa pa mwana wa ngwe; ndipo nyoka yayikulu inayipatsa mphamvu zake, ndi mpando wake wachifumu, ndi ulamuliro waukulu. Chivumbulutso 13:2.</w:t>
      </w:r>
    </w:p>
    <w:p>
      <w:pPr>
        <w:pStyle w:val="ArticleBody"/>
        <w:jc w:val="left"/>
      </w:pPr>
      <w:r>
        <w:rPr>
          <w:rFonts w:ascii="Times New Roman" w:hAnsi="Times New Roman" w:eastAsia="Times New Roman" w:cs="Times New Roman"/>
        </w:rPr>
        <w:t>Nyamaswa iifanana n’ingwe igaragazwa na Mushiki wa White ko ari ubupapa, kandi mu gice cya cumi na kabiri Mushiki wa White agaragaza ko ikiyoka ari Satani kandi na Roma ya gipagani.</w:t>
      </w:r>
    </w:p>
    <w:p>
      <w:pPr>
        <w:pStyle w:val="ArticleScripture"/>
        <w:jc w:val="left"/>
      </w:pPr>
      <w:r>
        <w:rPr>
          <w:rFonts w:ascii="Times New Roman" w:hAnsi="Times New Roman" w:eastAsia="Times New Roman" w:cs="Times New Roman"/>
        </w:rPr>
        <w:t>« Ainsi, si le dragon représente, au premier chef, Satan, il est aussi, dans un sens secondaire, un symbole de la Rome païenne. » The Great Controversy, 439.</w:t>
      </w:r>
    </w:p>
    <w:p>
      <w:pPr>
        <w:pStyle w:val="ArticleBody"/>
        <w:jc w:val="left"/>
      </w:pPr>
      <w:r>
        <w:rPr>
          <w:rFonts w:ascii="Times New Roman" w:hAnsi="Times New Roman" w:eastAsia="Times New Roman" w:cs="Times New Roman"/>
        </w:rPr>
        <w:t>No versículo dois de Apocalipse, capítulo treze, Roma pagã deu ao papado o seu poder militar, os seus “braços”, começando com Clóvis, rei dos Francos (França), no ano de 496. Roma pagã deu à Roma papal o seu assento de autoridade no ano de 330, quando o imperador Constantino deixou a cidade de Roma e transferiu a capital da Roma imperial para a cidade de Constantinopla. Roma pagã deu ao papado a autoridade civil no ano de 533, quando Justiniano expediu um decreto identificando o papado como a cabeça de todas as igrejas e o corretor dos hereges.</w:t>
      </w:r>
    </w:p>
    <w:p>
      <w:pPr>
        <w:pStyle w:val="ArticleBody"/>
        <w:jc w:val="left"/>
      </w:pPr>
      <w:r>
        <w:rPr>
          <w:rFonts w:ascii="Nirmala UI" w:hAnsi="Nirmala UI" w:eastAsia="Nirmala UI" w:cs="Nirmala UI"/>
        </w:rPr>
        <w:t>సంవత్సరము</w:t>
      </w:r>
      <w:r>
        <w:rPr>
          <w:rFonts w:ascii="Times New Roman" w:hAnsi="Times New Roman" w:eastAsia="Times New Roman" w:cs="Times New Roman"/>
        </w:rPr>
        <w:t xml:space="preserve"> 31</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వచనములో</w:t>
      </w:r>
      <w:r>
        <w:rPr>
          <w:rFonts w:ascii="Times New Roman" w:hAnsi="Times New Roman" w:eastAsia="Times New Roman" w:cs="Times New Roman"/>
        </w:rPr>
        <w:t xml:space="preserve"> “</w:t>
      </w:r>
      <w:r>
        <w:rPr>
          <w:rFonts w:ascii="Nirmala UI" w:hAnsi="Nirmala UI" w:eastAsia="Nirmala UI" w:cs="Nirmala UI"/>
        </w:rPr>
        <w:t>లేచి</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భుజములు</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496</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క్లోవిస్</w:t>
      </w:r>
      <w:r>
        <w:rPr>
          <w:rFonts w:ascii="Times New Roman" w:hAnsi="Times New Roman" w:eastAsia="Times New Roman" w:cs="Times New Roman"/>
        </w:rPr>
        <w:t>‌</w:t>
      </w:r>
      <w:r>
        <w:rPr>
          <w:rFonts w:ascii="Nirmala UI" w:hAnsi="Nirmala UI" w:eastAsia="Nirmala UI" w:cs="Nirmala UI"/>
        </w:rPr>
        <w:t>తో</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పాపసభ</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లేచి</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అన్యజన</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సైనిక</w:t>
      </w:r>
      <w:r>
        <w:rPr>
          <w:rFonts w:ascii="Times New Roman" w:hAnsi="Times New Roman" w:eastAsia="Times New Roman" w:cs="Times New Roman"/>
        </w:rPr>
        <w:t xml:space="preserve"> </w:t>
      </w:r>
      <w:r>
        <w:rPr>
          <w:rFonts w:ascii="Nirmala UI" w:hAnsi="Nirmala UI" w:eastAsia="Nirmala UI" w:cs="Nirmala UI"/>
        </w:rPr>
        <w:t>బలములు</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కార్యమునుబట్టి</w:t>
      </w:r>
      <w:r>
        <w:rPr>
          <w:rFonts w:ascii="Times New Roman" w:hAnsi="Times New Roman" w:eastAsia="Times New Roman" w:cs="Times New Roman"/>
        </w:rPr>
        <w:t xml:space="preserve"> </w:t>
      </w:r>
      <w:r>
        <w:rPr>
          <w:rFonts w:ascii="Nirmala UI" w:hAnsi="Nirmala UI" w:eastAsia="Nirmala UI" w:cs="Nirmala UI"/>
        </w:rPr>
        <w:t>పాపసభ</w:t>
      </w:r>
      <w:r>
        <w:rPr>
          <w:rFonts w:ascii="Times New Roman" w:hAnsi="Times New Roman" w:eastAsia="Times New Roman" w:cs="Times New Roman"/>
        </w:rPr>
        <w:t xml:space="preserve"> </w:t>
      </w:r>
      <w:r>
        <w:rPr>
          <w:rFonts w:ascii="Nirmala UI" w:hAnsi="Nirmala UI" w:eastAsia="Nirmala UI" w:cs="Nirmala UI"/>
        </w:rPr>
        <w:t>ఫ్రాన్సును</w:t>
      </w:r>
      <w:r>
        <w:rPr>
          <w:rFonts w:ascii="Times New Roman" w:hAnsi="Times New Roman" w:eastAsia="Times New Roman" w:cs="Times New Roman"/>
        </w:rPr>
        <w:t xml:space="preserve"> “</w:t>
      </w:r>
      <w:r>
        <w:rPr>
          <w:rFonts w:ascii="Nirmala UI" w:hAnsi="Nirmala UI" w:eastAsia="Nirmala UI" w:cs="Nirmala UI"/>
        </w:rPr>
        <w:t>కాథలిక</w:t>
      </w:r>
      <w:r>
        <w:rPr>
          <w:rFonts w:ascii="Times New Roman" w:hAnsi="Times New Roman" w:eastAsia="Times New Roman" w:cs="Times New Roman"/>
        </w:rPr>
        <w:t xml:space="preserve"> </w:t>
      </w:r>
      <w:r>
        <w:rPr>
          <w:rFonts w:ascii="Nirmala UI" w:hAnsi="Nirmala UI" w:eastAsia="Nirmala UI" w:cs="Nirmala UI"/>
        </w:rPr>
        <w:t>సంఘమునకు</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సంతానము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కొన్నిసార్లు</w:t>
      </w:r>
      <w:r>
        <w:rPr>
          <w:rFonts w:ascii="Times New Roman" w:hAnsi="Times New Roman" w:eastAsia="Times New Roman" w:cs="Times New Roman"/>
        </w:rPr>
        <w:t xml:space="preserve"> “</w:t>
      </w:r>
      <w:r>
        <w:rPr>
          <w:rFonts w:ascii="Nirmala UI" w:hAnsi="Nirmala UI" w:eastAsia="Nirmala UI" w:cs="Nirmala UI"/>
        </w:rPr>
        <w:t>కాథలిక</w:t>
      </w:r>
      <w:r>
        <w:rPr>
          <w:rFonts w:ascii="Times New Roman" w:hAnsi="Times New Roman" w:eastAsia="Times New Roman" w:cs="Times New Roman"/>
        </w:rPr>
        <w:t xml:space="preserve"> </w:t>
      </w:r>
      <w:r>
        <w:rPr>
          <w:rFonts w:ascii="Nirmala UI" w:hAnsi="Nirmala UI" w:eastAsia="Nirmala UI" w:cs="Nirmala UI"/>
        </w:rPr>
        <w:t>సంఘమునకు</w:t>
      </w:r>
      <w:r>
        <w:rPr>
          <w:rFonts w:ascii="Times New Roman" w:hAnsi="Times New Roman" w:eastAsia="Times New Roman" w:cs="Times New Roman"/>
        </w:rPr>
        <w:t xml:space="preserve"> </w:t>
      </w:r>
      <w:r>
        <w:rPr>
          <w:rFonts w:ascii="Nirmala UI" w:hAnsi="Nirmala UI" w:eastAsia="Nirmala UI" w:cs="Nirmala UI"/>
        </w:rPr>
        <w:t>జ్యేష్ఠ</w:t>
      </w:r>
      <w:r>
        <w:rPr>
          <w:rFonts w:ascii="Times New Roman" w:hAnsi="Times New Roman" w:eastAsia="Times New Roman" w:cs="Times New Roman"/>
        </w:rPr>
        <w:t xml:space="preserve"> </w:t>
      </w:r>
      <w:r>
        <w:rPr>
          <w:rFonts w:ascii="Nirmala UI" w:hAnsi="Nirmala UI" w:eastAsia="Nirmala UI" w:cs="Nirmala UI"/>
        </w:rPr>
        <w:t>కుమార్తె</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గుర్తించుచున్నది</w:t>
      </w:r>
      <w:r>
        <w:rPr>
          <w:rFonts w:ascii="Times New Roman" w:hAnsi="Times New Roman" w:eastAsia="Times New Roman" w:cs="Times New Roman"/>
        </w:rPr>
        <w:t>. 31</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వచనములో</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321</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కాన్స్టాంటైన్</w:t>
      </w:r>
      <w:r>
        <w:rPr>
          <w:rFonts w:ascii="Times New Roman" w:hAnsi="Times New Roman" w:eastAsia="Times New Roman" w:cs="Times New Roman"/>
        </w:rPr>
        <w:t xml:space="preserve"> </w:t>
      </w:r>
      <w:r>
        <w:rPr>
          <w:rFonts w:ascii="Nirmala UI" w:hAnsi="Nirmala UI" w:eastAsia="Nirmala UI" w:cs="Nirmala UI"/>
        </w:rPr>
        <w:t>ఆదివారమునకు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శాసనమును</w:t>
      </w:r>
      <w:r>
        <w:rPr>
          <w:rFonts w:ascii="Times New Roman" w:hAnsi="Times New Roman" w:eastAsia="Times New Roman" w:cs="Times New Roman"/>
        </w:rPr>
        <w:t xml:space="preserve"> </w:t>
      </w:r>
      <w:r>
        <w:rPr>
          <w:rFonts w:ascii="Nirmala UI" w:hAnsi="Nirmala UI" w:eastAsia="Nirmala UI" w:cs="Nirmala UI"/>
        </w:rPr>
        <w:t>జారీ</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ఆపై</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330</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రాజధానిని</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పట్టణమునుండి</w:t>
      </w:r>
      <w:r>
        <w:rPr>
          <w:rFonts w:ascii="Times New Roman" w:hAnsi="Times New Roman" w:eastAsia="Times New Roman" w:cs="Times New Roman"/>
        </w:rPr>
        <w:t xml:space="preserve"> </w:t>
      </w:r>
      <w:r>
        <w:rPr>
          <w:rFonts w:ascii="Nirmala UI" w:hAnsi="Nirmala UI" w:eastAsia="Nirmala UI" w:cs="Nirmala UI"/>
        </w:rPr>
        <w:t>కాన్స్టాంటినోపుల్</w:t>
      </w:r>
      <w:r>
        <w:rPr>
          <w:rFonts w:ascii="Times New Roman" w:hAnsi="Times New Roman" w:eastAsia="Times New Roman" w:cs="Times New Roman"/>
        </w:rPr>
        <w:t xml:space="preserve"> </w:t>
      </w:r>
      <w:r>
        <w:rPr>
          <w:rFonts w:ascii="Nirmala UI" w:hAnsi="Nirmala UI" w:eastAsia="Nirmala UI" w:cs="Nirmala UI"/>
        </w:rPr>
        <w:t>పట్టణమునకు</w:t>
      </w:r>
      <w:r>
        <w:rPr>
          <w:rFonts w:ascii="Times New Roman" w:hAnsi="Times New Roman" w:eastAsia="Times New Roman" w:cs="Times New Roman"/>
        </w:rPr>
        <w:t xml:space="preserve"> </w:t>
      </w:r>
      <w:r>
        <w:rPr>
          <w:rFonts w:ascii="Nirmala UI" w:hAnsi="Nirmala UI" w:eastAsia="Nirmala UI" w:cs="Nirmala UI"/>
        </w:rPr>
        <w:t>మార్చిన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మునుపు</w:t>
      </w:r>
      <w:r>
        <w:rPr>
          <w:rFonts w:ascii="Times New Roman" w:hAnsi="Times New Roman" w:eastAsia="Times New Roman" w:cs="Times New Roman"/>
        </w:rPr>
        <w:t xml:space="preserve"> </w:t>
      </w:r>
      <w:r>
        <w:rPr>
          <w:rFonts w:ascii="Nirmala UI" w:hAnsi="Nirmala UI" w:eastAsia="Nirmala UI" w:cs="Nirmala UI"/>
        </w:rPr>
        <w:t>అజేయముగా</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సామ్రాజ్యము</w:t>
      </w:r>
      <w:r>
        <w:rPr>
          <w:rFonts w:ascii="Times New Roman" w:hAnsi="Times New Roman" w:eastAsia="Times New Roman" w:cs="Times New Roman"/>
        </w:rPr>
        <w:t xml:space="preserve"> </w:t>
      </w:r>
      <w:r>
        <w:rPr>
          <w:rFonts w:ascii="Nirmala UI" w:hAnsi="Nirmala UI" w:eastAsia="Nirmala UI" w:cs="Nirmala UI"/>
        </w:rPr>
        <w:t>కూలిపోవడం</w:t>
      </w:r>
      <w:r>
        <w:rPr>
          <w:rFonts w:ascii="Times New Roman" w:hAnsi="Times New Roman" w:eastAsia="Times New Roman" w:cs="Times New Roman"/>
        </w:rPr>
        <w:t xml:space="preserve"> </w:t>
      </w:r>
      <w:r>
        <w:rPr>
          <w:rFonts w:ascii="Nirmala UI" w:hAnsi="Nirmala UI" w:eastAsia="Nirmala UI" w:cs="Nirmala UI"/>
        </w:rPr>
        <w:t>ప్రారంభమైంది</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8</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అధ్యాయములోని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బూరల</w:t>
      </w:r>
      <w:r>
        <w:rPr>
          <w:rFonts w:ascii="Times New Roman" w:hAnsi="Times New Roman" w:eastAsia="Times New Roman" w:cs="Times New Roman"/>
        </w:rPr>
        <w:t xml:space="preserve"> </w:t>
      </w:r>
      <w:r>
        <w:rPr>
          <w:rFonts w:ascii="Nirmala UI" w:hAnsi="Nirmala UI" w:eastAsia="Nirmala UI" w:cs="Nirmala UI"/>
        </w:rPr>
        <w:t>శక్తులు</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సామ్రాజ్యమునకు</w:t>
      </w:r>
      <w:r>
        <w:rPr>
          <w:rFonts w:ascii="Times New Roman" w:hAnsi="Times New Roman" w:eastAsia="Times New Roman" w:cs="Times New Roman"/>
        </w:rPr>
        <w:t xml:space="preserve"> </w:t>
      </w:r>
      <w:r>
        <w:rPr>
          <w:rFonts w:ascii="Nirmala UI" w:hAnsi="Nirmala UI" w:eastAsia="Nirmala UI" w:cs="Nirmala UI"/>
        </w:rPr>
        <w:t>విరుద్ధముగా</w:t>
      </w:r>
      <w:r>
        <w:rPr>
          <w:rFonts w:ascii="Times New Roman" w:hAnsi="Times New Roman" w:eastAsia="Times New Roman" w:cs="Times New Roman"/>
        </w:rPr>
        <w:t xml:space="preserve"> </w:t>
      </w:r>
      <w:r>
        <w:rPr>
          <w:rFonts w:ascii="Nirmala UI" w:hAnsi="Nirmala UI" w:eastAsia="Nirmala UI" w:cs="Nirmala UI"/>
        </w:rPr>
        <w:t>నిరంతర</w:t>
      </w:r>
      <w:r>
        <w:rPr>
          <w:rFonts w:ascii="Times New Roman" w:hAnsi="Times New Roman" w:eastAsia="Times New Roman" w:cs="Times New Roman"/>
        </w:rPr>
        <w:t xml:space="preserve"> </w:t>
      </w:r>
      <w:r>
        <w:rPr>
          <w:rFonts w:ascii="Nirmala UI" w:hAnsi="Nirmala UI" w:eastAsia="Nirmala UI" w:cs="Nirmala UI"/>
        </w:rPr>
        <w:t>యుద్ధమును</w:t>
      </w:r>
      <w:r>
        <w:rPr>
          <w:rFonts w:ascii="Times New Roman" w:hAnsi="Times New Roman" w:eastAsia="Times New Roman" w:cs="Times New Roman"/>
        </w:rPr>
        <w:t xml:space="preserve"> </w:t>
      </w:r>
      <w:r>
        <w:rPr>
          <w:rFonts w:ascii="Nirmala UI" w:hAnsi="Nirmala UI" w:eastAsia="Nirmala UI" w:cs="Nirmala UI"/>
        </w:rPr>
        <w:t>ప్రారంభించెను</w:t>
      </w:r>
      <w:r>
        <w:rPr>
          <w:rFonts w:ascii="Times New Roman" w:hAnsi="Times New Roman" w:eastAsia="Times New Roman" w:cs="Times New Roman"/>
        </w:rPr>
        <w:t xml:space="preserve">. </w:t>
      </w:r>
      <w:r>
        <w:rPr>
          <w:rFonts w:ascii="Nirmala UI" w:hAnsi="Nirmala UI" w:eastAsia="Nirmala UI" w:cs="Nirmala UI"/>
        </w:rPr>
        <w:t>బర్బరులు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జెన్సెరిక్</w:t>
      </w:r>
      <w:r>
        <w:rPr>
          <w:rFonts w:ascii="Times New Roman" w:hAnsi="Times New Roman" w:eastAsia="Times New Roman" w:cs="Times New Roman"/>
        </w:rPr>
        <w:t xml:space="preserve"> </w:t>
      </w:r>
      <w:r>
        <w:rPr>
          <w:rFonts w:ascii="Nirmala UI" w:hAnsi="Nirmala UI" w:eastAsia="Nirmala UI" w:cs="Nirmala UI"/>
        </w:rPr>
        <w:t>నిర్వహించిన</w:t>
      </w:r>
      <w:r>
        <w:rPr>
          <w:rFonts w:ascii="Times New Roman" w:hAnsi="Times New Roman" w:eastAsia="Times New Roman" w:cs="Times New Roman"/>
        </w:rPr>
        <w:t xml:space="preserve"> </w:t>
      </w:r>
      <w:r>
        <w:rPr>
          <w:rFonts w:ascii="Nirmala UI" w:hAnsi="Nirmala UI" w:eastAsia="Nirmala UI" w:cs="Nirmala UI"/>
        </w:rPr>
        <w:t>దాడుల</w:t>
      </w:r>
      <w:r>
        <w:rPr>
          <w:rFonts w:ascii="Times New Roman" w:hAnsi="Times New Roman" w:eastAsia="Times New Roman" w:cs="Times New Roman"/>
        </w:rPr>
        <w:t xml:space="preserve"> </w:t>
      </w:r>
      <w:r>
        <w:rPr>
          <w:rFonts w:ascii="Nirmala UI" w:hAnsi="Nirmala UI" w:eastAsia="Nirmala UI" w:cs="Nirmala UI"/>
        </w:rPr>
        <w:t>ప్రధాన</w:t>
      </w:r>
      <w:r>
        <w:rPr>
          <w:rFonts w:ascii="Times New Roman" w:hAnsi="Times New Roman" w:eastAsia="Times New Roman" w:cs="Times New Roman"/>
        </w:rPr>
        <w:t xml:space="preserve"> </w:t>
      </w:r>
      <w:r>
        <w:rPr>
          <w:rFonts w:ascii="Nirmala UI" w:hAnsi="Nirmala UI" w:eastAsia="Nirmala UI" w:cs="Nirmala UI"/>
        </w:rPr>
        <w:t>లక్ష్యము</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పట్టణమే</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330</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పూర్వము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సామ్రాజ్యమునకు</w:t>
      </w:r>
      <w:r>
        <w:rPr>
          <w:rFonts w:ascii="Times New Roman" w:hAnsi="Times New Roman" w:eastAsia="Times New Roman" w:cs="Times New Roman"/>
        </w:rPr>
        <w:t xml:space="preserve"> “</w:t>
      </w:r>
      <w:r>
        <w:rPr>
          <w:rFonts w:ascii="Nirmala UI" w:hAnsi="Nirmala UI" w:eastAsia="Nirmala UI" w:cs="Nirmala UI"/>
        </w:rPr>
        <w:t>బలమునకు</w:t>
      </w:r>
      <w:r>
        <w:rPr>
          <w:rFonts w:ascii="Times New Roman" w:hAnsi="Times New Roman" w:eastAsia="Times New Roman" w:cs="Times New Roman"/>
        </w:rPr>
        <w:t xml:space="preserve"> </w:t>
      </w:r>
      <w:r>
        <w:rPr>
          <w:rFonts w:ascii="Nirmala UI" w:hAnsi="Nirmala UI" w:eastAsia="Nirmala UI" w:cs="Nirmala UI"/>
        </w:rPr>
        <w:t>పరిశుద్ధస్థలము</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330</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తదుపరి</w:t>
      </w:r>
      <w:r>
        <w:rPr>
          <w:rFonts w:ascii="Times New Roman" w:hAnsi="Times New Roman" w:eastAsia="Times New Roman" w:cs="Times New Roman"/>
        </w:rPr>
        <w:t xml:space="preserve">, </w:t>
      </w:r>
      <w:r>
        <w:rPr>
          <w:rFonts w:ascii="Nirmala UI" w:hAnsi="Nirmala UI" w:eastAsia="Nirmala UI" w:cs="Nirmala UI"/>
        </w:rPr>
        <w:t>దండయాత్రచేసిన</w:t>
      </w:r>
      <w:r>
        <w:rPr>
          <w:rFonts w:ascii="Times New Roman" w:hAnsi="Times New Roman" w:eastAsia="Times New Roman" w:cs="Times New Roman"/>
        </w:rPr>
        <w:t xml:space="preserve"> </w:t>
      </w:r>
      <w:r>
        <w:rPr>
          <w:rFonts w:ascii="Nirmala UI" w:hAnsi="Nirmala UI" w:eastAsia="Nirmala UI" w:cs="Nirmala UI"/>
        </w:rPr>
        <w:t>బర్బరుల</w:t>
      </w:r>
      <w:r>
        <w:rPr>
          <w:rFonts w:ascii="Times New Roman" w:hAnsi="Times New Roman" w:eastAsia="Times New Roman" w:cs="Times New Roman"/>
        </w:rPr>
        <w:t xml:space="preserve"> </w:t>
      </w:r>
      <w:r>
        <w:rPr>
          <w:rFonts w:ascii="Nirmala UI" w:hAnsi="Nirmala UI" w:eastAsia="Nirmala UI" w:cs="Nirmala UI"/>
        </w:rPr>
        <w:t>యుద్ధములు</w:t>
      </w:r>
      <w:r>
        <w:rPr>
          <w:rFonts w:ascii="Times New Roman" w:hAnsi="Times New Roman" w:eastAsia="Times New Roman" w:cs="Times New Roman"/>
        </w:rPr>
        <w:t xml:space="preserve"> “</w:t>
      </w:r>
      <w:r>
        <w:rPr>
          <w:rFonts w:ascii="Nirmala UI" w:hAnsi="Nirmala UI" w:eastAsia="Nirmala UI" w:cs="Nirmala UI"/>
        </w:rPr>
        <w:t>బలమునకు</w:t>
      </w:r>
      <w:r>
        <w:rPr>
          <w:rFonts w:ascii="Times New Roman" w:hAnsi="Times New Roman" w:eastAsia="Times New Roman" w:cs="Times New Roman"/>
        </w:rPr>
        <w:t xml:space="preserve"> </w:t>
      </w:r>
      <w:r>
        <w:rPr>
          <w:rFonts w:ascii="Nirmala UI" w:hAnsi="Nirmala UI" w:eastAsia="Nirmala UI" w:cs="Nirmala UI"/>
        </w:rPr>
        <w:t>పరిశుద్ధస్థలమును</w:t>
      </w:r>
      <w:r>
        <w:rPr>
          <w:rFonts w:ascii="Times New Roman" w:hAnsi="Times New Roman" w:eastAsia="Times New Roman" w:cs="Times New Roman"/>
        </w:rPr>
        <w:t xml:space="preserve"> </w:t>
      </w:r>
      <w:r>
        <w:rPr>
          <w:rFonts w:ascii="Nirmala UI" w:hAnsi="Nirmala UI" w:eastAsia="Nirmala UI" w:cs="Nirmala UI"/>
        </w:rPr>
        <w:t>అపవిత్రపరచుటకై</w:t>
      </w:r>
      <w:r>
        <w:rPr>
          <w:rFonts w:ascii="Times New Roman" w:hAnsi="Times New Roman" w:eastAsia="Times New Roman" w:cs="Times New Roman"/>
        </w:rPr>
        <w:t xml:space="preserve">” </w:t>
      </w:r>
      <w:r>
        <w:rPr>
          <w:rFonts w:ascii="Nirmala UI" w:hAnsi="Nirmala UI" w:eastAsia="Nirmala UI" w:cs="Nirmala UI"/>
        </w:rPr>
        <w:t>జరుగవలసి</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అంతట</w:t>
      </w:r>
      <w:r>
        <w:rPr>
          <w:rFonts w:ascii="Times New Roman" w:hAnsi="Times New Roman" w:eastAsia="Times New Roman" w:cs="Times New Roman"/>
        </w:rPr>
        <w:t xml:space="preserve"> </w:t>
      </w:r>
      <w:r>
        <w:rPr>
          <w:rFonts w:ascii="Nirmala UI" w:hAnsi="Nirmala UI" w:eastAsia="Nirmala UI" w:cs="Nirmala UI"/>
        </w:rPr>
        <w:t>అన్యజన</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భుజములు</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496</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ఆరంభమై</w:t>
      </w:r>
      <w:r>
        <w:rPr>
          <w:rFonts w:ascii="Times New Roman" w:hAnsi="Times New Roman" w:eastAsia="Times New Roman" w:cs="Times New Roman"/>
        </w:rPr>
        <w:t xml:space="preserve"> </w:t>
      </w:r>
      <w:r>
        <w:rPr>
          <w:rFonts w:ascii="Nirmala UI" w:hAnsi="Nirmala UI" w:eastAsia="Nirmala UI" w:cs="Nirmala UI"/>
        </w:rPr>
        <w:t>పాపసభ</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లేచి</w:t>
      </w:r>
      <w:r>
        <w:rPr>
          <w:rFonts w:ascii="Times New Roman" w:hAnsi="Times New Roman" w:eastAsia="Times New Roman" w:cs="Times New Roman"/>
        </w:rPr>
        <w:t xml:space="preserve"> </w:t>
      </w:r>
      <w:r>
        <w:rPr>
          <w:rFonts w:ascii="Nirmala UI" w:hAnsi="Nirmala UI" w:eastAsia="Nirmala UI" w:cs="Nirmala UI"/>
        </w:rPr>
        <w:t>నిలువవలసి</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Không những La Mã ngoại giáo đã cung cấp cho quyền lực giáo hoàng ba điều, khi ban cho nó quyền lực quân sự, thẩm quyền dân sự và ngôi của thành Rô-ma, mà còn dẹp bỏ ba sừng vì La Mã giáo hoàng.</w:t>
      </w:r>
    </w:p>
    <w:p>
      <w:pPr>
        <w:pStyle w:val="ArticleScripture"/>
        <w:jc w:val="left"/>
      </w:pPr>
      <w:r>
        <w:rPr>
          <w:rFonts w:ascii="Times New Roman" w:hAnsi="Times New Roman" w:eastAsia="Times New Roman" w:cs="Times New Roman"/>
        </w:rPr>
        <w:t>Je regardais ces cornes, et voici qu’une autre petite corne s’éleva au milieu d’elles, devant laquelle trois des premières cornes furent arrachées jusqu’aux racines; et voici, cette corne avait des yeux comme des yeux d’homme, et une bouche qui proférait de grandes choses. Daniel 7:8.</w:t>
      </w:r>
    </w:p>
    <w:p>
      <w:pPr>
        <w:pStyle w:val="ArticleBody"/>
        <w:jc w:val="left"/>
      </w:pPr>
      <w:r>
        <w:rPr>
          <w:rFonts w:ascii="Times New Roman" w:hAnsi="Times New Roman" w:eastAsia="Times New Roman" w:cs="Times New Roman"/>
        </w:rPr>
        <w:t>Na alalunga matatu yaliyopaswa “kung’olewa” katika sura ya saba ya Danieli, yaliwakilisha mamlaka matatu ya msingi yaliyokuwa yakipinga kuinuka kwa upapa hadi mamlakani. Pembe ya mwisho kati ya hizo tatu iliondolewa wakati Wagothi walipofukuzwa kutoka mji wa Roma katika mwaka 538. Walifukuzwa kutoka mjini humo kwa “mikono” ya Roma ya kipagani, kwa maana “mikono” hiyo ilipaswa kuuweka upapa (chukizo la uharibifu) juu ya kiti cha enzi cha ulimwengu uliokuwa ukijulikana wakati huo katika mwaka 538.</w:t>
      </w:r>
    </w:p>
    <w:p>
      <w:pPr>
        <w:pStyle w:val="ArticleBody"/>
        <w:jc w:val="left"/>
      </w:pPr>
      <w:r>
        <w:rPr>
          <w:rFonts w:ascii="Times New Roman" w:hAnsi="Times New Roman" w:eastAsia="Times New Roman" w:cs="Times New Roman"/>
        </w:rPr>
        <w:t>Ayat tiga puluh satu dari Daniel sebelas mengidentifikasi empat hal yang akan dilakukan oleh “lengan-lengan” itu (Roma kafir). Mereka akan “bangkit” demi kepausan, sebagaimana yang mereka lakukan pada tahun 496. Mereka akan menajiskan “tempat kudus kekuatan,” sebagaimana dilambangkan oleh pergumulan-pergumulan militer yang terjadi atas kota Roma selama kurang lebih dua abad. Mereka akan “menempatkan” kepausan di atas takhta bumi pada tahun 538, dan mereka juga akan “menyingkirkan yang sehari-hari.”</w:t>
      </w:r>
    </w:p>
    <w:p>
      <w:pPr>
        <w:pStyle w:val="ArticleBody"/>
        <w:jc w:val="left"/>
      </w:pPr>
      <w:r>
        <w:rPr>
          <w:rFonts w:ascii="Times New Roman" w:hAnsi="Times New Roman" w:eastAsia="Times New Roman" w:cs="Times New Roman"/>
        </w:rPr>
        <w:t>Mä versepe hebraike sõna, mis tõlgitakse kui “ära võtma” (sur), tähendab “eemaldama”. Aastaks 508 oli Rooma impeeriumis olemas olnud paganlusest lähtuv vastupanu, mis oli tegutsenud selleks, et takistada paavstluse tõusmist võimule, täielikult allutatud või kõrvaldatud.</w:t>
      </w:r>
    </w:p>
    <w:p>
      <w:pPr>
        <w:pStyle w:val="ArticleBody"/>
        <w:jc w:val="left"/>
      </w:pP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राइस्</w:t>
      </w:r>
      <w:r>
        <w:rPr>
          <w:rFonts w:ascii="Times New Roman" w:hAnsi="Times New Roman" w:eastAsia="Times New Roman" w:cs="Times New Roman"/>
        </w:rPr>
        <w:t>‍</w:t>
      </w:r>
      <w:r>
        <w:rPr>
          <w:rFonts w:ascii="Nirmala UI" w:hAnsi="Nirmala UI" w:eastAsia="Nirmala UI" w:cs="Nirmala UI"/>
        </w:rPr>
        <w:t>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w:t>
      </w:r>
      <w:r>
        <w:rPr>
          <w:rFonts w:ascii="Nirmala UI" w:hAnsi="Nirmala UI" w:eastAsia="Nirmala UI" w:cs="Nirmala UI"/>
        </w:rPr>
        <w:t>कालीन</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कार्यान्वित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परिपूर्णन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छत्तीस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असम्भव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इकत्तीसवें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आरोपित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p>
    <w:p>
      <w:pPr>
        <w:pStyle w:val="ArticleBody"/>
        <w:jc w:val="left"/>
      </w:pPr>
      <w:r>
        <w:rPr>
          <w:rFonts w:ascii="Times New Roman" w:hAnsi="Times New Roman" w:eastAsia="Times New Roman" w:cs="Times New Roman"/>
        </w:rPr>
        <w:t>Les « hommes moqueurs » enseignent que la papauté a ôté la véritable compréhension du ministère de Christ dans le sanctuaire, par l’introduction de la messe papale, qui est une contrefaçon de l’œuvre de Christ dans le sanctuaire céleste. Si tel était le sens réel du « continuel », alors les « forces » qui se lèveraient au verset trente et un seraient la papauté, car la structure grammaticale du verset exige que les « forces » soient la puissance qui ôte « le continuel ».</w:t>
      </w:r>
    </w:p>
    <w:p>
      <w:pPr>
        <w:pStyle w:val="ArticleBody"/>
        <w:jc w:val="left"/>
      </w:pPr>
      <w:r>
        <w:rPr>
          <w:rFonts w:ascii="Microsoft YaHei" w:hAnsi="Microsoft YaHei" w:eastAsia="Microsoft YaHei" w:cs="Microsoft YaHei"/>
        </w:rPr>
        <w:t>为了维护他们那一盘荒诞无稽的传说</w:t>
      </w:r>
      <w:r>
        <w:rPr>
          <w:rFonts w:ascii="Times New Roman" w:hAnsi="Times New Roman" w:eastAsia="Times New Roman" w:cs="Times New Roman"/>
        </w:rPr>
        <w:t>,</w:t>
      </w:r>
      <w:r>
        <w:rPr>
          <w:rFonts w:ascii="Microsoft YaHei" w:hAnsi="Microsoft YaHei" w:eastAsia="Microsoft YaHei" w:cs="Microsoft YaHei"/>
        </w:rPr>
        <w:t>他们竟辩称教皇权（军兵）玷污了基督天上的圣所</w:t>
      </w:r>
      <w:r>
        <w:rPr>
          <w:rFonts w:ascii="Times New Roman" w:hAnsi="Times New Roman" w:eastAsia="Times New Roman" w:cs="Times New Roman"/>
        </w:rPr>
        <w:t>.</w:t>
      </w:r>
      <w:r>
        <w:rPr>
          <w:rFonts w:ascii="Microsoft YaHei" w:hAnsi="Microsoft YaHei" w:eastAsia="Microsoft YaHei" w:cs="Microsoft YaHei"/>
        </w:rPr>
        <w:t>被译作</w:t>
      </w:r>
      <w:r>
        <w:rPr>
          <w:rFonts w:ascii="Times New Roman" w:hAnsi="Times New Roman" w:eastAsia="Times New Roman" w:cs="Times New Roman"/>
        </w:rPr>
        <w:t>“</w:t>
      </w:r>
      <w:r>
        <w:rPr>
          <w:rFonts w:ascii="Microsoft YaHei" w:hAnsi="Microsoft YaHei" w:eastAsia="Microsoft YaHei" w:cs="Microsoft YaHei"/>
        </w:rPr>
        <w:t>力量的圣所（</w:t>
      </w:r>
      <w:r>
        <w:rPr>
          <w:rFonts w:ascii="Times New Roman" w:hAnsi="Times New Roman" w:eastAsia="Times New Roman" w:cs="Times New Roman"/>
        </w:rPr>
        <w:t>miqdash</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的希伯来词</w:t>
      </w:r>
      <w:r>
        <w:rPr>
          <w:rFonts w:ascii="Times New Roman" w:hAnsi="Times New Roman" w:eastAsia="Times New Roman" w:cs="Times New Roman"/>
        </w:rPr>
        <w:t>,</w:t>
      </w:r>
      <w:r>
        <w:rPr>
          <w:rFonts w:ascii="Microsoft YaHei" w:hAnsi="Microsoft YaHei" w:eastAsia="Microsoft YaHei" w:cs="Microsoft YaHei"/>
        </w:rPr>
        <w:t>要么是异教的圣所</w:t>
      </w:r>
      <w:r>
        <w:rPr>
          <w:rFonts w:ascii="Times New Roman" w:hAnsi="Times New Roman" w:eastAsia="Times New Roman" w:cs="Times New Roman"/>
        </w:rPr>
        <w:t>,</w:t>
      </w:r>
      <w:r>
        <w:rPr>
          <w:rFonts w:ascii="Microsoft YaHei" w:hAnsi="Microsoft YaHei" w:eastAsia="Microsoft YaHei" w:cs="Microsoft YaHei"/>
        </w:rPr>
        <w:t>要么是上帝的圣所</w:t>
      </w:r>
      <w:r>
        <w:rPr>
          <w:rFonts w:ascii="Times New Roman" w:hAnsi="Times New Roman" w:eastAsia="Times New Roman" w:cs="Times New Roman"/>
        </w:rPr>
        <w:t>.</w:t>
      </w:r>
      <w:r>
        <w:rPr>
          <w:rFonts w:ascii="Microsoft YaHei" w:hAnsi="Microsoft YaHei" w:eastAsia="Microsoft YaHei" w:cs="Microsoft YaHei"/>
        </w:rPr>
        <w:t>若但以理本意是要表达上帝的圣所将被教皇权所玷污</w:t>
      </w:r>
      <w:r>
        <w:rPr>
          <w:rFonts w:ascii="Times New Roman" w:hAnsi="Times New Roman" w:eastAsia="Times New Roman" w:cs="Times New Roman"/>
        </w:rPr>
        <w:t>,</w:t>
      </w:r>
      <w:r>
        <w:rPr>
          <w:rFonts w:ascii="Microsoft YaHei" w:hAnsi="Microsoft YaHei" w:eastAsia="Microsoft YaHei" w:cs="Microsoft YaHei"/>
        </w:rPr>
        <w:t>他本会使用希伯来词</w:t>
      </w:r>
      <w:r>
        <w:rPr>
          <w:rFonts w:ascii="Times New Roman" w:hAnsi="Times New Roman" w:eastAsia="Times New Roman" w:cs="Times New Roman"/>
        </w:rPr>
        <w:t>“qodesh”;</w:t>
      </w:r>
      <w:r>
        <w:rPr>
          <w:rFonts w:ascii="Microsoft YaHei" w:hAnsi="Microsoft YaHei" w:eastAsia="Microsoft YaHei" w:cs="Microsoft YaHei"/>
        </w:rPr>
        <w:t>此词只能指上帝的圣所</w:t>
      </w:r>
      <w:r>
        <w:rPr>
          <w:rFonts w:ascii="Times New Roman" w:hAnsi="Times New Roman" w:eastAsia="Times New Roman" w:cs="Times New Roman"/>
        </w:rPr>
        <w:t>.</w:t>
      </w:r>
      <w:r>
        <w:rPr>
          <w:rFonts w:ascii="Microsoft YaHei" w:hAnsi="Microsoft YaHei" w:eastAsia="Microsoft YaHei" w:cs="Microsoft YaHei"/>
        </w:rPr>
        <w:t>那么</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或</w:t>
      </w:r>
      <w:r>
        <w:rPr>
          <w:rFonts w:ascii="Times New Roman" w:hAnsi="Times New Roman" w:eastAsia="Times New Roman" w:cs="Times New Roman"/>
        </w:rPr>
        <w:t>«</w:t>
      </w:r>
      <w:r>
        <w:rPr>
          <w:rFonts w:ascii="Microsoft YaHei" w:hAnsi="Microsoft YaHei" w:eastAsia="Microsoft YaHei" w:cs="Microsoft YaHei"/>
        </w:rPr>
        <w:t>预言之灵</w:t>
      </w:r>
      <w:r>
        <w:rPr>
          <w:rFonts w:ascii="Times New Roman" w:hAnsi="Times New Roman" w:eastAsia="Times New Roman" w:cs="Times New Roman"/>
        </w:rPr>
        <w:t>»</w:t>
      </w:r>
      <w:r>
        <w:rPr>
          <w:rFonts w:ascii="Microsoft YaHei" w:hAnsi="Microsoft YaHei" w:eastAsia="Microsoft YaHei" w:cs="Microsoft YaHei"/>
        </w:rPr>
        <w:t>中</w:t>
      </w:r>
      <w:r>
        <w:rPr>
          <w:rFonts w:ascii="Times New Roman" w:hAnsi="Times New Roman" w:eastAsia="Times New Roman" w:cs="Times New Roman"/>
        </w:rPr>
        <w:t>,</w:t>
      </w:r>
      <w:r>
        <w:rPr>
          <w:rFonts w:ascii="Microsoft YaHei" w:hAnsi="Microsoft YaHei" w:eastAsia="Microsoft YaHei" w:cs="Microsoft YaHei"/>
        </w:rPr>
        <w:t>究竟记载于何处</w:t>
      </w:r>
      <w:r>
        <w:rPr>
          <w:rFonts w:ascii="Times New Roman" w:hAnsi="Times New Roman" w:eastAsia="Times New Roman" w:cs="Times New Roman"/>
        </w:rPr>
        <w:t>,</w:t>
      </w:r>
      <w:r>
        <w:rPr>
          <w:rFonts w:ascii="Microsoft YaHei" w:hAnsi="Microsoft YaHei" w:eastAsia="Microsoft YaHei" w:cs="Microsoft YaHei"/>
        </w:rPr>
        <w:t>说天上的圣所曾被教皇权玷污</w:t>
      </w:r>
      <w:r>
        <w:rPr>
          <w:rFonts w:ascii="Times New Roman" w:hAnsi="Times New Roman" w:eastAsia="Times New Roman" w:cs="Times New Roman"/>
        </w:rPr>
        <w:t>,</w:t>
      </w:r>
      <w:r>
        <w:rPr>
          <w:rFonts w:ascii="Microsoft YaHei" w:hAnsi="Microsoft YaHei" w:eastAsia="Microsoft YaHei" w:cs="Microsoft YaHei"/>
        </w:rPr>
        <w:t>或将来会被教皇权玷污呢？</w:t>
      </w:r>
    </w:p>
    <w:p>
      <w:pPr>
        <w:pStyle w:val="ArticleBody"/>
        <w:jc w:val="left"/>
      </w:pPr>
      <w:r>
        <w:rPr>
          <w:rFonts w:ascii="Times New Roman" w:hAnsi="Times New Roman" w:eastAsia="Times New Roman" w:cs="Times New Roman"/>
        </w:rPr>
        <w:t>بالتأكيد، تُسجَّل خطايا المسيحيين في أسفار المقدس السماوي، غير أن هذا التمثيل لا يعني أن مقدس الله قد تنجّس. فتطهير المقدس كان يرمز إلى تطهير أسفار السجل الموجودة في المقدس. وعلاوة على ذلك، فإن السلطة البابوية لم تكن قط مسيحية، ولذلك لم تُدخَل قط في أسفار الدينونة التحقيقية. أما الدينونة الوحيدة المعيَّنة للبابوية فهي الدينونة التنفيذية لغضب الله.</w:t>
      </w:r>
    </w:p>
    <w:p>
      <w:pPr>
        <w:pStyle w:val="ArticleBody"/>
        <w:jc w:val="left"/>
      </w:pPr>
      <w:r>
        <w:rPr>
          <w:rFonts w:ascii="Times New Roman" w:hAnsi="Times New Roman" w:eastAsia="Times New Roman" w:cs="Times New Roman"/>
        </w:rPr>
        <w:t>Les « bras » devaient aussi « placer l’abomination qui cause la désolation » : de quelle puissance s’agirait-il donc ? Quelle puissance la papauté a-t-elle établie ? Et quelle est cette puissance pour laquelle, dès l’ouverture même du verset trente et un, la papauté s’est levée ?</w:t>
      </w:r>
    </w:p>
    <w:p>
      <w:pPr>
        <w:pStyle w:val="ArticleBody"/>
        <w:jc w:val="left"/>
      </w:pPr>
      <w:r>
        <w:rPr>
          <w:rFonts w:ascii="Times New Roman" w:hAnsi="Times New Roman" w:eastAsia="Times New Roman" w:cs="Times New Roman"/>
        </w:rPr>
        <w:t>Wa wasua-learned mu Adventism wa Laodikea, awo baateeka obulamu bwabwe obutaggwaawo mu mikono gy’abantu abaamala dda okutegeezebwa ng’abatasobola kusoma ekitabo ekibikkiddwako envumbo, bayinza okubeera nga banyumirwa okusiigibwa ku matu gaabwe agagala okuwuliriza ebibasanyusa n’enkozesa eyo eyonoonese ey’Ebyawandiikibwa; naye kiba kya busiru nnyo okusingawo okugezaako okutwala ebyafaayo bye balina okutegeera okusobola okuwanirira ensobi yaabwe, ne babikwataganya n’ennyiriri omukaaga ezisembayo eza Danyeri kkumi n’emu.</w:t>
      </w:r>
    </w:p>
    <w:p>
      <w:pPr>
        <w:pStyle w:val="ArticleBody"/>
        <w:jc w:val="left"/>
      </w:pPr>
      <w:r>
        <w:rPr>
          <w:rFonts w:ascii="Times New Roman" w:hAnsi="Times New Roman" w:eastAsia="Times New Roman" w:cs="Times New Roman"/>
        </w:rPr>
        <w:t>Zgodnie z historią prowadzącą do upadku Związku Radzieckiego, który można wykazać jako przedstawionego w czterdziestym wersecie jedenastego rozdziału Księgi Daniela jako Króla Południa, potęga militarna Stanów Zjednoczonych stanęła po stronie papiestwa, gdy Ronald Reagan zawarł tajny sojusz z antychrystem proroctwa biblijnego. Tym samym dało to znak, że wszelki protestancki opór wobec wzrostu potęgi papiestwa został w Stanach Zjednoczonych poskromiony, jak to zostało zobrazowane przez usunięcie oporu pogaństwa w roku 508. Król Północy (papiestwo) w tym fragmencie najpierw zmiótł Związek Radziecki w roku 1989 i uczynił to we współpracy z „rydwanami” i „jeźdźcami”, przedstawiającymi potęgę militarną Stanów Zjednoczonych, a także z gospodarczą siłą Stanów Zjednoczonych, ukazaną przez „okręty”.</w:t>
      </w:r>
    </w:p>
    <w:p>
      <w:pPr>
        <w:pStyle w:val="ArticleBody"/>
        <w:jc w:val="left"/>
      </w:pPr>
      <w:r>
        <w:rPr>
          <w:rFonts w:ascii="Times New Roman" w:hAnsi="Times New Roman" w:eastAsia="Times New Roman" w:cs="Times New Roman"/>
        </w:rPr>
        <w:t>Amurkaa dhaabbata “harka” papacy’f dhaabate ture. Pirootestaantizimiin ni haqame, akkuma mormiin heera waaqeffannaa mootummaa Roomaa durii bara 508tti jilbeenfate sana. Keeyyata afurtamaa fi tokko keessatti Amurkan papacy’n ni mo’amti, mootummaa walabummaa Ameerikaa kan ta’e Heerri Mootummaa Amurkaa, inni “iddoo qulqulluu humnaa” jedhamu sun ni garagalfama; kunis akkuma Roomaan waaqeffannaa moototaa durii bara 538tti Mootii Kaabaa (papacy) teessoo lafaa irra kaa’e sana, Amurkanis Mootii Kaabaa teessoo lafaa irra yeroo kaa’utti ta’a. Yoo barruulee marsariitii kanaa dubbisaa jirtan ta’e, maxxansa The Time of the End buufatanii dubbisuu dandeessu; achitti dhiheessi caalaatti guutuun waa’ee keeyyatoota jahan dhumaa Daani’el boqonnaa kudha tokkoffaa ni argama. Amma garuu nuti salphaatti kan adda baasnu, eenyummaa “kan yeroo hunda” jedhamu akka tajaajila iddoo qulqulluu Kiristoositti hiikuun hojii mallattoo sana irratti hojii hiikaa sobaa ta’uu isaa qofa. Kana kan goonu, hojii hiikaa sobaa sun soba kaayyoodhaan qophaa’e tokkoon Adventizimii Laa’oodiiqeyaa irratti akka fe’ame argisiisuuf.</w:t>
      </w:r>
    </w:p>
    <w:p>
      <w:pPr>
        <w:pStyle w:val="ArticleBody"/>
        <w:jc w:val="left"/>
      </w:pPr>
      <w:r>
        <w:rPr>
          <w:rFonts w:ascii="Times New Roman" w:hAnsi="Times New Roman" w:eastAsia="Times New Roman" w:cs="Times New Roman"/>
        </w:rPr>
        <w:t>Nous continuerons à examiner le mensonge prophétique dans le prochain article.</w:t>
      </w:r>
    </w:p>
    <w:p>
      <w:pPr>
        <w:pStyle w:val="ArticleScripture"/>
        <w:jc w:val="left"/>
      </w:pPr>
      <w:r>
        <w:rPr>
          <w:rFonts w:ascii="Times New Roman" w:hAnsi="Times New Roman" w:eastAsia="Times New Roman" w:cs="Times New Roman"/>
        </w:rPr>
        <w:t>“Nous n’avons pas de temps à perdre. Des temps de détresse sont devant nous. Le monde est agité par l’esprit de guerre. Bientôt s’accompliront les scènes de trouble annoncées dans les prophéties. La prophétie du chapitre onze de Daniel est presque parvenue à son entier accomplissement. Une grande partie de l’histoire qui s’est déroulée en accomplissement de cette prophétie se répétera. ”</w:t>
      </w:r>
    </w:p>
    <w:p>
      <w:pPr>
        <w:pStyle w:val="ArticleScripture"/>
        <w:jc w:val="left"/>
      </w:pPr>
      <w:r>
        <w:rPr>
          <w:rFonts w:ascii="Times New Roman" w:hAnsi="Times New Roman" w:eastAsia="Times New Roman" w:cs="Times New Roman"/>
        </w:rPr>
        <w:t>“Ndime mu murongo wa mirongo itatu havugwamo ubasha ‘uzababazwa, ugasubira inyuma, kandi uzarakarira isezerano ryera; niko azakora; ndetse azagaruka, agire ubwumvikane n’abata isezerano ryera. Kandi ingabo zizahagarara ku ruhande rwe, kandi zizahumanya ubuturo bwera bw’igihome, kandi zizakuraho igitambo gihoraho, kandi zizashyiraho ikizira giteza umusaka. Kandi abakora ibibi ku isezerano azabonesha ubwononekare abinyujije mu buriganya bunoheje; ariko abantu bazi Imana yabo bazakomera, kandi bazakora iby’igihangange. Kandi abafite ubwenge bo mu bantu bazigisha benshi; nyamara bazagwa ku nkota, no mu muriro, no mu bunyage, no mu gusahurwa, iminsi myinshi. Nuko nibagwa, bazafashwa n’ubufasha buto; ariko benshi bazifatanya na bo babitewe n’amagambo aryoshya. Kandi bamwe muri abo banyabwenge bazagwa, kugira ngo bageragerezwe, kandi batyororwe, kandi beze, bagezwe no mu gihe cy’imperuka: kuko ibyo bizaba mu gihe cyagenwe. Kandi umwami azakora ibihuje n’ubushake bwe; kandi azishyira hejuru, kandi azikuza asumba buri mana yose, kandi azavuga amagambo atangaje arwanya Imana y’imana, kandi azagubwa neza kugeza aho umujinya uzarangirira: kuko icyagennye gitegetswe ari cyo kizakorwa.’ Daniyeli 11:30–36.”</w:t>
      </w:r>
    </w:p>
    <w:p>
      <w:pPr>
        <w:pStyle w:val="ArticleScripture"/>
        <w:jc w:val="left"/>
      </w:pPr>
      <w:r>
        <w:rPr>
          <w:rFonts w:ascii="Times New Roman" w:hAnsi="Times New Roman" w:eastAsia="Times New Roman" w:cs="Times New Roman"/>
        </w:rPr>
        <w:t>“Les scènes semblables à celles qui sont décrites dans ces paroles auront lieu. Nous voyons la preuve que Satan s’empare rapidement du contrôle des esprits humains qui n’ont pas la crainte de Dieu devant eux. Que tous lisent et comprennent les prophéties de ce livre, car nous entrons maintenant dans le temps de détresse dont il a été parlé :”</w:t>
      </w:r>
    </w:p>
    <w:p>
      <w:pPr>
        <w:pStyle w:val="ArticleScripture"/>
        <w:jc w:val="left"/>
      </w:pPr>
      <w:r>
        <w:rPr>
          <w:rFonts w:ascii="Times New Roman" w:hAnsi="Times New Roman" w:eastAsia="Times New Roman" w:cs="Times New Roman"/>
        </w:rPr>
        <w:t>“‘Et en ce temps-là se lèvera Micaël, le grand chef qui se tient pour les enfants de ton peuple; et ce sera un temps de détresse tel qu’il n’y en a point eu depuis qu’existe une nation jusqu’à ce temps-là. En ce temps-là, ton peuple sera délivré, quiconque sera trouvé inscrit dans le livre. Et plusieurs de ceux qui dorment dans la poussière de la terre se réveilleront, les uns pour la vie éternelle, et les autres pour l’opprobre et la honte éternelle. Ceux qui auront été sages resplendiront comme la splendeur du firmament; et ceux qui en auront amené plusieurs à la justice brilleront comme les étoiles, à toujours et à perpétuité. Mais toi, Daniel, tiens secrètes ces paroles et scelle le livre jusqu’au temps de la fin: plusieurs alors le parcourront, et la connaissance augmentera.’ Daniel 12:1–4.” Manuscript Releases, no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Quatre-vingt-six</dc:title>
  <dc:subject>Læspælcendlic Onwrigennes: Tō Understondenne þæne Ēacenunge Þæs Cnōwleċes and Þone Midsihtes Clypunges Bōdskap</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