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 ایل - نمبر ستاسی</w:t>
      </w:r>
    </w:p>
    <w:p>
      <w:pPr>
        <w:pStyle w:val="ArticleSubtitle"/>
        <w:jc w:val="left"/>
      </w:pPr>
      <w:r>
        <w:rPr>
          <w:rFonts w:ascii="Arial" w:hAnsi="Arial" w:eastAsia="Arial" w:cs="Arial"/>
        </w:rPr>
        <w:t>Découvrir la parabole des dix vierges : un parcours profond à travers l’histoire adventiste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La parabole des dix vierges illustre l’expérience du peuple adventiste.</w:t>
      </w:r>
    </w:p>
    <w:p>
      <w:pPr>
        <w:pStyle w:val="ArticleScripture"/>
        <w:jc w:val="left"/>
      </w:pPr>
      <w:r>
        <w:rPr>
          <w:rFonts w:ascii="Times New Roman" w:hAnsi="Times New Roman" w:eastAsia="Times New Roman" w:cs="Times New Roman"/>
        </w:rPr>
        <w:t>«Η παραβολή των δέκα παρθένων του κατά Ματθαίον 25 απεικονίζει επίσης την εμπειρία του Αντβεντιστικού λαού.» The Great Controversy, 393.</w:t>
      </w:r>
    </w:p>
    <w:p>
      <w:pPr>
        <w:pStyle w:val="ArticleBody"/>
        <w:jc w:val="left"/>
      </w:pPr>
      <w:r>
        <w:rPr>
          <w:rFonts w:ascii="Times New Roman" w:hAnsi="Times New Roman" w:eastAsia="Times New Roman" w:cs="Times New Roman"/>
        </w:rPr>
        <w:t>Les adventistes millérites accomplirent la parabole à la lettre même.</w:t>
      </w:r>
    </w:p>
    <w:p>
      <w:pPr>
        <w:pStyle w:val="ArticleScripture"/>
        <w:jc w:val="left"/>
      </w:pPr>
      <w:r>
        <w:rPr>
          <w:rFonts w:ascii="Microsoft YaHei" w:hAnsi="Microsoft YaHei" w:eastAsia="Microsoft YaHei" w:cs="Microsoft YaHei"/>
        </w:rPr>
        <w:t>「</w:t>
      </w:r>
      <w:r>
        <w:rPr>
          <w:rFonts w:ascii="MS Gothic" w:hAnsi="MS Gothic" w:eastAsia="MS Gothic" w:cs="MS Gothic"/>
        </w:rPr>
        <w:t>わたしはしばしば</w:t>
      </w:r>
      <w:r>
        <w:rPr>
          <w:rFonts w:ascii="Microsoft YaHei" w:hAnsi="Microsoft YaHei" w:eastAsia="Microsoft YaHei" w:cs="Microsoft YaHei"/>
        </w:rPr>
        <w:t>、十人</w:t>
      </w:r>
      <w:r>
        <w:rPr>
          <w:rFonts w:ascii="MS Gothic" w:hAnsi="MS Gothic" w:eastAsia="MS Gothic" w:cs="MS Gothic"/>
        </w:rPr>
        <w:t>のおとめのたとえへと</w:t>
      </w:r>
      <w:r>
        <w:rPr>
          <w:rFonts w:ascii="Microsoft YaHei" w:hAnsi="Microsoft YaHei" w:eastAsia="Microsoft YaHei" w:cs="Microsoft YaHei"/>
        </w:rPr>
        <w:t>注意</w:t>
      </w:r>
      <w:r>
        <w:rPr>
          <w:rFonts w:ascii="MS Gothic" w:hAnsi="MS Gothic" w:eastAsia="MS Gothic" w:cs="MS Gothic"/>
        </w:rPr>
        <w:t>を</w:t>
      </w:r>
      <w:r>
        <w:rPr>
          <w:rFonts w:ascii="Microsoft YaHei" w:hAnsi="Microsoft YaHei" w:eastAsia="Microsoft YaHei" w:cs="Microsoft YaHei"/>
        </w:rPr>
        <w:t>向</w:t>
      </w:r>
      <w:r>
        <w:rPr>
          <w:rFonts w:ascii="MS Gothic" w:hAnsi="MS Gothic" w:eastAsia="MS Gothic" w:cs="MS Gothic"/>
        </w:rPr>
        <w:t>けさせられる</w:t>
      </w:r>
      <w:r>
        <w:rPr>
          <w:rFonts w:ascii="Times New Roman" w:hAnsi="Times New Roman" w:eastAsia="Times New Roman" w:cs="Times New Roman"/>
        </w:rPr>
        <w:t>.</w:t>
      </w:r>
      <w:r>
        <w:rPr>
          <w:rFonts w:ascii="MS Gothic" w:hAnsi="MS Gothic" w:eastAsia="MS Gothic" w:cs="MS Gothic"/>
        </w:rPr>
        <w:t>そのうち</w:t>
      </w:r>
      <w:r>
        <w:rPr>
          <w:rFonts w:ascii="Microsoft YaHei" w:hAnsi="Microsoft YaHei" w:eastAsia="Microsoft YaHei" w:cs="Microsoft YaHei"/>
        </w:rPr>
        <w:t>五人</w:t>
      </w:r>
      <w:r>
        <w:rPr>
          <w:rFonts w:ascii="MS Gothic" w:hAnsi="MS Gothic" w:eastAsia="MS Gothic" w:cs="MS Gothic"/>
        </w:rPr>
        <w:t>は</w:t>
      </w:r>
      <w:r>
        <w:rPr>
          <w:rFonts w:ascii="Microsoft YaHei" w:hAnsi="Microsoft YaHei" w:eastAsia="Microsoft YaHei" w:cs="Microsoft YaHei"/>
        </w:rPr>
        <w:t>賢</w:t>
      </w:r>
      <w:r>
        <w:rPr>
          <w:rFonts w:ascii="MS Gothic" w:hAnsi="MS Gothic" w:eastAsia="MS Gothic" w:cs="MS Gothic"/>
        </w:rPr>
        <w:t>く</w:t>
      </w:r>
      <w:r>
        <w:rPr>
          <w:rFonts w:ascii="Microsoft YaHei" w:hAnsi="Microsoft YaHei" w:eastAsia="Microsoft YaHei" w:cs="Microsoft YaHei"/>
        </w:rPr>
        <w:t>、五人</w:t>
      </w:r>
      <w:r>
        <w:rPr>
          <w:rFonts w:ascii="MS Gothic" w:hAnsi="MS Gothic" w:eastAsia="MS Gothic" w:cs="MS Gothic"/>
        </w:rPr>
        <w:t>は</w:t>
      </w:r>
      <w:r>
        <w:rPr>
          <w:rFonts w:ascii="Microsoft YaHei" w:hAnsi="Microsoft YaHei" w:eastAsia="Microsoft YaHei" w:cs="Microsoft YaHei"/>
        </w:rPr>
        <w:t>愚</w:t>
      </w:r>
      <w:r>
        <w:rPr>
          <w:rFonts w:ascii="MS Gothic" w:hAnsi="MS Gothic" w:eastAsia="MS Gothic" w:cs="MS Gothic"/>
        </w:rPr>
        <w:t>かであった</w:t>
      </w:r>
      <w:r>
        <w:rPr>
          <w:rFonts w:ascii="Times New Roman" w:hAnsi="Times New Roman" w:eastAsia="Times New Roman" w:cs="Times New Roman"/>
        </w:rPr>
        <w:t>.</w:t>
      </w:r>
      <w:r>
        <w:rPr>
          <w:rFonts w:ascii="MS Gothic" w:hAnsi="MS Gothic" w:eastAsia="MS Gothic" w:cs="MS Gothic"/>
        </w:rPr>
        <w:t>このたとえは</w:t>
      </w:r>
      <w:r>
        <w:rPr>
          <w:rFonts w:ascii="Microsoft YaHei" w:hAnsi="Microsoft YaHei" w:eastAsia="Microsoft YaHei" w:cs="Microsoft YaHei"/>
        </w:rPr>
        <w:t>、一字一句</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w:t>
      </w:r>
      <w:r>
        <w:rPr>
          <w:rFonts w:ascii="Microsoft YaHei" w:hAnsi="Microsoft YaHei" w:eastAsia="Microsoft YaHei" w:cs="Microsoft YaHei"/>
        </w:rPr>
        <w:t>成就</w:t>
      </w:r>
      <w:r>
        <w:rPr>
          <w:rFonts w:ascii="MS Gothic" w:hAnsi="MS Gothic" w:eastAsia="MS Gothic" w:cs="MS Gothic"/>
        </w:rPr>
        <w:t>してきたし</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成就</w:t>
      </w:r>
      <w:r>
        <w:rPr>
          <w:rFonts w:ascii="MS Gothic" w:hAnsi="MS Gothic" w:eastAsia="MS Gothic" w:cs="MS Gothic"/>
        </w:rPr>
        <w:t>されるであろう</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w:t>
      </w:r>
      <w:r>
        <w:rPr>
          <w:rFonts w:ascii="MS Gothic" w:hAnsi="MS Gothic" w:eastAsia="MS Gothic" w:cs="MS Gothic"/>
        </w:rPr>
        <w:t>それはこの</w:t>
      </w:r>
      <w:r>
        <w:rPr>
          <w:rFonts w:ascii="Microsoft YaHei" w:hAnsi="Microsoft YaHei" w:eastAsia="Microsoft YaHei" w:cs="Microsoft YaHei"/>
        </w:rPr>
        <w:t>時代</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特別</w:t>
      </w:r>
      <w:r>
        <w:rPr>
          <w:rFonts w:ascii="MS Gothic" w:hAnsi="MS Gothic" w:eastAsia="MS Gothic" w:cs="MS Gothic"/>
        </w:rPr>
        <w:t>な</w:t>
      </w:r>
      <w:r>
        <w:rPr>
          <w:rFonts w:ascii="Microsoft YaHei" w:hAnsi="Microsoft YaHei" w:eastAsia="Microsoft YaHei" w:cs="Microsoft YaHei"/>
        </w:rPr>
        <w:t>適用</w:t>
      </w:r>
      <w:r>
        <w:rPr>
          <w:rFonts w:ascii="MS Gothic" w:hAnsi="MS Gothic" w:eastAsia="MS Gothic" w:cs="MS Gothic"/>
        </w:rPr>
        <w:t>を</w:t>
      </w:r>
      <w:r>
        <w:rPr>
          <w:rFonts w:ascii="Microsoft YaHei" w:hAnsi="Microsoft YaHei" w:eastAsia="Microsoft YaHei" w:cs="Microsoft YaHei"/>
        </w:rPr>
        <w:t>有</w:t>
      </w:r>
      <w:r>
        <w:rPr>
          <w:rFonts w:ascii="MS Gothic" w:hAnsi="MS Gothic" w:eastAsia="MS Gothic" w:cs="MS Gothic"/>
        </w:rPr>
        <w:t>しており</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第三天使</w:t>
      </w:r>
      <w:r>
        <w:rPr>
          <w:rFonts w:ascii="MS Gothic" w:hAnsi="MS Gothic" w:eastAsia="MS Gothic" w:cs="MS Gothic"/>
        </w:rPr>
        <w:t>の</w:t>
      </w:r>
      <w:r>
        <w:rPr>
          <w:rFonts w:ascii="Microsoft YaHei" w:hAnsi="Microsoft YaHei" w:eastAsia="Microsoft YaHei" w:cs="Microsoft YaHei"/>
        </w:rPr>
        <w:t>使命</w:t>
      </w:r>
      <w:r>
        <w:rPr>
          <w:rFonts w:ascii="MS Gothic" w:hAnsi="MS Gothic" w:eastAsia="MS Gothic" w:cs="MS Gothic"/>
        </w:rPr>
        <w:t>と</w:t>
      </w:r>
      <w:r>
        <w:rPr>
          <w:rFonts w:ascii="Microsoft YaHei" w:hAnsi="Microsoft YaHei" w:eastAsia="Microsoft YaHei" w:cs="Microsoft YaHei"/>
        </w:rPr>
        <w:t>同様</w:t>
      </w:r>
      <w:r>
        <w:rPr>
          <w:rFonts w:ascii="MS Gothic" w:hAnsi="MS Gothic" w:eastAsia="MS Gothic" w:cs="MS Gothic"/>
        </w:rPr>
        <w:t>に</w:t>
      </w:r>
      <w:r>
        <w:rPr>
          <w:rFonts w:ascii="Microsoft YaHei" w:hAnsi="Microsoft YaHei" w:eastAsia="Microsoft YaHei" w:cs="Microsoft YaHei"/>
        </w:rPr>
        <w:t>、成就</w:t>
      </w:r>
      <w:r>
        <w:rPr>
          <w:rFonts w:ascii="MS Gothic" w:hAnsi="MS Gothic" w:eastAsia="MS Gothic" w:cs="MS Gothic"/>
        </w:rPr>
        <w:t>してきたのであり</w:t>
      </w:r>
      <w:r>
        <w:rPr>
          <w:rFonts w:ascii="Microsoft YaHei" w:hAnsi="Microsoft YaHei" w:eastAsia="Microsoft YaHei" w:cs="Microsoft YaHei"/>
        </w:rPr>
        <w:t>、時</w:t>
      </w:r>
      <w:r>
        <w:rPr>
          <w:rFonts w:ascii="MS Gothic" w:hAnsi="MS Gothic" w:eastAsia="MS Gothic" w:cs="MS Gothic"/>
        </w:rPr>
        <w:t>の</w:t>
      </w:r>
      <w:r>
        <w:rPr>
          <w:rFonts w:ascii="Microsoft YaHei" w:hAnsi="Microsoft YaHei" w:eastAsia="Microsoft YaHei" w:cs="Microsoft YaHei"/>
        </w:rPr>
        <w:t>終</w:t>
      </w:r>
      <w:r>
        <w:rPr>
          <w:rFonts w:ascii="MS Gothic" w:hAnsi="MS Gothic" w:eastAsia="MS Gothic" w:cs="MS Gothic"/>
        </w:rPr>
        <w:t>わりに</w:t>
      </w:r>
      <w:r>
        <w:rPr>
          <w:rFonts w:ascii="Microsoft YaHei" w:hAnsi="Microsoft YaHei" w:eastAsia="Microsoft YaHei" w:cs="Microsoft YaHei"/>
        </w:rPr>
        <w:t>至</w:t>
      </w:r>
      <w:r>
        <w:rPr>
          <w:rFonts w:ascii="MS Gothic" w:hAnsi="MS Gothic" w:eastAsia="MS Gothic" w:cs="MS Gothic"/>
        </w:rPr>
        <w:t>るまで</w:t>
      </w:r>
      <w:r>
        <w:rPr>
          <w:rFonts w:ascii="Microsoft YaHei" w:hAnsi="Microsoft YaHei" w:eastAsia="Microsoft YaHei" w:cs="Microsoft YaHei"/>
        </w:rPr>
        <w:t>現在</w:t>
      </w:r>
      <w:r>
        <w:rPr>
          <w:rFonts w:ascii="MS Gothic" w:hAnsi="MS Gothic" w:eastAsia="MS Gothic" w:cs="MS Gothic"/>
        </w:rPr>
        <w:t>の</w:t>
      </w:r>
      <w:r>
        <w:rPr>
          <w:rFonts w:ascii="Microsoft YaHei" w:hAnsi="Microsoft YaHei" w:eastAsia="Microsoft YaHei" w:cs="Microsoft YaHei"/>
        </w:rPr>
        <w:t>真理</w:t>
      </w:r>
      <w:r>
        <w:rPr>
          <w:rFonts w:ascii="MS Gothic" w:hAnsi="MS Gothic" w:eastAsia="MS Gothic" w:cs="MS Gothic"/>
        </w:rPr>
        <w:t>として</w:t>
      </w:r>
      <w:r>
        <w:rPr>
          <w:rFonts w:ascii="Microsoft YaHei" w:hAnsi="Microsoft YaHei" w:eastAsia="Microsoft YaHei" w:cs="Microsoft YaHei"/>
        </w:rPr>
        <w:t>存続</w:t>
      </w:r>
      <w:r>
        <w:rPr>
          <w:rFonts w:ascii="MS Gothic" w:hAnsi="MS Gothic" w:eastAsia="MS Gothic" w:cs="MS Gothic"/>
        </w:rPr>
        <w:t>し</w:t>
      </w:r>
      <w:r>
        <w:rPr>
          <w:rFonts w:ascii="Microsoft YaHei" w:hAnsi="Microsoft YaHei" w:eastAsia="Microsoft YaHei" w:cs="Microsoft YaHei"/>
        </w:rPr>
        <w:t>続</w:t>
      </w:r>
      <w:r>
        <w:rPr>
          <w:rFonts w:ascii="MS Gothic" w:hAnsi="MS Gothic" w:eastAsia="MS Gothic" w:cs="MS Gothic"/>
        </w:rPr>
        <w:t>けるからである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Review and Herald, August 19, 1890.</w:t>
      </w:r>
    </w:p>
    <w:p>
      <w:pPr>
        <w:pStyle w:val="ArticleBody"/>
        <w:jc w:val="left"/>
      </w:pPr>
      <w:r>
        <w:rPr>
          <w:rFonts w:ascii="Times New Roman" w:hAnsi="Times New Roman" w:eastAsia="Times New Roman" w:cs="Times New Roman"/>
        </w:rPr>
        <w:t>Historia ya mwendo wa malaika wa kwanza inawakilisha mwendo wa malaika wa tatu, na lengo la mwisho la mfano huo ni ikiwa wanawali wana mafuta, ambayo ndiyo ujumbe wa mvua ya masika ya mwisho.</w:t>
      </w:r>
    </w:p>
    <w:p>
      <w:pPr>
        <w:pStyle w:val="ArticleScripture"/>
        <w:jc w:val="left"/>
      </w:pPr>
      <w:r>
        <w:rPr>
          <w:rFonts w:ascii="Times New Roman" w:hAnsi="Times New Roman" w:eastAsia="Times New Roman" w:cs="Times New Roman"/>
        </w:rPr>
        <w:t>« Kuna ulimwengu uliolala katika uovu, katika udanganyifu na upotofu, katika kivuli chenyewe cha mauti,—umelala, umelala. Ni nani wanaohisi utungu wa nafsi ili kuwaamsha? Ni sauti gani inayoweza kuwafikia? Mawazo yangu yanaelekezwa wakati ujao, wakati ishara itakapotolewa, ‘Tazama, Bwana-arusi anakuja; tokeni mwende kumlaki.’ Lakini wengine watakuwa wamechelewa kupata mafuta ya kujazia taa zao, na wakiwa wamechelewa mno watagundua kwamba tabia, inayowakilishwa na mafuta, haiwezi kuhamishwa kutoka kwa mtu mmoja kwenda kwa mwingine. Mafuta hayo ni haki ya Kristo. Yanawakilisha tabia, nayo tabia haihamishiki. Hakuna mtu awezaye kuipata kwa ajili ya mwingine. Kila mmoja ni lazima ajipatie mwenyewe tabia iliyosafishwa kutoka katika kila doa la dhambi. » Bible Echo, May 4, 1896.</w:t>
      </w:r>
    </w:p>
    <w:p>
      <w:pPr>
        <w:pStyle w:val="ArticleBody"/>
        <w:jc w:val="left"/>
      </w:pPr>
      <w:r>
        <w:rPr>
          <w:rFonts w:ascii="Times New Roman" w:hAnsi="Times New Roman" w:eastAsia="Times New Roman" w:cs="Times New Roman"/>
        </w:rPr>
        <w:t>Ní àkàwé náà, “òróró” dúró fún “ìwà,” ó sì tún dúró fún “òdodo Kristi.” Ìwà tí a ti sọ di mímọ́ ni a kàn ń rí lára àwọn tí ń jẹ Ọ̀rọ̀ Ọlọ́run.</w:t>
      </w:r>
    </w:p>
    <w:p>
      <w:pPr>
        <w:pStyle w:val="ArticleScripture"/>
        <w:jc w:val="left"/>
      </w:pP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বাক্যই</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১৭</w:t>
      </w:r>
      <w:r>
        <w:rPr>
          <w:rFonts w:ascii="Times New Roman" w:hAnsi="Times New Roman" w:eastAsia="Times New Roman" w:cs="Times New Roman"/>
        </w:rPr>
        <w:t>:</w:t>
      </w:r>
      <w:r>
        <w:rPr>
          <w:rFonts w:ascii="Nirmala UI" w:hAnsi="Nirmala UI" w:eastAsia="Nirmala UI" w:cs="Nirmala UI"/>
        </w:rPr>
        <w:t>১৭।</w:t>
      </w:r>
    </w:p>
    <w:p>
      <w:pPr>
        <w:pStyle w:val="ArticleBody"/>
        <w:jc w:val="left"/>
      </w:pPr>
      <w:r>
        <w:rPr>
          <w:rFonts w:ascii="Times New Roman" w:hAnsi="Times New Roman" w:eastAsia="Times New Roman" w:cs="Times New Roman"/>
        </w:rPr>
        <w:t>“’huile” est aussi les messages de l’Esprit de Dieu.</w:t>
      </w:r>
    </w:p>
    <w:p>
      <w:pPr>
        <w:pStyle w:val="ArticleScripture"/>
        <w:jc w:val="left"/>
      </w:pPr>
      <w:r>
        <w:rPr>
          <w:rFonts w:ascii="Times New Roman" w:hAnsi="Times New Roman" w:eastAsia="Times New Roman" w:cs="Times New Roman"/>
        </w:rPr>
        <w:t>“Bwana Mungu hadharauliwi tunaposhindwa kupokea mawasiliano anayotupelekea. Kwa hivyo tunakataa mafuta ya dhahabu ambayo angalimimina ndani ya nafsi zetu ili yapitishwe kwa wale walio gizani.” Review and Herald, July 20, 1897.</w:t>
      </w:r>
    </w:p>
    <w:p>
      <w:pPr>
        <w:pStyle w:val="ArticleBody"/>
        <w:jc w:val="left"/>
      </w:pPr>
      <w:r>
        <w:rPr>
          <w:rFonts w:ascii="Microsoft YaHei" w:hAnsi="Microsoft YaHei" w:eastAsia="Microsoft YaHei" w:cs="Microsoft YaHei"/>
        </w:rPr>
        <w:t>「油」</w:t>
      </w:r>
      <w:r>
        <w:rPr>
          <w:rFonts w:ascii="MS Gothic" w:hAnsi="MS Gothic" w:eastAsia="MS Gothic" w:cs="MS Gothic"/>
        </w:rPr>
        <w:t>とは</w:t>
      </w:r>
      <w:r>
        <w:rPr>
          <w:rFonts w:ascii="Microsoft YaHei" w:hAnsi="Microsoft YaHei" w:eastAsia="Microsoft YaHei" w:cs="Microsoft YaHei"/>
        </w:rPr>
        <w:t>、</w:t>
      </w:r>
      <w:r>
        <w:rPr>
          <w:rFonts w:ascii="MS Gothic" w:hAnsi="MS Gothic" w:eastAsia="MS Gothic" w:cs="MS Gothic"/>
        </w:rPr>
        <w:t>キリストの</w:t>
      </w:r>
      <w:r>
        <w:rPr>
          <w:rFonts w:ascii="Microsoft YaHei" w:hAnsi="Microsoft YaHei" w:eastAsia="Microsoft YaHei" w:cs="Microsoft YaHei"/>
        </w:rPr>
        <w:t>義</w:t>
      </w:r>
      <w:r>
        <w:rPr>
          <w:rFonts w:ascii="MS Gothic" w:hAnsi="MS Gothic" w:eastAsia="MS Gothic" w:cs="MS Gothic"/>
        </w:rPr>
        <w:t>という</w:t>
      </w:r>
      <w:r>
        <w:rPr>
          <w:rFonts w:ascii="Microsoft YaHei" w:hAnsi="Microsoft YaHei" w:eastAsia="Microsoft YaHei" w:cs="Microsoft YaHei"/>
        </w:rPr>
        <w:t>聖化</w:t>
      </w:r>
      <w:r>
        <w:rPr>
          <w:rFonts w:ascii="MS Gothic" w:hAnsi="MS Gothic" w:eastAsia="MS Gothic" w:cs="MS Gothic"/>
        </w:rPr>
        <w:t>する</w:t>
      </w:r>
      <w:r>
        <w:rPr>
          <w:rFonts w:ascii="Microsoft YaHei" w:hAnsi="Microsoft YaHei" w:eastAsia="Microsoft YaHei" w:cs="Microsoft YaHei"/>
        </w:rPr>
        <w:t>臨在</w:t>
      </w:r>
      <w:r>
        <w:rPr>
          <w:rFonts w:ascii="MS Gothic" w:hAnsi="MS Gothic" w:eastAsia="MS Gothic" w:cs="MS Gothic"/>
        </w:rPr>
        <w:t>を</w:t>
      </w:r>
      <w:r>
        <w:rPr>
          <w:rFonts w:ascii="Microsoft YaHei" w:hAnsi="Microsoft YaHei" w:eastAsia="Microsoft YaHei" w:cs="Microsoft YaHei"/>
        </w:rPr>
        <w:t>伝</w:t>
      </w:r>
      <w:r>
        <w:rPr>
          <w:rFonts w:ascii="MS Gothic" w:hAnsi="MS Gothic" w:eastAsia="MS Gothic" w:cs="MS Gothic"/>
        </w:rPr>
        <w:t>える</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御言葉</w:t>
      </w:r>
      <w:r>
        <w:rPr>
          <w:rFonts w:ascii="MS Gothic" w:hAnsi="MS Gothic" w:eastAsia="MS Gothic" w:cs="MS Gothic"/>
        </w:rPr>
        <w:t>の</w:t>
      </w:r>
      <w:r>
        <w:rPr>
          <w:rFonts w:ascii="Microsoft YaHei" w:hAnsi="Microsoft YaHei" w:eastAsia="Microsoft YaHei" w:cs="Microsoft YaHei"/>
        </w:rPr>
        <w:t>諸消息</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十人</w:t>
      </w:r>
      <w:r>
        <w:rPr>
          <w:rFonts w:ascii="MS Gothic" w:hAnsi="MS Gothic" w:eastAsia="MS Gothic" w:cs="MS Gothic"/>
        </w:rPr>
        <w:t>のおとめのたとえにおいて</w:t>
      </w:r>
      <w:r>
        <w:rPr>
          <w:rFonts w:ascii="Microsoft YaHei" w:hAnsi="Microsoft YaHei" w:eastAsia="Microsoft YaHei" w:cs="Microsoft YaHei"/>
        </w:rPr>
        <w:t>、</w:t>
      </w:r>
      <w:r>
        <w:rPr>
          <w:rFonts w:ascii="MS Gothic" w:hAnsi="MS Gothic" w:eastAsia="MS Gothic" w:cs="MS Gothic"/>
        </w:rPr>
        <w:t>そしてまたハバクク</w:t>
      </w:r>
      <w:r>
        <w:rPr>
          <w:rFonts w:ascii="Microsoft YaHei" w:hAnsi="Microsoft YaHei" w:eastAsia="Microsoft YaHei" w:cs="Microsoft YaHei"/>
        </w:rPr>
        <w:t>書第二章</w:t>
      </w:r>
      <w:r>
        <w:rPr>
          <w:rFonts w:ascii="MS Gothic" w:hAnsi="MS Gothic" w:eastAsia="MS Gothic" w:cs="MS Gothic"/>
        </w:rPr>
        <w:t>の</w:t>
      </w:r>
      <w:r>
        <w:rPr>
          <w:rFonts w:ascii="Microsoft YaHei" w:hAnsi="Microsoft YaHei" w:eastAsia="Microsoft YaHei" w:cs="Microsoft YaHei"/>
        </w:rPr>
        <w:t>預言</w:t>
      </w:r>
      <w:r>
        <w:rPr>
          <w:rFonts w:ascii="MS Gothic" w:hAnsi="MS Gothic" w:eastAsia="MS Gothic" w:cs="MS Gothic"/>
        </w:rPr>
        <w:t>においても</w:t>
      </w:r>
      <w:r>
        <w:rPr>
          <w:rFonts w:ascii="Microsoft YaHei" w:hAnsi="Microsoft YaHei" w:eastAsia="Microsoft YaHei" w:cs="Microsoft YaHei"/>
        </w:rPr>
        <w:t>、真夜中</w:t>
      </w:r>
      <w:r>
        <w:rPr>
          <w:rFonts w:ascii="MS Gothic" w:hAnsi="MS Gothic" w:eastAsia="MS Gothic" w:cs="MS Gothic"/>
        </w:rPr>
        <w:t>の</w:t>
      </w:r>
      <w:r>
        <w:rPr>
          <w:rFonts w:ascii="Microsoft YaHei" w:hAnsi="Microsoft YaHei" w:eastAsia="Microsoft YaHei" w:cs="Microsoft YaHei"/>
        </w:rPr>
        <w:t>叫</w:t>
      </w:r>
      <w:r>
        <w:rPr>
          <w:rFonts w:ascii="MS Gothic" w:hAnsi="MS Gothic" w:eastAsia="MS Gothic" w:cs="MS Gothic"/>
        </w:rPr>
        <w:t>びの</w:t>
      </w:r>
      <w:r>
        <w:rPr>
          <w:rFonts w:ascii="Microsoft YaHei" w:hAnsi="Microsoft YaHei" w:eastAsia="Microsoft YaHei" w:cs="Microsoft YaHei"/>
        </w:rPr>
        <w:t>消息、</w:t>
      </w:r>
      <w:r>
        <w:rPr>
          <w:rFonts w:ascii="MS Gothic" w:hAnsi="MS Gothic" w:eastAsia="MS Gothic" w:cs="MS Gothic"/>
        </w:rPr>
        <w:t>すなわちキリストの</w:t>
      </w:r>
      <w:r>
        <w:rPr>
          <w:rFonts w:ascii="Microsoft YaHei" w:hAnsi="Microsoft YaHei" w:eastAsia="Microsoft YaHei" w:cs="Microsoft YaHei"/>
        </w:rPr>
        <w:t>義</w:t>
      </w:r>
      <w:r>
        <w:rPr>
          <w:rFonts w:ascii="MS Gothic" w:hAnsi="MS Gothic" w:eastAsia="MS Gothic" w:cs="MS Gothic"/>
        </w:rPr>
        <w:t>の</w:t>
      </w:r>
      <w:r>
        <w:rPr>
          <w:rFonts w:ascii="Microsoft YaHei" w:hAnsi="Microsoft YaHei" w:eastAsia="Microsoft YaHei" w:cs="Microsoft YaHei"/>
        </w:rPr>
        <w:t>消息</w:t>
      </w:r>
      <w:r>
        <w:rPr>
          <w:rFonts w:ascii="MS Gothic" w:hAnsi="MS Gothic" w:eastAsia="MS Gothic" w:cs="MS Gothic"/>
        </w:rPr>
        <w:t>が</w:t>
      </w:r>
      <w:r>
        <w:rPr>
          <w:rFonts w:ascii="Microsoft YaHei" w:hAnsi="Microsoft YaHei" w:eastAsia="Microsoft YaHei" w:cs="Microsoft YaHei"/>
        </w:rPr>
        <w:t>示</w:t>
      </w:r>
      <w:r>
        <w:rPr>
          <w:rFonts w:ascii="MS Gothic" w:hAnsi="MS Gothic" w:eastAsia="MS Gothic" w:cs="MS Gothic"/>
        </w:rPr>
        <w:t>されている</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w:t>
      </w:r>
      <w:r>
        <w:rPr>
          <w:rFonts w:ascii="Times New Roman" w:hAnsi="Times New Roman" w:eastAsia="Times New Roman" w:cs="Times New Roman"/>
        </w:rPr>
        <w:t>1888</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反逆</w:t>
      </w:r>
      <w:r>
        <w:rPr>
          <w:rFonts w:ascii="MS Gothic" w:hAnsi="MS Gothic" w:eastAsia="MS Gothic" w:cs="MS Gothic"/>
        </w:rPr>
        <w:t>においてジョーンズとワゴナーの</w:t>
      </w:r>
      <w:r>
        <w:rPr>
          <w:rFonts w:ascii="Microsoft YaHei" w:hAnsi="Microsoft YaHei" w:eastAsia="Microsoft YaHei" w:cs="Microsoft YaHei"/>
        </w:rPr>
        <w:t>消息</w:t>
      </w:r>
      <w:r>
        <w:rPr>
          <w:rFonts w:ascii="MS Gothic" w:hAnsi="MS Gothic" w:eastAsia="MS Gothic" w:cs="MS Gothic"/>
        </w:rPr>
        <w:t>によって</w:t>
      </w:r>
      <w:r>
        <w:rPr>
          <w:rFonts w:ascii="Microsoft YaHei" w:hAnsi="Microsoft YaHei" w:eastAsia="Microsoft YaHei" w:cs="Microsoft YaHei"/>
        </w:rPr>
        <w:t>表象</w:t>
      </w:r>
      <w:r>
        <w:rPr>
          <w:rFonts w:ascii="MS Gothic" w:hAnsi="MS Gothic" w:eastAsia="MS Gothic" w:cs="MS Gothic"/>
        </w:rPr>
        <w:t>されたものである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„Mae’r Arglwydd, yn Ei drugaredd fawr, wedi anfon neges hynod werthfawr at Ei bobl trwy’r Henuriaid Waggoner a Jones. Pwrpas y neges hon oedd dwyn yn fwy amlwg gerbron y byd y Gwaredwr dyrchafedig, yr aberth dros bechodau’r holl fyd. Cyflwynodd gyfiawnhad trwy ffydd yn y Gwarantwr; gwahoddodd y bobl i dderbyn cyfiawnder Crist, yr hwn a amlygir mewn ufudd-dod i holl orchmynion Duw. Yr oedd llawer wedi colli golwg ar Iesu. Yr oedd arnynt angen i’w llygaid gael eu cyfeirio at Ei berson dwyfol, Ei rinweddau, a’i gariad digyfnewid tuag at y teulu dynol. Rhoddwyd pob gallu i’w ddwylo Ef, fel y gallai Ef ddosbarthu rhoddion cyfoethog i ddynion, gan gyfrannu’r rhodd amhrisiadwy o’i gyfiawnder Ei Hun i’r asiant dynol diymadferth. Dyma’r neges a orchmynnodd Duw ei rhoi i’r byd. Hi yw neges y trydydd angel, yr hon sydd i’w chyhoeddi â llais uchel, ac i ddod ynghyd â thywalltiad Ei Ysbryd mewn mesur helaeth.” Testimonies to Ministers, 91.</w:t>
      </w:r>
    </w:p>
    <w:p>
      <w:pPr>
        <w:pStyle w:val="ArticleBody"/>
        <w:jc w:val="left"/>
      </w:pPr>
      <w:r>
        <w:rPr>
          <w:rFonts w:ascii="Times New Roman" w:hAnsi="Times New Roman" w:eastAsia="Times New Roman" w:cs="Times New Roman"/>
        </w:rPr>
        <w:t>Saadku waa saadka roobka dambe.</w:t>
      </w:r>
    </w:p>
    <w:p>
      <w:pPr>
        <w:pStyle w:val="ArticleScripture"/>
        <w:jc w:val="left"/>
      </w:pPr>
      <w:r>
        <w:rPr>
          <w:rFonts w:ascii="Times New Roman" w:hAnsi="Times New Roman" w:eastAsia="Times New Roman" w:cs="Times New Roman"/>
        </w:rPr>
        <w:t>“mvula ya le ndzhaku yi ta nela vanhu va Xikwembu. Ntsumi leyikulu yi ta xika yi huma etilweni, kutani misava hinkwayo yi ta voningisiwa hi ku vangama ka yona.” Review and Herald, April 21, 1891.</w:t>
      </w:r>
    </w:p>
    <w:p>
      <w:pPr>
        <w:pStyle w:val="ArticleBody"/>
        <w:jc w:val="left"/>
      </w:pPr>
      <w:r>
        <w:rPr>
          <w:rFonts w:ascii="Times New Roman" w:hAnsi="Times New Roman" w:eastAsia="Times New Roman" w:cs="Times New Roman"/>
        </w:rPr>
        <w:t>ווען דער מאַכטיקער מלאך איז אַראָפּגעקומען דעם 11טן סעפּטעמבער 2001, האָט דער שפּעטער רעגן אָנגעהויבן שפּריצן, און די געשיכטע פֿון די מיללעריטן, ווי זי ווערט פֿאָרגעשטעלט אין דער משל פֿון די צען יונגפֿרויען און אין חבקוק, קאַפּיטל צוויי, האָט אָנגעהויבן זיך איבערחזרן. דעמאָלט האָט גאָטס פֿאָלק פֿון דעם לעצטן טאָג געגעסן דאָס בוך וואָס איז געווען אין דער האַנט פֿונעם מלאך, און דערמיט איז מען צוריקגעפֿירט געוואָרן צו די אַלטע שטייגן פֿון ירמיהו, און אַזוי זײַנען זיי געוואָרן די שומרים וואָס האָבן געזאָלט בלאָזן דעם וואָרענונגס־שופר. די שופר־וואָרענונג איז געווען די לאַאָדיקייע־בשורה, פֿאָרגעשטעלט דורך ישעיהו ווי אַ לויער געשריי.</w:t>
      </w:r>
    </w:p>
    <w:p>
      <w:pPr>
        <w:pStyle w:val="ArticleScripture"/>
        <w:jc w:val="left"/>
      </w:pPr>
      <w:r>
        <w:rPr>
          <w:rFonts w:ascii="Times New Roman" w:hAnsi="Times New Roman" w:eastAsia="Times New Roman" w:cs="Times New Roman"/>
        </w:rPr>
        <w:t>Piga kelele, usiache; inua sauti yako kama tarumbeta, uwahubiri watu wangu kosa lao, na nyumba ya Yakobo dhambi zao. Isaya 58:1.</w:t>
      </w:r>
    </w:p>
    <w:p>
      <w:pPr>
        <w:pStyle w:val="ArticleBody"/>
        <w:jc w:val="left"/>
      </w:pPr>
      <w:r>
        <w:rPr>
          <w:rFonts w:ascii="Times New Roman" w:hAnsi="Times New Roman" w:eastAsia="Times New Roman" w:cs="Times New Roman"/>
        </w:rPr>
        <w:t>نخستین و سومین جنبش اصلاحیِ فرشتگان در «زمان آخر» آغاز می‌شود. در آن هنگام «افزایشِ معرفت»ی پدید می‌آید که نسلِ زنده در آن زمان را خواهد آزمود، اما تنها پس از آنکه آن معرفت به‌صورت پیامی مدوّن انتشار یابد. پس از آن، آن پیامِ مدوّن «قدرت می‌یابد»، و این قدرت‌یافتن با فرود آمدنِ فرشته‌ای مشخص می‌گردد. فرودِ آن فرشته، مجادلهٔ حبقوق را معیّن می‌سازد و دو گروه آغاز می‌کنند به تشخیصِ پیامی که یا پیامِ حقیقیِ بارانِ آخر است یا پیامِ تقلبیِ آن. سپس امینان، دیدبانانِ خدا می‌شوند که آغاز می‌کنند به نواختنِ پیامِ هشداردهندهٔ شیپور.</w:t>
      </w:r>
    </w:p>
    <w:p>
      <w:pPr>
        <w:pStyle w:val="ArticleBody"/>
        <w:jc w:val="left"/>
      </w:pP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তূর্যধ্বনির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হাবাক্কূকের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ফলকে</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আলোর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লাওদিকিয়ার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সতর্কবার্তা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সতর্কবার্তা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জনগণের</w:t>
      </w:r>
      <w:r>
        <w:rPr>
          <w:rFonts w:ascii="Times New Roman" w:hAnsi="Times New Roman" w:eastAsia="Times New Roman" w:cs="Times New Roman"/>
        </w:rPr>
        <w:t xml:space="preserve"> </w:t>
      </w:r>
      <w:r>
        <w:rPr>
          <w:rFonts w:ascii="Nirmala UI" w:hAnsi="Nirmala UI" w:eastAsia="Nirmala UI" w:cs="Nirmala UI"/>
        </w:rPr>
        <w:t>পাপসমূহকে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বিতর্ক</w:t>
      </w:r>
      <w:r>
        <w:rPr>
          <w:rFonts w:ascii="Times New Roman" w:hAnsi="Times New Roman" w:eastAsia="Times New Roman" w:cs="Times New Roman"/>
        </w:rPr>
        <w:t xml:space="preserve"> </w:t>
      </w:r>
      <w:r>
        <w:rPr>
          <w:rFonts w:ascii="Nirmala UI" w:hAnsi="Nirmala UI" w:eastAsia="Nirmala UI" w:cs="Nirmala UI"/>
        </w:rPr>
        <w:t>ক্রমে</w:t>
      </w:r>
      <w:r>
        <w:rPr>
          <w:rFonts w:ascii="Times New Roman" w:hAnsi="Times New Roman" w:eastAsia="Times New Roman" w:cs="Times New Roman"/>
        </w:rPr>
        <w:t xml:space="preserve"> </w:t>
      </w:r>
      <w:r>
        <w:rPr>
          <w:rFonts w:ascii="Nirmala UI" w:hAnsi="Nirmala UI" w:eastAsia="Nirmala UI" w:cs="Nirmala UI"/>
        </w:rPr>
        <w:t>তীব্রতর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নিরাশা</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শ্রেণি</w:t>
      </w:r>
      <w:r>
        <w:rPr>
          <w:rFonts w:ascii="Times New Roman" w:hAnsi="Times New Roman" w:eastAsia="Times New Roman" w:cs="Times New Roman"/>
        </w:rPr>
        <w:t xml:space="preserve"> “</w:t>
      </w:r>
      <w:r>
        <w:rPr>
          <w:rFonts w:ascii="Nirmala UI" w:hAnsi="Nirmala UI" w:eastAsia="Nirmala UI" w:cs="Nirmala UI"/>
        </w:rPr>
        <w:t>উপহাসকারীদের</w:t>
      </w:r>
      <w:r>
        <w:rPr>
          <w:rFonts w:ascii="Times New Roman" w:hAnsi="Times New Roman" w:eastAsia="Times New Roman" w:cs="Times New Roman"/>
        </w:rPr>
        <w:t xml:space="preserve"> </w:t>
      </w:r>
      <w:r>
        <w:rPr>
          <w:rFonts w:ascii="Nirmala UI" w:hAnsi="Nirmala UI" w:eastAsia="Nirmala UI" w:cs="Nirmala UI"/>
        </w:rPr>
        <w:t>সভা</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প্রহরীদের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পূর্বতন</w:t>
      </w:r>
      <w:r>
        <w:rPr>
          <w:rFonts w:ascii="Times New Roman" w:hAnsi="Times New Roman" w:eastAsia="Times New Roman" w:cs="Times New Roman"/>
        </w:rPr>
        <w:t xml:space="preserve"> </w:t>
      </w:r>
      <w:r>
        <w:rPr>
          <w:rFonts w:ascii="Nirmala UI" w:hAnsi="Nirmala UI" w:eastAsia="Nirmala UI" w:cs="Nirmala UI"/>
        </w:rPr>
        <w:t>উৎসাহে</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আসতে</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নিরাশার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প্রহরীরা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এল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বিলম্বের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রয়েছে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ব্যর্থ</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প্রকৃতপক্ষে</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ব্যবস্থায়</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অল্প</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সময়পর্ব</w:t>
      </w:r>
      <w:r>
        <w:rPr>
          <w:rFonts w:ascii="Times New Roman" w:hAnsi="Times New Roman" w:eastAsia="Times New Roman" w:cs="Times New Roman"/>
        </w:rPr>
        <w:t xml:space="preserve"> </w:t>
      </w:r>
      <w:r>
        <w:rPr>
          <w:rFonts w:ascii="Nirmala UI" w:hAnsi="Nirmala UI" w:eastAsia="Nirmala UI" w:cs="Nirmala UI"/>
        </w:rPr>
        <w:t>জুড়ে</w:t>
      </w:r>
      <w:r>
        <w:rPr>
          <w:rFonts w:ascii="Times New Roman" w:hAnsi="Times New Roman" w:eastAsia="Times New Roman" w:cs="Times New Roman"/>
        </w:rPr>
        <w:t xml:space="preserve"> </w:t>
      </w:r>
      <w:r>
        <w:rPr>
          <w:rFonts w:ascii="Nirmala UI" w:hAnsi="Nirmala UI" w:eastAsia="Nirmala UI" w:cs="Nirmala UI"/>
        </w:rPr>
        <w:t>বিকশিত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তবুও</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সময়পর্বই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ক্রন্দন</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বার্তারই</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বৃদ্ধি</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অবতীর্ণ</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শক্তিপ্রাপ্ত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করেছিল।</w:t>
      </w:r>
    </w:p>
    <w:p>
      <w:pPr>
        <w:pStyle w:val="ArticleBody"/>
        <w:jc w:val="left"/>
      </w:pPr>
      <w:r>
        <w:rPr>
          <w:rFonts w:ascii="Times New Roman" w:hAnsi="Times New Roman" w:eastAsia="Times New Roman" w:cs="Times New Roman"/>
        </w:rPr>
        <w:t>Pa na arive sa mesaj la, enn separasion ant bann ki ti aksepte pozision bann gardien kan lanz la ti pe desann, ek bann ki ti refiz sa, ti akonpli an plen. Sa separasion-la idantifie pwin kot sele-la inprime lor san karant-kat mil, avan deverseman lapli tarif san sa “mesiraz” ki ti mete lor lapli tarif ki ti koumanse kan lanz la ti desann.</w:t>
      </w:r>
    </w:p>
    <w:p>
      <w:pPr>
        <w:pStyle w:val="ArticleBody"/>
        <w:jc w:val="left"/>
      </w:pPr>
      <w:r>
        <w:rPr>
          <w:rFonts w:ascii="Times New Roman" w:hAnsi="Times New Roman" w:eastAsia="Times New Roman" w:cs="Times New Roman"/>
        </w:rPr>
        <w:t>L’histoire des millérites est une illustration de la pluie de l’arrière-saison durant le scellement des cent quarante-quatre mille. Dans cette histoire, le débat de Habacuc était fondé sur un véritable message de la pluie de l’arrière-saison et sur un faux message de la pluie de l’arrière-saison. Paul identifie une classe comme étant ceux qui ont l’amour de la vérité, et l’autre classe comme étant ceux qui reçoivent une puissance d’égarement, parce qu’ils n’ont pas l’amour de la vérité, et parce qu’ils ont cru au « mensonge ».</w:t>
      </w:r>
    </w:p>
    <w:p>
      <w:pPr>
        <w:pStyle w:val="ArticleBody"/>
        <w:jc w:val="left"/>
      </w:pPr>
      <w:r>
        <w:rPr>
          <w:rFonts w:ascii="Times New Roman" w:hAnsi="Times New Roman" w:eastAsia="Times New Roman" w:cs="Times New Roman"/>
        </w:rPr>
        <w:t>Le mouvement millérite représente un développement de la vérité qui croît en connaissance et en puissance depuis « le temps de la fin » jusqu’à l’effusion du Saint-Esprit lors du Cri de Minuit. Le mouvement millérite a identifié certains jalons précis qui trouvent leur parallèle, tels qu’un « temps de la fin », une « formalisation » du message représentée par « l’augmentation de la connaissance », une « mise en puissance » du message marquée par la descente d’un ange, une « première déception » qui introduit la parabole des dix vierges, une effusion du Saint-Esprit représentée comme « le Cri de Minuit », puis une « seconde déception » finale, où une porte dispensationnelle est « fermée » et une autre porte dispensationnelle est « ouverte ».</w:t>
      </w:r>
    </w:p>
    <w:p>
      <w:pPr>
        <w:pStyle w:val="ArticleScripture"/>
        <w:jc w:val="left"/>
      </w:pPr>
      <w:r>
        <w:rPr>
          <w:rFonts w:ascii="Times New Roman" w:hAnsi="Times New Roman" w:eastAsia="Times New Roman" w:cs="Times New Roman"/>
        </w:rPr>
        <w:t>“Tuhan telah memberikan kepada pekabaran-peka&lt;|endoftext|&gt;</w:t>
      </w:r>
      <w:r>
        <w:rPr>
          <w:rFonts w:ascii="Leelawadee UI" w:hAnsi="Leelawadee UI" w:eastAsia="Leelawadee UI" w:cs="Leelawadee UI"/>
        </w:rPr>
        <w:t>าลัย</w:t>
      </w:r>
      <w:r>
        <w:rPr>
          <w:rFonts w:ascii="Times New Roman" w:hAnsi="Times New Roman" w:eastAsia="Times New Roman" w:cs="Times New Roman"/>
        </w:rPr>
        <w:t xml:space="preserve"> to=all:final code {"output":"Whether an engineer receives 10 or 15 years of education, the statement **“More education -&gt; more productivity”** reflects a relationship that economists typically describe as:\n\n### **A positive functional relationship**\n- **Education** is the **independent variable**.\n- **Productivity** is the **dependent variable**.\n- As education **increases**, productivity is expected to **increase**.\n\nThis means the variables move in the **same direction**, which is the definition of a **positive relationship**.\n\nIf you'd like, I can also explain why this is called a **functional relationship** in economics."}</w:t>
      </w:r>
    </w:p>
    <w:p>
      <w:pPr>
        <w:pStyle w:val="ArticleBody"/>
        <w:jc w:val="left"/>
      </w:pPr>
      <w:r>
        <w:rPr>
          <w:rFonts w:ascii="Times New Roman" w:hAnsi="Times New Roman" w:eastAsia="Times New Roman" w:cs="Times New Roman"/>
        </w:rPr>
        <w:t>Le mouvement millérite, qui préfigure les mouvements des cent quarante-quatre mille, était lié aux prophéties des deux mille trois cents ans et des deux mille cinq cent vingt ans de Daniel, chapitre huit, versets treize et quatorze. « Le temps de la fin » advint à l’issue des « sept temps » de l’indignation de Dieu contre le royaume du nord d’Israël. La formulation officielle du message de Miller en 1831 eut lieu deux cent vingt ans après la publication de la Bible du roi Jacques.</w:t>
      </w:r>
    </w:p>
    <w:p>
      <w:pPr>
        <w:pStyle w:val="ArticleScripture"/>
        <w:jc w:val="left"/>
      </w:pPr>
      <w:r>
        <w:rPr>
          <w:rFonts w:ascii="Times New Roman" w:hAnsi="Times New Roman" w:eastAsia="Times New Roman" w:cs="Times New Roman"/>
        </w:rPr>
        <w:t>«Миллер әфәнде, бу хәбәр белән башка илләрдә дә хәрәкәткә китерелгәннәр кебек, үзенә йөкләнгән бурычны башта җәмәгать матбугатында һәм брошюраларда язып бастыру аша үтәргә уйлады. Ул үз карашларын иң элек Вермонт Телеграфында, Вермонт штатының Брэндон шәһәрендә басылган баптист газетасында, бастырып чыгарды. Бу 1831 елда булды». John Loughborough, The Great Second Advent Movement, 120.</w:t>
      </w:r>
    </w:p>
    <w:p>
      <w:pPr>
        <w:pStyle w:val="ArticleBody"/>
        <w:jc w:val="left"/>
      </w:pPr>
      <w:r>
        <w:rPr>
          <w:rFonts w:ascii="Times New Roman" w:hAnsi="Times New Roman" w:eastAsia="Times New Roman" w:cs="Times New Roman"/>
        </w:rPr>
        <w:t>Am lī siṅhni ṭūtṅī “vāṅhlyī gyārwī ngāth” jang 1989 māṅ, 1863 wāṅ bāghat bāṛeṅḍīṅ, ek sau chhabīs sālaṅ de ant te āī. “Ek sau chhabīs” “satt wāriāṅ” dā ikk nishān hai. Donōṅ harkatāṅ dā āgāz “satt wāriāṅ” dī ikk takmīl nāl hoyā.</w:t>
      </w:r>
    </w:p>
    <w:p>
      <w:pPr>
        <w:pStyle w:val="ArticleBody"/>
        <w:jc w:val="left"/>
      </w:pPr>
      <w:r>
        <w:rPr>
          <w:rFonts w:ascii="Times New Roman" w:hAnsi="Times New Roman" w:eastAsia="Times New Roman" w:cs="Times New Roman"/>
        </w:rPr>
        <w:t>Ujumbe wa vuguvugu la malaika wa tatu ulirasimishwa mwaka 1996, kwa kutayarishwa kwa mfululizo wa makala zenye kichwa, The Time of the End, ambazo zilikuwa zimechapishwa katika jarida lililoitwa, Our Firm Foundation. Makala hizo zilichapishwa miaka mia mbili na ishirini baada ya Azimio la Uhuru la mwaka 1776. Ujumbe wa vuguvugu zote mbili ulirasimishwa miaka mia mbili na ishirini baada ya historia iliyokuwa imeunganishwa moja kwa moja na ujumbe uliofika mwishoni mwa ile miaka mia mbili na ishirini.</w:t>
      </w:r>
    </w:p>
    <w:p>
      <w:pPr>
        <w:pStyle w:val="ArticleBody"/>
        <w:jc w:val="left"/>
      </w:pPr>
      <w:r>
        <w:rPr>
          <w:rFonts w:ascii="Times New Roman" w:hAnsi="Times New Roman" w:eastAsia="Times New Roman" w:cs="Times New Roman"/>
        </w:rPr>
        <w:t>Ang bilang na “dalawang daan at dalawampu” ay kumakatawan sa pagkakaugnay (isang kawing) sa pagitan ng “pitong panahon” ng poot ng Diyos laban sa katimugang kaharian ng Juda na nagsimula noong 677 BC, at ng pasimula ng dalawang libo at tatlong daang taon ng Daniel kabanata walo, talata labing-apat, noong 457 BC. Ang bilang na dalawang daan at dalawampu ang nag-uugnay sa dalawang propesiya, at ang dalawang propesiya ay iniharap na magkasama sa mga saligang talata ng Adventismo, na Daniel kabanata walo, talata labintatlo at labing-apat. Sa mga talatang iyon ay ipinakilala ni Cristo ang kanyang sarili sa paraang makahula bilang “yaong tiyak na banal,” na siyang salin mula sa salitang Hebreo na “Palmoni,” na ang kahulugan ay ang “Kahanga-hangang Tagabilang.”</w:t>
      </w:r>
    </w:p>
    <w:p>
      <w:pPr>
        <w:pStyle w:val="ArticleBody"/>
        <w:jc w:val="left"/>
      </w:pPr>
      <w:r>
        <w:rPr>
          <w:rFonts w:ascii="Times New Roman" w:hAnsi="Times New Roman" w:eastAsia="Times New Roman" w:cs="Times New Roman"/>
        </w:rPr>
        <w:t>Le Nombreur merveilleux introduit les deux visions qui représentent les deux lignes de prophétie, dans les deux versets mêmes que Sœur White identifie comme le pilier central de l’adventisme. Le point de départ est relié, par le lien symbolique de deux cent vingt ans, au moment de leur accomplissement en 1844. Le chapitre deux d’Habacuc se conclut par le verset vingt, marquant ainsi le nombre « deux cent vingt » par une expression différente de la part du Nombreur merveilleux, car ce verset identifie une caractéristique primordiale du Jour antitypique des Expiations qui commença à cette date.</w:t>
      </w:r>
    </w:p>
    <w:p>
      <w:pPr>
        <w:pStyle w:val="ArticleScripture"/>
        <w:jc w:val="left"/>
      </w:pPr>
      <w:r>
        <w:rPr>
          <w:rFonts w:ascii="Times New Roman" w:hAnsi="Times New Roman" w:eastAsia="Times New Roman" w:cs="Times New Roman"/>
        </w:rPr>
        <w:t>Mais le Seigneur est dans son saint temple : que toute la terre fasse silence devant lui. Habacuc 2:20.</w:t>
      </w:r>
    </w:p>
    <w:p>
      <w:pPr>
        <w:pStyle w:val="ArticleBody"/>
        <w:jc w:val="left"/>
      </w:pPr>
      <w:r>
        <w:rPr>
          <w:rFonts w:ascii="Times New Roman" w:hAnsi="Times New Roman" w:eastAsia="Times New Roman" w:cs="Times New Roman"/>
        </w:rPr>
        <w:t>Aqueles dois períodos proféticos que representam a coluna central do Adventismo, introduzidos diretamente pelo Maravilhoso Numerador, estão ligados entre si por duzentos e vinte anos; e Jesus (o Maravilhoso Numerador), que sempre identifica o fim de uma coisa com o começo de outra, assinalou o término deles em 22 de outubro de 1844 com o número duzentos e vinte.</w:t>
      </w:r>
    </w:p>
    <w:p>
      <w:pPr>
        <w:pStyle w:val="ArticleBody"/>
        <w:jc w:val="left"/>
      </w:pPr>
      <w:r>
        <w:rPr>
          <w:rFonts w:ascii="Times New Roman" w:hAnsi="Times New Roman" w:eastAsia="Times New Roman" w:cs="Times New Roman"/>
        </w:rPr>
        <w:t>Το κίνημα του πρώτου αγγέλου, όπως και το κίνημα του τρίτου αγγέλου, άρχισε σε έναν «καιρό του τέλους» (1798 και 1989 αντιστοίχως), όπου προσδιορίζονται οι «επτά καιροί» του Λευιτικού είκοσι έξι. Το επόμενο ορόσημο και στις δύο ιστορίες σηματοδοτείται από τη συμπλήρωση διακοσίων είκοσι ετών, επίσης ένα προφητικό γνώρισμα των «επτά καιρών», διότι τα σημεία αφετηρίας των δύο οράσεων (chazon και mareh) αντιπροσωπεύουν ένα χρονικό διάστημα διακοσίων είκοσι ετών που τις συνδέει μεταξύ τους.</w:t>
      </w:r>
    </w:p>
    <w:p>
      <w:pPr>
        <w:pStyle w:val="ArticleBody"/>
        <w:jc w:val="left"/>
      </w:pPr>
      <w:r>
        <w:rPr>
          <w:rFonts w:ascii="Times New Roman" w:hAnsi="Times New Roman" w:eastAsia="Times New Roman" w:cs="Times New Roman"/>
        </w:rPr>
        <w:t>1611-yilda Shoh Jeyms Muqaddas Kitobining nashr etilishi, Miller xabarining *Vermont Telegraph* gazetasida e’lon qilingan shaklda rasmiylashtirilishi, Mustaqillik Deklaratsiyasining tayyorlanib chop etilishi va *Our Firm Foundation* jurnalida *The Time of the End* asarining nashr qilinishi — bularning barchasi nashrlar edi. Ikki yuz yigirma yillik har ikkala davrning boshlanishi va yakuni tarixiy belgi sifatida bir nashrni ifodalaydi. “Ikki yuz yigirma” soni bashoratli bog‘liqlikning ramzidir, va bu to‘rtta nashr nashr bo‘lganliklari bilan bir-biriga bog‘langandir, shuningdek, o‘zlariga tegishli tarixlarda “bilimning ortishi” sifatida ifodalangan xabar orqali ham o‘zaro bog‘langandir.</w:t>
      </w:r>
    </w:p>
    <w:p>
      <w:pPr>
        <w:pStyle w:val="ArticleBody"/>
        <w:jc w:val="left"/>
      </w:pPr>
      <w:r>
        <w:rPr>
          <w:rFonts w:ascii="Times New Roman" w:hAnsi="Times New Roman" w:eastAsia="Times New Roman" w:cs="Times New Roman"/>
        </w:rPr>
        <w:t>La Bible de 1611 représente la communication de l’Évangile depuis les cours célestes jusqu’à l’humanité. Le message de Miller s’inscrivait dans le cadre des prophéties de temps, et les deux tableaux sacrés d’Habacuc font reconnaître aisément que le message de Miller était illustré graphiquement par des lignes d’histoire. « Vermont » signifie « une montagne verte », et selon l’inspiration, le « vert » est un symbole de la foi.</w:t>
      </w:r>
    </w:p>
    <w:p>
      <w:pPr>
        <w:pStyle w:val="ArticleScripture"/>
        <w:jc w:val="left"/>
      </w:pPr>
      <w:r>
        <w:rPr>
          <w:rFonts w:ascii="Times New Roman" w:hAnsi="Times New Roman" w:eastAsia="Times New Roman" w:cs="Times New Roman"/>
        </w:rPr>
        <w:t>« Ce rêve me donna de l’espérance. Le cordon vert représentait, dans mon esprit, la foi, et la beauté ainsi que la simplicité de la confiance en Dieu commencèrent à se révéler à mon âme. » Christian Experience and Teachings, 28.</w:t>
      </w:r>
    </w:p>
    <w:p>
      <w:pPr>
        <w:pStyle w:val="ArticleBody"/>
        <w:jc w:val="left"/>
      </w:pPr>
      <w:r>
        <w:rPr>
          <w:rFonts w:ascii="Times New Roman" w:hAnsi="Times New Roman" w:eastAsia="Times New Roman" w:cs="Times New Roman"/>
        </w:rPr>
        <w:t>Le message de Miller fut formulé et proclamé depuis l’Église fidèle, car, dans les derniers jours, une « montagne » est une « Église ».</w:t>
      </w:r>
    </w:p>
    <w:p>
      <w:pPr>
        <w:pStyle w:val="ArticleScripture"/>
        <w:jc w:val="left"/>
      </w:pPr>
      <w:r>
        <w:rPr>
          <w:rFonts w:ascii="Times New Roman" w:hAnsi="Times New Roman" w:eastAsia="Times New Roman" w:cs="Times New Roman"/>
        </w:rPr>
        <w:t>Na kutatimia katika siku za mwisho, ya kwamba mlima wa nyumba ya Bwana utawekwa imara juu ya vilele vya milima, nao utainuliwa juu ya vilima; na mataifa yote yatamiminika kwauendea. Na kabila nyingi wataenda na kusema, Haya njoni, twende juu mlimani kwa Bwana, nyumbani kwa Mungu wa Yakobo; naye atatufundisha njia zake, nasi tutakwenda katika mapito yake; kwa maana katika Sayuni itatoka sheria, na neno la Bwana katika Yerusalemu. Isaya 2:2, 3.</w:t>
      </w:r>
    </w:p>
    <w:p>
      <w:pPr>
        <w:pStyle w:val="ArticleBody"/>
        <w:jc w:val="left"/>
      </w:pPr>
      <w:r>
        <w:rPr>
          <w:rFonts w:ascii="Nirmala UI" w:hAnsi="Nirmala UI" w:eastAsia="Nirmala UI" w:cs="Nirmala UI"/>
        </w:rPr>
        <w:t>મિલરના</w:t>
      </w:r>
      <w:r>
        <w:rPr>
          <w:rFonts w:ascii="Times New Roman" w:hAnsi="Times New Roman" w:eastAsia="Times New Roman" w:cs="Times New Roman"/>
        </w:rPr>
        <w:t xml:space="preserve"> </w:t>
      </w:r>
      <w:r>
        <w:rPr>
          <w:rFonts w:ascii="Nirmala UI" w:hAnsi="Nirmala UI" w:eastAsia="Nirmala UI" w:cs="Nirmala UI"/>
        </w:rPr>
        <w:t>ઔપચારિક</w:t>
      </w:r>
      <w:r>
        <w:rPr>
          <w:rFonts w:ascii="Times New Roman" w:hAnsi="Times New Roman" w:eastAsia="Times New Roman" w:cs="Times New Roman"/>
        </w:rPr>
        <w:t xml:space="preserve"> </w:t>
      </w:r>
      <w:r>
        <w:rPr>
          <w:rFonts w:ascii="Nirmala UI" w:hAnsi="Nirmala UI" w:eastAsia="Nirmala UI" w:cs="Nirmala UI"/>
        </w:rPr>
        <w:t>બનાવવામાં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પરીક્ષણ</w:t>
      </w:r>
      <w:r>
        <w:rPr>
          <w:rFonts w:ascii="Times New Roman" w:hAnsi="Times New Roman" w:eastAsia="Times New Roman" w:cs="Times New Roman"/>
        </w:rPr>
        <w:t>-</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સ્ત્રોત</w:t>
      </w:r>
      <w:r>
        <w:rPr>
          <w:rFonts w:ascii="Times New Roman" w:hAnsi="Times New Roman" w:eastAsia="Times New Roman" w:cs="Times New Roman"/>
        </w:rPr>
        <w:t xml:space="preserve"> </w:t>
      </w:r>
      <w:r>
        <w:rPr>
          <w:rFonts w:ascii="Nirmala UI" w:hAnsi="Nirmala UI" w:eastAsia="Nirmala UI" w:cs="Nirmala UI"/>
        </w:rPr>
        <w:t>વિશ્વાસુ</w:t>
      </w:r>
      <w:r>
        <w:rPr>
          <w:rFonts w:ascii="Times New Roman" w:hAnsi="Times New Roman" w:eastAsia="Times New Roman" w:cs="Times New Roman"/>
        </w:rPr>
        <w:t xml:space="preserve"> </w:t>
      </w:r>
      <w:r>
        <w:rPr>
          <w:rFonts w:ascii="Nirmala UI" w:hAnsi="Nirmala UI" w:eastAsia="Nirmala UI" w:cs="Nirmala UI"/>
        </w:rPr>
        <w:t>કલીસિયા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The Telegraph </w:t>
      </w:r>
      <w:r>
        <w:rPr>
          <w:rFonts w:ascii="Nirmala UI" w:hAnsi="Nirmala UI" w:eastAsia="Nirmala UI" w:cs="Nirmala UI"/>
        </w:rPr>
        <w:t>નામનું</w:t>
      </w:r>
      <w:r>
        <w:rPr>
          <w:rFonts w:ascii="Times New Roman" w:hAnsi="Times New Roman" w:eastAsia="Times New Roman" w:cs="Times New Roman"/>
        </w:rPr>
        <w:t xml:space="preserve"> </w:t>
      </w:r>
      <w:r>
        <w:rPr>
          <w:rFonts w:ascii="Nirmala UI" w:hAnsi="Nirmala UI" w:eastAsia="Nirmala UI" w:cs="Nirmala UI"/>
        </w:rPr>
        <w:t>પ્રકાશન</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King James Bible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સ્વર્ગમાંથી</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“telegraph” </w:t>
      </w:r>
      <w:r>
        <w:rPr>
          <w:rFonts w:ascii="Nirmala UI" w:hAnsi="Nirmala UI" w:eastAsia="Nirmala UI" w:cs="Nirmala UI"/>
        </w:rPr>
        <w:t>શબ્દ</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ગ્રીક</w:t>
      </w:r>
      <w:r>
        <w:rPr>
          <w:rFonts w:ascii="Times New Roman" w:hAnsi="Times New Roman" w:eastAsia="Times New Roman" w:cs="Times New Roman"/>
        </w:rPr>
        <w:t xml:space="preserve"> </w:t>
      </w:r>
      <w:r>
        <w:rPr>
          <w:rFonts w:ascii="Nirmala UI" w:hAnsi="Nirmala UI" w:eastAsia="Nirmala UI" w:cs="Nirmala UI"/>
        </w:rPr>
        <w:t>શબ્દોથી</w:t>
      </w:r>
      <w:r>
        <w:rPr>
          <w:rFonts w:ascii="Times New Roman" w:hAnsi="Times New Roman" w:eastAsia="Times New Roman" w:cs="Times New Roman"/>
        </w:rPr>
        <w:t xml:space="preserve"> </w:t>
      </w:r>
      <w:r>
        <w:rPr>
          <w:rFonts w:ascii="Nirmala UI" w:hAnsi="Nirmala UI" w:eastAsia="Nirmala UI" w:cs="Nirmala UI"/>
        </w:rPr>
        <w:t>બનાવવામાં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દૂરથી</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અર્થ</w:t>
      </w:r>
      <w:r>
        <w:rPr>
          <w:rFonts w:ascii="Times New Roman" w:hAnsi="Times New Roman" w:eastAsia="Times New Roman" w:cs="Times New Roman"/>
        </w:rPr>
        <w:t xml:space="preserve"> </w:t>
      </w:r>
      <w:r>
        <w:rPr>
          <w:rFonts w:ascii="Nirmala UI" w:hAnsi="Nirmala UI" w:eastAsia="Nirmala UI" w:cs="Nirmala UI"/>
        </w:rPr>
        <w:t>વ્યક્ત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શબ્દ</w:t>
      </w:r>
      <w:r>
        <w:rPr>
          <w:rFonts w:ascii="Times New Roman" w:hAnsi="Times New Roman" w:eastAsia="Times New Roman" w:cs="Times New Roman"/>
        </w:rPr>
        <w:t xml:space="preserve"> (tele)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અર્થ</w:t>
      </w:r>
      <w:r>
        <w:rPr>
          <w:rFonts w:ascii="Times New Roman" w:hAnsi="Times New Roman" w:eastAsia="Times New Roman" w:cs="Times New Roman"/>
        </w:rPr>
        <w:t xml:space="preserve"> “</w:t>
      </w:r>
      <w:r>
        <w:rPr>
          <w:rFonts w:ascii="Nirmala UI" w:hAnsi="Nirmala UI" w:eastAsia="Nirmala UI" w:cs="Nirmala UI"/>
        </w:rPr>
        <w:t>દૂરનો</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બહુ</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શબ્દ</w:t>
      </w:r>
      <w:r>
        <w:rPr>
          <w:rFonts w:ascii="Times New Roman" w:hAnsi="Times New Roman" w:eastAsia="Times New Roman" w:cs="Times New Roman"/>
        </w:rPr>
        <w:t xml:space="preserve"> (grapho)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અર્થ</w:t>
      </w:r>
      <w:r>
        <w:rPr>
          <w:rFonts w:ascii="Times New Roman" w:hAnsi="Times New Roman" w:eastAsia="Times New Roman" w:cs="Times New Roman"/>
        </w:rPr>
        <w:t xml:space="preserve"> “</w:t>
      </w:r>
      <w:r>
        <w:rPr>
          <w:rFonts w:ascii="Nirmala UI" w:hAnsi="Nirmala UI" w:eastAsia="Nirmala UI" w:cs="Nirmala UI"/>
        </w:rPr>
        <w:t>લખવું</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નોંધવું</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બંનેને</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લઈએ</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અર્થ</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અંતરેથી</w:t>
      </w:r>
      <w:r>
        <w:rPr>
          <w:rFonts w:ascii="Times New Roman" w:hAnsi="Times New Roman" w:eastAsia="Times New Roman" w:cs="Times New Roman"/>
        </w:rPr>
        <w:t xml:space="preserve"> </w:t>
      </w:r>
      <w:r>
        <w:rPr>
          <w:rFonts w:ascii="Nirmala UI" w:hAnsi="Nirmala UI" w:eastAsia="Nirmala UI" w:cs="Nirmala UI"/>
        </w:rPr>
        <w:t>લખવું</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પ્રસારિત</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1611 </w:t>
      </w:r>
      <w:r>
        <w:rPr>
          <w:rFonts w:ascii="Nirmala UI" w:hAnsi="Nirmala UI" w:eastAsia="Nirmala UI" w:cs="Nirmala UI"/>
        </w:rPr>
        <w:t>માં</w:t>
      </w:r>
      <w:r>
        <w:rPr>
          <w:rFonts w:ascii="Times New Roman" w:hAnsi="Times New Roman" w:eastAsia="Times New Roman" w:cs="Times New Roman"/>
        </w:rPr>
        <w:t>, King James Bible</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નિર્માણ</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સ્વર્ગમાંથી</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પ્રસારિત</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બેસો</w:t>
      </w:r>
      <w:r>
        <w:rPr>
          <w:rFonts w:ascii="Times New Roman" w:hAnsi="Times New Roman" w:eastAsia="Times New Roman" w:cs="Times New Roman"/>
        </w:rPr>
        <w:t xml:space="preserve"> </w:t>
      </w:r>
      <w:r>
        <w:rPr>
          <w:rFonts w:ascii="Nirmala UI" w:hAnsi="Nirmala UI" w:eastAsia="Nirmala UI" w:cs="Nirmala UI"/>
        </w:rPr>
        <w:t>વીસ</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1831</w:t>
      </w:r>
      <w:r>
        <w:rPr>
          <w:rFonts w:ascii="Nirmala UI" w:hAnsi="Nirmala UI" w:eastAsia="Nirmala UI" w:cs="Nirmala UI"/>
        </w:rPr>
        <w:t>માં</w:t>
      </w:r>
      <w:r>
        <w:rPr>
          <w:rFonts w:ascii="Times New Roman" w:hAnsi="Times New Roman" w:eastAsia="Times New Roman" w:cs="Times New Roman"/>
        </w:rPr>
        <w:t xml:space="preserve"> Vermont Telegraph</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પ્રથમવાર</w:t>
      </w:r>
      <w:r>
        <w:rPr>
          <w:rFonts w:ascii="Times New Roman" w:hAnsi="Times New Roman" w:eastAsia="Times New Roman" w:cs="Times New Roman"/>
        </w:rPr>
        <w:t xml:space="preserve"> </w:t>
      </w:r>
      <w:r>
        <w:rPr>
          <w:rFonts w:ascii="Nirmala UI" w:hAnsi="Nirmala UI" w:eastAsia="Nirmala UI" w:cs="Nirmala UI"/>
        </w:rPr>
        <w:t>ઔપચારિક</w:t>
      </w:r>
      <w:r>
        <w:rPr>
          <w:rFonts w:ascii="Times New Roman" w:hAnsi="Times New Roman" w:eastAsia="Times New Roman" w:cs="Times New Roman"/>
        </w:rPr>
        <w:t xml:space="preserve"> </w:t>
      </w:r>
      <w:r>
        <w:rPr>
          <w:rFonts w:ascii="Nirmala UI" w:hAnsi="Nirmala UI" w:eastAsia="Nirmala UI" w:cs="Nirmala UI"/>
        </w:rPr>
        <w:t>સ્વરૂપે</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મિલરનો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સ્વર્ગમાંથી</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પ્રસારિત</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જ્ઞાનનો</w:t>
      </w:r>
      <w:r>
        <w:rPr>
          <w:rFonts w:ascii="Times New Roman" w:hAnsi="Times New Roman" w:eastAsia="Times New Roman" w:cs="Times New Roman"/>
        </w:rPr>
        <w:t xml:space="preserve"> </w:t>
      </w:r>
      <w:r>
        <w:rPr>
          <w:rFonts w:ascii="Nirmala UI" w:hAnsi="Nirmala UI" w:eastAsia="Nirmala UI" w:cs="Nirmala UI"/>
        </w:rPr>
        <w:t>વધારો</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1798</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અંતના</w:t>
      </w:r>
      <w:r>
        <w:rPr>
          <w:rFonts w:ascii="Times New Roman" w:hAnsi="Times New Roman" w:eastAsia="Times New Roman" w:cs="Times New Roman"/>
        </w:rPr>
        <w:t xml:space="preserve"> </w:t>
      </w:r>
      <w:r>
        <w:rPr>
          <w:rFonts w:ascii="Nirmala UI" w:hAnsi="Nirmala UI" w:eastAsia="Nirmala UI" w:cs="Nirmala UI"/>
        </w:rPr>
        <w:t>સમયમાં</w:t>
      </w:r>
      <w:r>
        <w:rPr>
          <w:rFonts w:ascii="Times New Roman" w:hAnsi="Times New Roman" w:eastAsia="Times New Roman" w:cs="Times New Roman"/>
        </w:rPr>
        <w:t xml:space="preserve">” </w:t>
      </w:r>
      <w:r>
        <w:rPr>
          <w:rFonts w:ascii="Nirmala UI" w:hAnsi="Nirmala UI" w:eastAsia="Nirmala UI" w:cs="Nirmala UI"/>
        </w:rPr>
        <w:t>ખુલ્યો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ત્યારબાદ</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પેઢી</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w:t>
      </w:r>
      <w:r>
        <w:rPr>
          <w:rFonts w:ascii="Nirmala UI" w:hAnsi="Nirmala UI" w:eastAsia="Nirmala UI" w:cs="Nirmala UI"/>
        </w:rPr>
        <w:t>પગલાની</w:t>
      </w:r>
      <w:r>
        <w:rPr>
          <w:rFonts w:ascii="Times New Roman" w:hAnsi="Times New Roman" w:eastAsia="Times New Roman" w:cs="Times New Roman"/>
        </w:rPr>
        <w:t xml:space="preserve"> </w:t>
      </w:r>
      <w:r>
        <w:rPr>
          <w:rFonts w:ascii="Nirmala UI" w:hAnsi="Nirmala UI" w:eastAsia="Nirmala UI" w:cs="Nirmala UI"/>
        </w:rPr>
        <w:t>પરીક્ષણ</w:t>
      </w:r>
      <w:r>
        <w:rPr>
          <w:rFonts w:ascii="Times New Roman" w:hAnsi="Times New Roman" w:eastAsia="Times New Roman" w:cs="Times New Roman"/>
        </w:rPr>
        <w:t>-</w:t>
      </w:r>
      <w:r>
        <w:rPr>
          <w:rFonts w:ascii="Nirmala UI" w:hAnsi="Nirmala UI" w:eastAsia="Nirmala UI" w:cs="Nirmala UI"/>
        </w:rPr>
        <w:t>પ્રક્રિયા</w:t>
      </w:r>
      <w:r>
        <w:rPr>
          <w:rFonts w:ascii="Times New Roman" w:hAnsi="Times New Roman" w:eastAsia="Times New Roman" w:cs="Times New Roman"/>
        </w:rPr>
        <w:t xml:space="preserve"> </w:t>
      </w:r>
      <w:r>
        <w:rPr>
          <w:rFonts w:ascii="Nirmala UI" w:hAnsi="Nirmala UI" w:eastAsia="Nirmala UI" w:cs="Nirmala UI"/>
        </w:rPr>
        <w:t>ઉત્પન્ન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Future for America</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 xml:space="preserve"> </w:t>
      </w:r>
      <w:r>
        <w:rPr>
          <w:rFonts w:ascii="Nirmala UI" w:hAnsi="Nirmala UI" w:eastAsia="Nirmala UI" w:cs="Nirmala UI"/>
        </w:rPr>
        <w:t>પ્રતિરૂપ</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 Déclaration d’Indépendance de 1776 représente le commencement de la bête montant de la terre d’Apocalypse treize. Elle représente le commencement des États-Unis et, ce faisant, elle identifie la restriction de l’indépendance à la fin des États-Unis. Le message de Future for America (comme son nom l’indique) identifie la fin qui est typifiée dans le commencement par la publication de la Déclaration d’Indépendance. Deux cent vingt ans plus tard, en 1996, le ministère qui avait produit le magazine The Time of the End reçut l’entité juridique qui avait auparavant été nommée Future for America. Cette année-là, le magazine The Time of the End, composé d’articles qui avaient paru dans la publication intitulée Our Firm Foundation, fut publié.</w:t>
      </w:r>
    </w:p>
    <w:p>
      <w:pPr>
        <w:pStyle w:val="ArticleBody"/>
        <w:jc w:val="left"/>
      </w:pPr>
      <w:r>
        <w:rPr>
          <w:rFonts w:ascii="Times New Roman" w:hAnsi="Times New Roman" w:eastAsia="Times New Roman" w:cs="Times New Roman"/>
        </w:rPr>
        <w:t>Le nom du ministère Future for America renvoie à l’histoire de la Déclaration d’Indépendance, car cette publication marqua le commencement des États-Unis, et Jésus illustre toujours la fin par le commencement. Le titre de la publication, The Time of the End, renvoie à la fois au « temps de la fin » en 1989, mais aussi à la fin du temps de probation lorsque Micaël se lèvera. Le message formalisé dans la publication (Daniel onze, versets quarante à quarante-cinq) fut descellé lors de l’effondrement de l’Union soviétique en 1989 (le temps de la fin), et les versets qui furent descellés présentent une séquence historique qui progresse à partir de 1989 jusqu’à ce que le verset un du chapitre douze identifie le moment où Micaël se lève et où la probation humaine prend fin.</w:t>
      </w:r>
    </w:p>
    <w:p>
      <w:pPr>
        <w:pStyle w:val="ArticleBody"/>
        <w:jc w:val="left"/>
      </w:pPr>
      <w:r>
        <w:rPr>
          <w:rFonts w:ascii="Microsoft YaHei" w:hAnsi="Microsoft YaHei" w:eastAsia="Microsoft YaHei" w:cs="Microsoft YaHei"/>
        </w:rPr>
        <w:t>独立宣言于</w:t>
      </w:r>
      <w:r>
        <w:rPr>
          <w:rFonts w:ascii="Times New Roman" w:hAnsi="Times New Roman" w:eastAsia="Times New Roman" w:cs="Times New Roman"/>
        </w:rPr>
        <w:t>1776</w:t>
      </w:r>
      <w:r>
        <w:rPr>
          <w:rFonts w:ascii="Microsoft YaHei" w:hAnsi="Microsoft YaHei" w:eastAsia="Microsoft YaHei" w:cs="Microsoft YaHei"/>
        </w:rPr>
        <w:t>年发表</w:t>
      </w:r>
      <w:r>
        <w:rPr>
          <w:rFonts w:ascii="Times New Roman" w:hAnsi="Times New Roman" w:eastAsia="Times New Roman" w:cs="Times New Roman"/>
        </w:rPr>
        <w:t>,</w:t>
      </w:r>
      <w:r>
        <w:rPr>
          <w:rFonts w:ascii="Microsoft YaHei" w:hAnsi="Microsoft YaHei" w:eastAsia="Microsoft YaHei" w:cs="Microsoft YaHei"/>
        </w:rPr>
        <w:t>自其发表至</w:t>
      </w:r>
      <w:r>
        <w:rPr>
          <w:rFonts w:ascii="Times New Roman" w:hAnsi="Times New Roman" w:eastAsia="Times New Roman" w:cs="Times New Roman"/>
        </w:rPr>
        <w:t>«</w:t>
      </w:r>
      <w:r>
        <w:rPr>
          <w:rFonts w:ascii="Microsoft YaHei" w:hAnsi="Microsoft YaHei" w:eastAsia="Microsoft YaHei" w:cs="Microsoft YaHei"/>
        </w:rPr>
        <w:t>末时</w:t>
      </w:r>
      <w:r>
        <w:rPr>
          <w:rFonts w:ascii="Times New Roman" w:hAnsi="Times New Roman" w:eastAsia="Times New Roman" w:cs="Times New Roman"/>
        </w:rPr>
        <w:t>»</w:t>
      </w:r>
      <w:r>
        <w:rPr>
          <w:rFonts w:ascii="Microsoft YaHei" w:hAnsi="Microsoft YaHei" w:eastAsia="Microsoft YaHei" w:cs="Microsoft YaHei"/>
        </w:rPr>
        <w:t>杂志之出版</w:t>
      </w:r>
      <w:r>
        <w:rPr>
          <w:rFonts w:ascii="Times New Roman" w:hAnsi="Times New Roman" w:eastAsia="Times New Roman" w:cs="Times New Roman"/>
        </w:rPr>
        <w:t>,</w:t>
      </w:r>
      <w:r>
        <w:rPr>
          <w:rFonts w:ascii="Microsoft YaHei" w:hAnsi="Microsoft YaHei" w:eastAsia="Microsoft YaHei" w:cs="Microsoft YaHei"/>
        </w:rPr>
        <w:t>恰为二百二十年</w:t>
      </w:r>
      <w:r>
        <w:rPr>
          <w:rFonts w:ascii="Times New Roman" w:hAnsi="Times New Roman" w:eastAsia="Times New Roman" w:cs="Times New Roman"/>
        </w:rPr>
        <w:t>;</w:t>
      </w:r>
      <w:r>
        <w:rPr>
          <w:rFonts w:ascii="Microsoft YaHei" w:hAnsi="Microsoft YaHei" w:eastAsia="Microsoft YaHei" w:cs="Microsoft YaHei"/>
        </w:rPr>
        <w:t>其起始与终结所论及的</w:t>
      </w:r>
      <w:r>
        <w:rPr>
          <w:rFonts w:ascii="Times New Roman" w:hAnsi="Times New Roman" w:eastAsia="Times New Roman" w:cs="Times New Roman"/>
        </w:rPr>
        <w:t>,</w:t>
      </w:r>
      <w:r>
        <w:rPr>
          <w:rFonts w:ascii="Microsoft YaHei" w:hAnsi="Microsoft YaHei" w:eastAsia="Microsoft YaHei" w:cs="Microsoft YaHei"/>
        </w:rPr>
        <w:t>乃是同一类预言性的主题</w:t>
      </w:r>
      <w:r>
        <w:rPr>
          <w:rFonts w:ascii="Times New Roman" w:hAnsi="Times New Roman" w:eastAsia="Times New Roman" w:cs="Times New Roman"/>
        </w:rPr>
        <w:t>.«</w:t>
      </w:r>
      <w:r>
        <w:rPr>
          <w:rFonts w:ascii="Microsoft YaHei" w:hAnsi="Microsoft YaHei" w:eastAsia="Microsoft YaHei" w:cs="Microsoft YaHei"/>
        </w:rPr>
        <w:t>末时</w:t>
      </w:r>
      <w:r>
        <w:rPr>
          <w:rFonts w:ascii="Times New Roman" w:hAnsi="Times New Roman" w:eastAsia="Times New Roman" w:cs="Times New Roman"/>
        </w:rPr>
        <w:t>»</w:t>
      </w:r>
      <w:r>
        <w:rPr>
          <w:rFonts w:ascii="Microsoft YaHei" w:hAnsi="Microsoft YaHei" w:eastAsia="Microsoft YaHei" w:cs="Microsoft YaHei"/>
        </w:rPr>
        <w:t>的出版</w:t>
      </w:r>
      <w:r>
        <w:rPr>
          <w:rFonts w:ascii="Times New Roman" w:hAnsi="Times New Roman" w:eastAsia="Times New Roman" w:cs="Times New Roman"/>
        </w:rPr>
        <w:t>,</w:t>
      </w:r>
      <w:r>
        <w:rPr>
          <w:rFonts w:ascii="Microsoft YaHei" w:hAnsi="Microsoft YaHei" w:eastAsia="Microsoft YaHei" w:cs="Microsoft YaHei"/>
        </w:rPr>
        <w:t>乃汇编而成</w:t>
      </w:r>
      <w:r>
        <w:rPr>
          <w:rFonts w:ascii="Times New Roman" w:hAnsi="Times New Roman" w:eastAsia="Times New Roman" w:cs="Times New Roman"/>
        </w:rPr>
        <w:t>,</w:t>
      </w:r>
      <w:r>
        <w:rPr>
          <w:rFonts w:ascii="Microsoft YaHei" w:hAnsi="Microsoft YaHei" w:eastAsia="Microsoft YaHei" w:cs="Microsoft YaHei"/>
        </w:rPr>
        <w:t>其各章最初皆作为文章刊载于</w:t>
      </w:r>
      <w:r>
        <w:rPr>
          <w:rFonts w:ascii="Times New Roman" w:hAnsi="Times New Roman" w:eastAsia="Times New Roman" w:cs="Times New Roman"/>
        </w:rPr>
        <w:t>«</w:t>
      </w:r>
      <w:r>
        <w:rPr>
          <w:rFonts w:ascii="Microsoft YaHei" w:hAnsi="Microsoft YaHei" w:eastAsia="Microsoft YaHei" w:cs="Microsoft YaHei"/>
        </w:rPr>
        <w:t>我们坚固的根基</w:t>
      </w:r>
      <w:r>
        <w:rPr>
          <w:rFonts w:ascii="Times New Roman" w:hAnsi="Times New Roman" w:eastAsia="Times New Roman" w:cs="Times New Roman"/>
        </w:rPr>
        <w:t>»</w:t>
      </w:r>
      <w:r>
        <w:rPr>
          <w:rFonts w:ascii="Microsoft YaHei" w:hAnsi="Microsoft YaHei" w:eastAsia="Microsoft YaHei" w:cs="Microsoft YaHei"/>
        </w:rPr>
        <w:t>刊物之中</w:t>
      </w:r>
      <w:r>
        <w:rPr>
          <w:rFonts w:ascii="Times New Roman" w:hAnsi="Times New Roman" w:eastAsia="Times New Roman" w:cs="Times New Roman"/>
        </w:rPr>
        <w:t>;</w:t>
      </w:r>
      <w:r>
        <w:rPr>
          <w:rFonts w:ascii="Microsoft YaHei" w:hAnsi="Microsoft YaHei" w:eastAsia="Microsoft YaHei" w:cs="Microsoft YaHei"/>
        </w:rPr>
        <w:t>这表明一项预言性的真理：人若不持守米勒派运动的根基性真理（即</w:t>
      </w:r>
      <w:r>
        <w:rPr>
          <w:rFonts w:ascii="Times New Roman" w:hAnsi="Times New Roman" w:eastAsia="Times New Roman" w:cs="Times New Roman"/>
        </w:rPr>
        <w:t>“</w:t>
      </w:r>
      <w:r>
        <w:rPr>
          <w:rFonts w:ascii="Microsoft YaHei" w:hAnsi="Microsoft YaHei" w:eastAsia="Microsoft YaHei" w:cs="Microsoft YaHei"/>
        </w:rPr>
        <w:t>我们坚固的根基</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就不可能明白</w:t>
      </w:r>
      <w:r>
        <w:rPr>
          <w:rFonts w:ascii="Times New Roman" w:hAnsi="Times New Roman" w:eastAsia="Times New Roman" w:cs="Times New Roman"/>
        </w:rPr>
        <w:t>1989</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末时</w:t>
      </w:r>
      <w:r>
        <w:rPr>
          <w:rFonts w:ascii="Times New Roman" w:hAnsi="Times New Roman" w:eastAsia="Times New Roman" w:cs="Times New Roman"/>
        </w:rPr>
        <w:t>”</w:t>
      </w:r>
      <w:r>
        <w:rPr>
          <w:rFonts w:ascii="Microsoft YaHei" w:hAnsi="Microsoft YaHei" w:eastAsia="Microsoft YaHei" w:cs="Microsoft YaHei"/>
        </w:rPr>
        <w:t>的</w:t>
      </w:r>
      <w:r>
        <w:rPr>
          <w:rFonts w:ascii="Times New Roman" w:hAnsi="Times New Roman" w:eastAsia="Times New Roman" w:cs="Times New Roman"/>
        </w:rPr>
        <w:t>“</w:t>
      </w:r>
      <w:r>
        <w:rPr>
          <w:rFonts w:ascii="Microsoft YaHei" w:hAnsi="Microsoft YaHei" w:eastAsia="Microsoft YaHei" w:cs="Microsoft YaHei"/>
        </w:rPr>
        <w:t>知识增长</w:t>
      </w:r>
      <w:r>
        <w:rPr>
          <w:rFonts w:ascii="Times New Roman" w:hAnsi="Times New Roman" w:eastAsia="Times New Roman" w:cs="Times New Roman"/>
        </w:rPr>
        <w:t>”.</w:t>
      </w:r>
    </w:p>
    <w:p>
      <w:pPr>
        <w:pStyle w:val="ArticleBody"/>
        <w:jc w:val="left"/>
      </w:pPr>
      <w:r>
        <w:rPr>
          <w:rFonts w:ascii="Nirmala UI" w:hAnsi="Nirmala UI" w:eastAsia="Nirmala UI" w:cs="Nirmala UI"/>
        </w:rPr>
        <w:t>ಚಿಹ್ನಿತ</w:t>
      </w:r>
      <w:r>
        <w:rPr>
          <w:rFonts w:ascii="Times New Roman" w:hAnsi="Times New Roman" w:eastAsia="Times New Roman" w:cs="Times New Roman"/>
        </w:rPr>
        <w:t xml:space="preserve"> </w:t>
      </w:r>
      <w:r>
        <w:rPr>
          <w:rFonts w:ascii="Nirmala UI" w:hAnsi="Nirmala UI" w:eastAsia="Nirmala UI" w:cs="Nirmala UI"/>
        </w:rPr>
        <w:t>ಮಾರ್ಗಸೂಚಕಗಳಲ್ಲಿ</w:t>
      </w:r>
      <w:r>
        <w:rPr>
          <w:rFonts w:ascii="Times New Roman" w:hAnsi="Times New Roman" w:eastAsia="Times New Roman" w:cs="Times New Roman"/>
        </w:rPr>
        <w:t xml:space="preserve"> “</w:t>
      </w:r>
      <w:r>
        <w:rPr>
          <w:rFonts w:ascii="Nirmala UI" w:hAnsi="Nirmala UI" w:eastAsia="Nirmala UI" w:cs="Nirmala UI"/>
        </w:rPr>
        <w:t>ಅಂತ್ಯದ</w:t>
      </w:r>
      <w:r>
        <w:rPr>
          <w:rFonts w:ascii="Times New Roman" w:hAnsi="Times New Roman" w:eastAsia="Times New Roman" w:cs="Times New Roman"/>
        </w:rPr>
        <w:t xml:space="preserve"> </w:t>
      </w:r>
      <w:r>
        <w:rPr>
          <w:rFonts w:ascii="Nirmala UI" w:hAnsi="Nirmala UI" w:eastAsia="Nirmala UI" w:cs="Nirmala UI"/>
        </w:rPr>
        <w:t>ಕಾಲ</w:t>
      </w:r>
      <w:r>
        <w:rPr>
          <w:rFonts w:ascii="Times New Roman" w:hAnsi="Times New Roman" w:eastAsia="Times New Roman" w:cs="Times New Roman"/>
        </w:rPr>
        <w:t>”</w:t>
      </w:r>
      <w:r>
        <w:rPr>
          <w:rFonts w:ascii="Nirmala UI" w:hAnsi="Nirmala UI" w:eastAsia="Nirmala UI" w:cs="Nirmala UI"/>
        </w:rPr>
        <w:t>ವೆಂದು</w:t>
      </w:r>
      <w:r>
        <w:rPr>
          <w:rFonts w:ascii="Times New Roman" w:hAnsi="Times New Roman" w:eastAsia="Times New Roman" w:cs="Times New Roman"/>
        </w:rPr>
        <w:t xml:space="preserve"> </w:t>
      </w:r>
      <w:r>
        <w:rPr>
          <w:rFonts w:ascii="Nirmala UI" w:hAnsi="Nirmala UI" w:eastAsia="Nirmala UI" w:cs="Nirmala UI"/>
        </w:rPr>
        <w:t>ಪ್ರತಿನಿಧಿಸಲ್ಪಟ್ಟದ್ದೂ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ಮೂರನೇ</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ಚಳುವಳಿಗಳ</w:t>
      </w:r>
      <w:r>
        <w:rPr>
          <w:rFonts w:ascii="Times New Roman" w:hAnsi="Times New Roman" w:eastAsia="Times New Roman" w:cs="Times New Roman"/>
        </w:rPr>
        <w:t xml:space="preserve"> </w:t>
      </w:r>
      <w:r>
        <w:rPr>
          <w:rFonts w:ascii="Nirmala UI" w:hAnsi="Nirmala UI" w:eastAsia="Nirmala UI" w:cs="Nirmala UI"/>
        </w:rPr>
        <w:t>ಸಮಾನಾಂತರ</w:t>
      </w:r>
      <w:r>
        <w:rPr>
          <w:rFonts w:ascii="Times New Roman" w:hAnsi="Times New Roman" w:eastAsia="Times New Roman" w:cs="Times New Roman"/>
        </w:rPr>
        <w:t xml:space="preserve"> </w:t>
      </w:r>
      <w:r>
        <w:rPr>
          <w:rFonts w:ascii="Nirmala UI" w:hAnsi="Nirmala UI" w:eastAsia="Nirmala UI" w:cs="Nirmala UI"/>
        </w:rPr>
        <w:t>ಇತಿಹಾಸಗಳಲ್ಲಿ</w:t>
      </w:r>
      <w:r>
        <w:rPr>
          <w:rFonts w:ascii="Times New Roman" w:hAnsi="Times New Roman" w:eastAsia="Times New Roman" w:cs="Times New Roman"/>
        </w:rPr>
        <w:t xml:space="preserve"> </w:t>
      </w:r>
      <w:r>
        <w:rPr>
          <w:rFonts w:ascii="Nirmala UI" w:hAnsi="Nirmala UI" w:eastAsia="Nirmala UI" w:cs="Nirmala UI"/>
        </w:rPr>
        <w:t>ಸಂದೇಶದ</w:t>
      </w:r>
      <w:r>
        <w:rPr>
          <w:rFonts w:ascii="Times New Roman" w:hAnsi="Times New Roman" w:eastAsia="Times New Roman" w:cs="Times New Roman"/>
        </w:rPr>
        <w:t xml:space="preserve"> “</w:t>
      </w:r>
      <w:r>
        <w:rPr>
          <w:rFonts w:ascii="Nirmala UI" w:hAnsi="Nirmala UI" w:eastAsia="Nirmala UI" w:cs="Nirmala UI"/>
        </w:rPr>
        <w:t>ಔಪಚಾರಿಕೀಕರಣ</w:t>
      </w:r>
      <w:r>
        <w:rPr>
          <w:rFonts w:ascii="Times New Roman" w:hAnsi="Times New Roman" w:eastAsia="Times New Roman" w:cs="Times New Roman"/>
        </w:rPr>
        <w:t>”</w:t>
      </w:r>
      <w:r>
        <w:rPr>
          <w:rFonts w:ascii="Nirmala UI" w:hAnsi="Nirmala UI" w:eastAsia="Nirmala UI" w:cs="Nirmala UI"/>
        </w:rPr>
        <w:t>ವನ್ನು</w:t>
      </w:r>
      <w:r>
        <w:rPr>
          <w:rFonts w:ascii="Times New Roman" w:hAnsi="Times New Roman" w:eastAsia="Times New Roman" w:cs="Times New Roman"/>
        </w:rPr>
        <w:t xml:space="preserve"> </w:t>
      </w:r>
      <w:r>
        <w:rPr>
          <w:rFonts w:ascii="Nirmala UI" w:hAnsi="Nirmala UI" w:eastAsia="Nirmala UI" w:cs="Nirmala UI"/>
        </w:rPr>
        <w:t>ಪ್ರತಿನಿಧಿಸುವ</w:t>
      </w:r>
      <w:r>
        <w:rPr>
          <w:rFonts w:ascii="Times New Roman" w:hAnsi="Times New Roman" w:eastAsia="Times New Roman" w:cs="Times New Roman"/>
        </w:rPr>
        <w:t xml:space="preserve"> </w:t>
      </w:r>
      <w:r>
        <w:rPr>
          <w:rFonts w:ascii="Nirmala UI" w:hAnsi="Nirmala UI" w:eastAsia="Nirmala UI" w:cs="Nirmala UI"/>
        </w:rPr>
        <w:t>ಮಾರ್ಗಸೂಚಕವೂ</w:t>
      </w:r>
      <w:r>
        <w:rPr>
          <w:rFonts w:ascii="Times New Roman" w:hAnsi="Times New Roman" w:eastAsia="Times New Roman" w:cs="Times New Roman"/>
        </w:rPr>
        <w:t>—</w:t>
      </w:r>
      <w:r>
        <w:rPr>
          <w:rFonts w:ascii="Nirmala UI" w:hAnsi="Nirmala UI" w:eastAsia="Nirmala UI" w:cs="Nirmala UI"/>
        </w:rPr>
        <w:t>ಇವೆರಡೂ</w:t>
      </w:r>
      <w:r>
        <w:rPr>
          <w:rFonts w:ascii="Times New Roman" w:hAnsi="Times New Roman" w:eastAsia="Times New Roman" w:cs="Times New Roman"/>
        </w:rPr>
        <w:t xml:space="preserve"> </w:t>
      </w:r>
      <w:r>
        <w:rPr>
          <w:rFonts w:ascii="Nirmala UI" w:hAnsi="Nirmala UI" w:eastAsia="Nirmala UI" w:cs="Nirmala UI"/>
        </w:rPr>
        <w:t>ಲೇವಿಯಕಾಂಡ</w:t>
      </w:r>
      <w:r>
        <w:rPr>
          <w:rFonts w:ascii="Times New Roman" w:hAnsi="Times New Roman" w:eastAsia="Times New Roman" w:cs="Times New Roman"/>
        </w:rPr>
        <w:t xml:space="preserve"> </w:t>
      </w:r>
      <w:r>
        <w:rPr>
          <w:rFonts w:ascii="Nirmala UI" w:hAnsi="Nirmala UI" w:eastAsia="Nirmala UI" w:cs="Nirmala UI"/>
        </w:rPr>
        <w:t>ಇಪ್ಪತ್ತಾರು</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ಏಳು</w:t>
      </w:r>
      <w:r>
        <w:rPr>
          <w:rFonts w:ascii="Times New Roman" w:hAnsi="Times New Roman" w:eastAsia="Times New Roman" w:cs="Times New Roman"/>
        </w:rPr>
        <w:t xml:space="preserve"> </w:t>
      </w:r>
      <w:r>
        <w:rPr>
          <w:rFonts w:ascii="Nirmala UI" w:hAnsi="Nirmala UI" w:eastAsia="Nirmala UI" w:cs="Nirmala UI"/>
        </w:rPr>
        <w:t>ಕಾಲಗಳು</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ಅಂಶಗಳನ್ನು</w:t>
      </w:r>
      <w:r>
        <w:rPr>
          <w:rFonts w:ascii="Times New Roman" w:hAnsi="Times New Roman" w:eastAsia="Times New Roman" w:cs="Times New Roman"/>
        </w:rPr>
        <w:t xml:space="preserve"> </w:t>
      </w:r>
      <w:r>
        <w:rPr>
          <w:rFonts w:ascii="Nirmala UI" w:hAnsi="Nirmala UI" w:eastAsia="Nirmala UI" w:cs="Nirmala UI"/>
        </w:rPr>
        <w:t>ಒಳಗೊಂಡಿವೆ</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ಸಮಾನಾಂತರ</w:t>
      </w:r>
      <w:r>
        <w:rPr>
          <w:rFonts w:ascii="Times New Roman" w:hAnsi="Times New Roman" w:eastAsia="Times New Roman" w:cs="Times New Roman"/>
        </w:rPr>
        <w:t xml:space="preserve"> </w:t>
      </w:r>
      <w:r>
        <w:rPr>
          <w:rFonts w:ascii="Nirmala UI" w:hAnsi="Nirmala UI" w:eastAsia="Nirmala UI" w:cs="Nirmala UI"/>
        </w:rPr>
        <w:t>ಇತಿಹಾಸಗಳಲ್ಲಿನ</w:t>
      </w:r>
      <w:r>
        <w:rPr>
          <w:rFonts w:ascii="Times New Roman" w:hAnsi="Times New Roman" w:eastAsia="Times New Roman" w:cs="Times New Roman"/>
        </w:rPr>
        <w:t xml:space="preserve"> </w:t>
      </w:r>
      <w:r>
        <w:rPr>
          <w:rFonts w:ascii="Nirmala UI" w:hAnsi="Nirmala UI" w:eastAsia="Nirmala UI" w:cs="Nirmala UI"/>
        </w:rPr>
        <w:t>ಮುಂದಿನ</w:t>
      </w:r>
      <w:r>
        <w:rPr>
          <w:rFonts w:ascii="Times New Roman" w:hAnsi="Times New Roman" w:eastAsia="Times New Roman" w:cs="Times New Roman"/>
        </w:rPr>
        <w:t xml:space="preserve"> </w:t>
      </w:r>
      <w:r>
        <w:rPr>
          <w:rFonts w:ascii="Nirmala UI" w:hAnsi="Nirmala UI" w:eastAsia="Nirmala UI" w:cs="Nirmala UI"/>
        </w:rPr>
        <w:t>ಮಾರ್ಗಸೂಚಕವೆಂದರೆ</w:t>
      </w:r>
      <w:r>
        <w:rPr>
          <w:rFonts w:ascii="Times New Roman" w:hAnsi="Times New Roman" w:eastAsia="Times New Roman" w:cs="Times New Roman"/>
        </w:rPr>
        <w:t>, 1840</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ಆಗಸ್ಟ್</w:t>
      </w:r>
      <w:r>
        <w:rPr>
          <w:rFonts w:ascii="Times New Roman" w:hAnsi="Times New Roman" w:eastAsia="Times New Roman" w:cs="Times New Roman"/>
        </w:rPr>
        <w:t xml:space="preserve"> 11</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ಪ್ರಕಟಣೆ</w:t>
      </w:r>
      <w:r>
        <w:rPr>
          <w:rFonts w:ascii="Times New Roman" w:hAnsi="Times New Roman" w:eastAsia="Times New Roman" w:cs="Times New Roman"/>
        </w:rPr>
        <w:t xml:space="preserve"> </w:t>
      </w:r>
      <w:r>
        <w:rPr>
          <w:rFonts w:ascii="Nirmala UI" w:hAnsi="Nirmala UI" w:eastAsia="Nirmala UI" w:cs="Nirmala UI"/>
        </w:rPr>
        <w:t>ಹತ್ತನೇ</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ದೂತನಾಗಲಿ</w:t>
      </w:r>
      <w:r>
        <w:rPr>
          <w:rFonts w:ascii="Times New Roman" w:hAnsi="Times New Roman" w:eastAsia="Times New Roman" w:cs="Times New Roman"/>
        </w:rPr>
        <w:t xml:space="preserve">, </w:t>
      </w:r>
      <w:r>
        <w:rPr>
          <w:rFonts w:ascii="Nirmala UI" w:hAnsi="Nirmala UI" w:eastAsia="Nirmala UI" w:cs="Nirmala UI"/>
        </w:rPr>
        <w:t>ಅಥವಾ</w:t>
      </w:r>
      <w:r>
        <w:rPr>
          <w:rFonts w:ascii="Times New Roman" w:hAnsi="Times New Roman" w:eastAsia="Times New Roman" w:cs="Times New Roman"/>
        </w:rPr>
        <w:t xml:space="preserve"> 2001</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ಸೆಪ್ಟೆಂಬರ್</w:t>
      </w:r>
      <w:r>
        <w:rPr>
          <w:rFonts w:ascii="Times New Roman" w:hAnsi="Times New Roman" w:eastAsia="Times New Roman" w:cs="Times New Roman"/>
        </w:rPr>
        <w:t xml:space="preserve"> 11</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ಪ್ರಕಟಣೆ</w:t>
      </w:r>
      <w:r>
        <w:rPr>
          <w:rFonts w:ascii="Times New Roman" w:hAnsi="Times New Roman" w:eastAsia="Times New Roman" w:cs="Times New Roman"/>
        </w:rPr>
        <w:t xml:space="preserve"> </w:t>
      </w:r>
      <w:r>
        <w:rPr>
          <w:rFonts w:ascii="Nirmala UI" w:hAnsi="Nirmala UI" w:eastAsia="Nirmala UI" w:cs="Nirmala UI"/>
        </w:rPr>
        <w:t>ಹದಿನೆಂಟನೇ</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ದೂತನಾಗಲಿ</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ಇಳಿವರಿಕೆಯಿಂದ</w:t>
      </w:r>
      <w:r>
        <w:rPr>
          <w:rFonts w:ascii="Times New Roman" w:hAnsi="Times New Roman" w:eastAsia="Times New Roman" w:cs="Times New Roman"/>
        </w:rPr>
        <w:t xml:space="preserve"> </w:t>
      </w:r>
      <w:r>
        <w:rPr>
          <w:rFonts w:ascii="Nirmala UI" w:hAnsi="Nirmala UI" w:eastAsia="Nirmala UI" w:cs="Nirmala UI"/>
        </w:rPr>
        <w:t>ಗುರುತಿಸಲ್ಪಡುವಂತೆ</w:t>
      </w:r>
      <w:r>
        <w:rPr>
          <w:rFonts w:ascii="Times New Roman" w:hAnsi="Times New Roman" w:eastAsia="Times New Roman" w:cs="Times New Roman"/>
        </w:rPr>
        <w:t xml:space="preserve"> </w:t>
      </w:r>
      <w:r>
        <w:rPr>
          <w:rFonts w:ascii="Nirmala UI" w:hAnsi="Nirmala UI" w:eastAsia="Nirmala UI" w:cs="Nirmala UI"/>
        </w:rPr>
        <w:t>ಸಂದೇಶಕ್ಕೆ</w:t>
      </w:r>
      <w:r>
        <w:rPr>
          <w:rFonts w:ascii="Times New Roman" w:hAnsi="Times New Roman" w:eastAsia="Times New Roman" w:cs="Times New Roman"/>
        </w:rPr>
        <w:t xml:space="preserve"> </w:t>
      </w:r>
      <w:r>
        <w:rPr>
          <w:rFonts w:ascii="Nirmala UI" w:hAnsi="Nirmala UI" w:eastAsia="Nirmala UI" w:cs="Nirmala UI"/>
        </w:rPr>
        <w:t>ದೊರೆತ</w:t>
      </w:r>
      <w:r>
        <w:rPr>
          <w:rFonts w:ascii="Times New Roman" w:hAnsi="Times New Roman" w:eastAsia="Times New Roman" w:cs="Times New Roman"/>
        </w:rPr>
        <w:t xml:space="preserve"> </w:t>
      </w:r>
      <w:r>
        <w:rPr>
          <w:rFonts w:ascii="Nirmala UI" w:hAnsi="Nirmala UI" w:eastAsia="Nirmala UI" w:cs="Nirmala UI"/>
        </w:rPr>
        <w:t>ಶಕ್ತಿಕರಣವಾಗಿದೆ</w:t>
      </w:r>
      <w:r>
        <w:rPr>
          <w:rFonts w:ascii="Times New Roman" w:hAnsi="Times New Roman" w:eastAsia="Times New Roman" w:cs="Times New Roman"/>
        </w:rPr>
        <w:t xml:space="preserve">. </w:t>
      </w:r>
      <w:r>
        <w:rPr>
          <w:rFonts w:ascii="Nirmala UI" w:hAnsi="Nirmala UI" w:eastAsia="Nirmala UI" w:cs="Nirmala UI"/>
        </w:rPr>
        <w:t>ಪ್ರಕಟಣೆ</w:t>
      </w:r>
      <w:r>
        <w:rPr>
          <w:rFonts w:ascii="Times New Roman" w:hAnsi="Times New Roman" w:eastAsia="Times New Roman" w:cs="Times New Roman"/>
        </w:rPr>
        <w:t xml:space="preserve"> </w:t>
      </w:r>
      <w:r>
        <w:rPr>
          <w:rFonts w:ascii="Nirmala UI" w:hAnsi="Nirmala UI" w:eastAsia="Nirmala UI" w:cs="Nirmala UI"/>
        </w:rPr>
        <w:t>ಒಂಬತ್ತನೇ</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ಎರಡನೇ</w:t>
      </w:r>
      <w:r>
        <w:rPr>
          <w:rFonts w:ascii="Times New Roman" w:hAnsi="Times New Roman" w:eastAsia="Times New Roman" w:cs="Times New Roman"/>
        </w:rPr>
        <w:t xml:space="preserve"> </w:t>
      </w:r>
      <w:r>
        <w:rPr>
          <w:rFonts w:ascii="Nirmala UI" w:hAnsi="Nirmala UI" w:eastAsia="Nirmala UI" w:cs="Nirmala UI"/>
        </w:rPr>
        <w:t>ಅಯ್ಯೋವು</w:t>
      </w:r>
      <w:r>
        <w:rPr>
          <w:rFonts w:ascii="Times New Roman" w:hAnsi="Times New Roman" w:eastAsia="Times New Roman" w:cs="Times New Roman"/>
        </w:rPr>
        <w:t xml:space="preserve"> </w:t>
      </w:r>
      <w:r>
        <w:rPr>
          <w:rFonts w:ascii="Nirmala UI" w:hAnsi="Nirmala UI" w:eastAsia="Nirmala UI" w:cs="Nirmala UI"/>
        </w:rPr>
        <w:t>ನೆರವೇರಿದಾಗ</w:t>
      </w:r>
      <w:r>
        <w:rPr>
          <w:rFonts w:ascii="Times New Roman" w:hAnsi="Times New Roman" w:eastAsia="Times New Roman" w:cs="Times New Roman"/>
        </w:rPr>
        <w:t xml:space="preserve"> </w:t>
      </w:r>
      <w:r>
        <w:rPr>
          <w:rFonts w:ascii="Nirmala UI" w:hAnsi="Nirmala UI" w:eastAsia="Nirmala UI" w:cs="Nirmala UI"/>
        </w:rPr>
        <w:t>ಪ್ರಕಟಣೆ</w:t>
      </w:r>
      <w:r>
        <w:rPr>
          <w:rFonts w:ascii="Times New Roman" w:hAnsi="Times New Roman" w:eastAsia="Times New Roman" w:cs="Times New Roman"/>
        </w:rPr>
        <w:t xml:space="preserve"> </w:t>
      </w:r>
      <w:r>
        <w:rPr>
          <w:rFonts w:ascii="Nirmala UI" w:hAnsi="Nirmala UI" w:eastAsia="Nirmala UI" w:cs="Nirmala UI"/>
        </w:rPr>
        <w:t>ಹತ್ತನೇ</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ಇಳಿದುಬಂದನು</w:t>
      </w:r>
      <w:r>
        <w:rPr>
          <w:rFonts w:ascii="Times New Roman" w:hAnsi="Times New Roman" w:eastAsia="Times New Roman" w:cs="Times New Roman"/>
        </w:rPr>
        <w:t xml:space="preserve">; </w:t>
      </w:r>
      <w:r>
        <w:rPr>
          <w:rFonts w:ascii="Nirmala UI" w:hAnsi="Nirmala UI" w:eastAsia="Nirmala UI" w:cs="Nirmala UI"/>
        </w:rPr>
        <w:t>ಪ್ರಕಟಣೆ</w:t>
      </w:r>
      <w:r>
        <w:rPr>
          <w:rFonts w:ascii="Times New Roman" w:hAnsi="Times New Roman" w:eastAsia="Times New Roman" w:cs="Times New Roman"/>
        </w:rPr>
        <w:t xml:space="preserve"> </w:t>
      </w:r>
      <w:r>
        <w:rPr>
          <w:rFonts w:ascii="Nirmala UI" w:hAnsi="Nirmala UI" w:eastAsia="Nirmala UI" w:cs="Nirmala UI"/>
        </w:rPr>
        <w:t>ಹತ್ತನೇ</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ಮೂರನೇ</w:t>
      </w:r>
      <w:r>
        <w:rPr>
          <w:rFonts w:ascii="Times New Roman" w:hAnsi="Times New Roman" w:eastAsia="Times New Roman" w:cs="Times New Roman"/>
        </w:rPr>
        <w:t xml:space="preserve"> </w:t>
      </w:r>
      <w:r>
        <w:rPr>
          <w:rFonts w:ascii="Nirmala UI" w:hAnsi="Nirmala UI" w:eastAsia="Nirmala UI" w:cs="Nirmala UI"/>
        </w:rPr>
        <w:t>ಅಯ್ಯೋವು</w:t>
      </w:r>
      <w:r>
        <w:rPr>
          <w:rFonts w:ascii="Times New Roman" w:hAnsi="Times New Roman" w:eastAsia="Times New Roman" w:cs="Times New Roman"/>
        </w:rPr>
        <w:t xml:space="preserve"> </w:t>
      </w:r>
      <w:r>
        <w:rPr>
          <w:rFonts w:ascii="Nirmala UI" w:hAnsi="Nirmala UI" w:eastAsia="Nirmala UI" w:cs="Nirmala UI"/>
        </w:rPr>
        <w:t>ನೆರವೇರಿದಾಗ</w:t>
      </w:r>
      <w:r>
        <w:rPr>
          <w:rFonts w:ascii="Times New Roman" w:hAnsi="Times New Roman" w:eastAsia="Times New Roman" w:cs="Times New Roman"/>
        </w:rPr>
        <w:t xml:space="preserve"> </w:t>
      </w:r>
      <w:r>
        <w:rPr>
          <w:rFonts w:ascii="Nirmala UI" w:hAnsi="Nirmala UI" w:eastAsia="Nirmala UI" w:cs="Nirmala UI"/>
        </w:rPr>
        <w:t>ಪ್ರಕಟಣೆ</w:t>
      </w:r>
      <w:r>
        <w:rPr>
          <w:rFonts w:ascii="Times New Roman" w:hAnsi="Times New Roman" w:eastAsia="Times New Roman" w:cs="Times New Roman"/>
        </w:rPr>
        <w:t xml:space="preserve"> </w:t>
      </w:r>
      <w:r>
        <w:rPr>
          <w:rFonts w:ascii="Nirmala UI" w:hAnsi="Nirmala UI" w:eastAsia="Nirmala UI" w:cs="Nirmala UI"/>
        </w:rPr>
        <w:t>ಹದಿನೆಂಟನೇ</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ಇಳಿದುಬಂದನು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Katika historia hizo zinazofanana, mvua ya masika ya mwisho huanza “kunyunyuza” pale malaika anaposhuka. Wakati huo ujumbe “hupewa nguvu” kwa uthibitisho wa tukio lililotabiriwa. Kwa Wamilerite, ilikuwa ni kukoma kwa ukuu wa Dola ya Ottoman katika utimilifu wa unabii wa wakati kuhusu Uislamu wa Ole wa pili katika Ufunuo sura ya tisa, aya ya kumi na tano. Kwa vuguvugu la wale mia moja arobaini na nne elfu, ilikuwa ni “ghadhabishwa kwa mataifa,” unabii kuhusu Uislamu wa Ole wa tatu ulio katika wakati wa tarumbeta ya saba katika Ufunuo kumi, aya ya saba, ambao ulitimizwa wakati majengo makubwa ya Jiji la New York yalipoangushwa.</w:t>
      </w:r>
    </w:p>
    <w:p>
      <w:pPr>
        <w:pStyle w:val="ArticleBody"/>
        <w:jc w:val="left"/>
      </w:pPr>
      <w:r>
        <w:rPr>
          <w:rFonts w:ascii="Times New Roman" w:hAnsi="Times New Roman" w:eastAsia="Times New Roman" w:cs="Times New Roman"/>
        </w:rPr>
        <w:t>Ff</w:t>
      </w:r>
      <w:r>
        <w:rPr>
          <w:rFonts w:ascii="Malgun Gothic" w:hAnsi="Malgun Gothic" w:eastAsia="Malgun Gothic" w:cs="Malgun Gothic"/>
        </w:rPr>
        <w:t>에서는</w:t>
      </w:r>
      <w:r>
        <w:rPr>
          <w:rFonts w:ascii="Times New Roman" w:hAnsi="Times New Roman" w:eastAsia="Times New Roman" w:cs="Times New Roman"/>
        </w:rPr>
        <w:t xml:space="preserve"> </w:t>
      </w:r>
      <w:r>
        <w:rPr>
          <w:rFonts w:ascii="Malgun Gothic" w:hAnsi="Malgun Gothic" w:eastAsia="Malgun Gothic" w:cs="Malgun Gothic"/>
        </w:rPr>
        <w:t>병행</w:t>
      </w:r>
      <w:r>
        <w:rPr>
          <w:rFonts w:ascii="Times New Roman" w:hAnsi="Times New Roman" w:eastAsia="Times New Roman" w:cs="Times New Roman"/>
        </w:rPr>
        <w:t xml:space="preserve"> </w:t>
      </w:r>
      <w:r>
        <w:rPr>
          <w:rFonts w:ascii="Malgun Gothic" w:hAnsi="Malgun Gothic" w:eastAsia="Malgun Gothic" w:cs="Malgun Gothic"/>
        </w:rPr>
        <w:t>역사들의</w:t>
      </w:r>
      <w:r>
        <w:rPr>
          <w:rFonts w:ascii="Times New Roman" w:hAnsi="Times New Roman" w:eastAsia="Times New Roman" w:cs="Times New Roman"/>
        </w:rPr>
        <w:t xml:space="preserve"> </w:t>
      </w:r>
      <w:r>
        <w:rPr>
          <w:rFonts w:ascii="Malgun Gothic" w:hAnsi="Malgun Gothic" w:eastAsia="Malgun Gothic" w:cs="Malgun Gothic"/>
        </w:rPr>
        <w:t>각</w:t>
      </w:r>
      <w:r>
        <w:rPr>
          <w:rFonts w:ascii="Times New Roman" w:hAnsi="Times New Roman" w:eastAsia="Times New Roman" w:cs="Times New Roman"/>
        </w:rPr>
        <w:t xml:space="preserve"> </w:t>
      </w:r>
      <w:r>
        <w:rPr>
          <w:rFonts w:ascii="Malgun Gothic" w:hAnsi="Malgun Gothic" w:eastAsia="Malgun Gothic" w:cs="Malgun Gothic"/>
        </w:rPr>
        <w:t>주요</w:t>
      </w:r>
      <w:r>
        <w:rPr>
          <w:rFonts w:ascii="Times New Roman" w:hAnsi="Times New Roman" w:eastAsia="Times New Roman" w:cs="Times New Roman"/>
        </w:rPr>
        <w:t xml:space="preserve"> </w:t>
      </w:r>
      <w:r>
        <w:rPr>
          <w:rFonts w:ascii="Malgun Gothic" w:hAnsi="Malgun Gothic" w:eastAsia="Malgun Gothic" w:cs="Malgun Gothic"/>
        </w:rPr>
        <w:t>이정표가</w:t>
      </w:r>
      <w:r>
        <w:rPr>
          <w:rFonts w:ascii="Times New Roman" w:hAnsi="Times New Roman" w:eastAsia="Times New Roman" w:cs="Times New Roman"/>
        </w:rPr>
        <w:t xml:space="preserve">, </w:t>
      </w:r>
      <w:r>
        <w:rPr>
          <w:rFonts w:ascii="Malgun Gothic" w:hAnsi="Malgun Gothic" w:eastAsia="Malgun Gothic" w:cs="Malgun Gothic"/>
        </w:rPr>
        <w:t>이천삼백</w:t>
      </w:r>
      <w:r>
        <w:rPr>
          <w:rFonts w:ascii="Times New Roman" w:hAnsi="Times New Roman" w:eastAsia="Times New Roman" w:cs="Times New Roman"/>
        </w:rPr>
        <w:t xml:space="preserve"> </w:t>
      </w:r>
      <w:r>
        <w:rPr>
          <w:rFonts w:ascii="Malgun Gothic" w:hAnsi="Malgun Gothic" w:eastAsia="Malgun Gothic" w:cs="Malgun Gothic"/>
        </w:rPr>
        <w:t>년과</w:t>
      </w:r>
      <w:r>
        <w:rPr>
          <w:rFonts w:ascii="Times New Roman" w:hAnsi="Times New Roman" w:eastAsia="Times New Roman" w:cs="Times New Roman"/>
        </w:rPr>
        <w:t xml:space="preserve"> </w:t>
      </w:r>
      <w:r>
        <w:rPr>
          <w:rFonts w:ascii="Malgun Gothic" w:hAnsi="Malgun Gothic" w:eastAsia="Malgun Gothic" w:cs="Malgun Gothic"/>
        </w:rPr>
        <w:t>이천오백이십</w:t>
      </w:r>
      <w:r>
        <w:rPr>
          <w:rFonts w:ascii="Times New Roman" w:hAnsi="Times New Roman" w:eastAsia="Times New Roman" w:cs="Times New Roman"/>
        </w:rPr>
        <w:t xml:space="preserve"> </w:t>
      </w:r>
      <w:r>
        <w:rPr>
          <w:rFonts w:ascii="Malgun Gothic" w:hAnsi="Malgun Gothic" w:eastAsia="Malgun Gothic" w:cs="Malgun Gothic"/>
        </w:rPr>
        <w:t>년을</w:t>
      </w:r>
      <w:r>
        <w:rPr>
          <w:rFonts w:ascii="Times New Roman" w:hAnsi="Times New Roman" w:eastAsia="Times New Roman" w:cs="Times New Roman"/>
        </w:rPr>
        <w:t xml:space="preserve"> </w:t>
      </w:r>
      <w:r>
        <w:rPr>
          <w:rFonts w:ascii="Malgun Gothic" w:hAnsi="Malgun Gothic" w:eastAsia="Malgun Gothic" w:cs="Malgun Gothic"/>
        </w:rPr>
        <w:t>나타내는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환상</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관계</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서명을</w:t>
      </w:r>
      <w:r>
        <w:rPr>
          <w:rFonts w:ascii="Times New Roman" w:hAnsi="Times New Roman" w:eastAsia="Times New Roman" w:cs="Times New Roman"/>
        </w:rPr>
        <w:t xml:space="preserve"> </w:t>
      </w:r>
      <w:r>
        <w:rPr>
          <w:rFonts w:ascii="Malgun Gothic" w:hAnsi="Malgun Gothic" w:eastAsia="Malgun Gothic" w:cs="Malgun Gothic"/>
        </w:rPr>
        <w:t>두시는</w:t>
      </w:r>
      <w:r>
        <w:rPr>
          <w:rFonts w:ascii="Times New Roman" w:hAnsi="Times New Roman" w:eastAsia="Times New Roman" w:cs="Times New Roman"/>
        </w:rPr>
        <w:t xml:space="preserve"> </w:t>
      </w:r>
      <w:r>
        <w:rPr>
          <w:rFonts w:ascii="Malgun Gothic" w:hAnsi="Malgun Gothic" w:eastAsia="Malgun Gothic" w:cs="Malgun Gothic"/>
        </w:rPr>
        <w:t>기묘한</w:t>
      </w:r>
      <w:r>
        <w:rPr>
          <w:rFonts w:ascii="Times New Roman" w:hAnsi="Times New Roman" w:eastAsia="Times New Roman" w:cs="Times New Roman"/>
        </w:rPr>
        <w:t xml:space="preserve"> </w:t>
      </w:r>
      <w:r>
        <w:rPr>
          <w:rFonts w:ascii="Malgun Gothic" w:hAnsi="Malgun Gothic" w:eastAsia="Malgun Gothic" w:cs="Malgun Gothic"/>
        </w:rPr>
        <w:t>계수자의</w:t>
      </w:r>
      <w:r>
        <w:rPr>
          <w:rFonts w:ascii="Times New Roman" w:hAnsi="Times New Roman" w:eastAsia="Times New Roman" w:cs="Times New Roman"/>
        </w:rPr>
        <w:t xml:space="preserve"> </w:t>
      </w:r>
      <w:r>
        <w:rPr>
          <w:rFonts w:ascii="Malgun Gothic" w:hAnsi="Malgun Gothic" w:eastAsia="Malgun Gothic" w:cs="Malgun Gothic"/>
        </w:rPr>
        <w:t>사역과</w:t>
      </w:r>
      <w:r>
        <w:rPr>
          <w:rFonts w:ascii="Times New Roman" w:hAnsi="Times New Roman" w:eastAsia="Times New Roman" w:cs="Times New Roman"/>
        </w:rPr>
        <w:t xml:space="preserve"> </w:t>
      </w:r>
      <w:r>
        <w:rPr>
          <w:rFonts w:ascii="Malgun Gothic" w:hAnsi="Malgun Gothic" w:eastAsia="Malgun Gothic" w:cs="Malgun Gothic"/>
        </w:rPr>
        <w:t>직접적으로</w:t>
      </w:r>
      <w:r>
        <w:rPr>
          <w:rFonts w:ascii="Times New Roman" w:hAnsi="Times New Roman" w:eastAsia="Times New Roman" w:cs="Times New Roman"/>
        </w:rPr>
        <w:t xml:space="preserve"> </w:t>
      </w:r>
      <w:r>
        <w:rPr>
          <w:rFonts w:ascii="Malgun Gothic" w:hAnsi="Malgun Gothic" w:eastAsia="Malgun Gothic" w:cs="Malgun Gothic"/>
        </w:rPr>
        <w:t>연결되어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강림할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일으켜지는</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파수꾼들은</w:t>
      </w:r>
      <w:r>
        <w:rPr>
          <w:rFonts w:ascii="Times New Roman" w:hAnsi="Times New Roman" w:eastAsia="Times New Roman" w:cs="Times New Roman"/>
        </w:rPr>
        <w:t xml:space="preserve"> </w:t>
      </w:r>
      <w:r>
        <w:rPr>
          <w:rFonts w:ascii="Malgun Gothic" w:hAnsi="Malgun Gothic" w:eastAsia="Malgun Gothic" w:cs="Malgun Gothic"/>
        </w:rPr>
        <w:t>라오디게아에게</w:t>
      </w:r>
      <w:r>
        <w:rPr>
          <w:rFonts w:ascii="Times New Roman" w:hAnsi="Times New Roman" w:eastAsia="Times New Roman" w:cs="Times New Roman"/>
        </w:rPr>
        <w:t xml:space="preserve"> </w:t>
      </w:r>
      <w:r>
        <w:rPr>
          <w:rFonts w:ascii="Malgun Gothic" w:hAnsi="Malgun Gothic" w:eastAsia="Malgun Gothic" w:cs="Malgun Gothic"/>
        </w:rPr>
        <w:t>보내는</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포함하는</w:t>
      </w:r>
      <w:r>
        <w:rPr>
          <w:rFonts w:ascii="Times New Roman" w:hAnsi="Times New Roman" w:eastAsia="Times New Roman" w:cs="Times New Roman"/>
        </w:rPr>
        <w:t xml:space="preserve"> </w:t>
      </w:r>
      <w:r>
        <w:rPr>
          <w:rFonts w:ascii="Malgun Gothic" w:hAnsi="Malgun Gothic" w:eastAsia="Malgun Gothic" w:cs="Malgun Gothic"/>
        </w:rPr>
        <w:t>경고의</w:t>
      </w:r>
      <w:r>
        <w:rPr>
          <w:rFonts w:ascii="Times New Roman" w:hAnsi="Times New Roman" w:eastAsia="Times New Roman" w:cs="Times New Roman"/>
        </w:rPr>
        <w:t xml:space="preserve"> </w:t>
      </w:r>
      <w:r>
        <w:rPr>
          <w:rFonts w:ascii="Malgun Gothic" w:hAnsi="Malgun Gothic" w:eastAsia="Malgun Gothic" w:cs="Malgun Gothic"/>
        </w:rPr>
        <w:t>나팔을</w:t>
      </w:r>
      <w:r>
        <w:rPr>
          <w:rFonts w:ascii="Times New Roman" w:hAnsi="Times New Roman" w:eastAsia="Times New Roman" w:cs="Times New Roman"/>
        </w:rPr>
        <w:t xml:space="preserve"> </w:t>
      </w:r>
      <w:r>
        <w:rPr>
          <w:rFonts w:ascii="Malgun Gothic" w:hAnsi="Malgun Gothic" w:eastAsia="Malgun Gothic" w:cs="Malgun Gothic"/>
        </w:rPr>
        <w:t>불어</w:t>
      </w:r>
      <w:r>
        <w:rPr>
          <w:rFonts w:ascii="Times New Roman" w:hAnsi="Times New Roman" w:eastAsia="Times New Roman" w:cs="Times New Roman"/>
        </w:rPr>
        <w:t xml:space="preserve"> </w:t>
      </w:r>
      <w:r>
        <w:rPr>
          <w:rFonts w:ascii="Malgun Gothic" w:hAnsi="Malgun Gothic" w:eastAsia="Malgun Gothic" w:cs="Malgun Gothic"/>
        </w:rPr>
        <w:t>대는데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기별은</w:t>
      </w:r>
      <w:r>
        <w:rPr>
          <w:rFonts w:ascii="Times New Roman" w:hAnsi="Times New Roman" w:eastAsia="Times New Roman" w:cs="Times New Roman"/>
        </w:rPr>
        <w:t xml:space="preserve"> 1856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빛이</w:t>
      </w:r>
      <w:r>
        <w:rPr>
          <w:rFonts w:ascii="Times New Roman" w:hAnsi="Times New Roman" w:eastAsia="Times New Roman" w:cs="Times New Roman"/>
        </w:rPr>
        <w:t xml:space="preserve"> </w:t>
      </w:r>
      <w:r>
        <w:rPr>
          <w:rFonts w:ascii="Malgun Gothic" w:hAnsi="Malgun Gothic" w:eastAsia="Malgun Gothic" w:cs="Malgun Gothic"/>
        </w:rPr>
        <w:t>개봉되는</w:t>
      </w:r>
      <w:r>
        <w:rPr>
          <w:rFonts w:ascii="Times New Roman" w:hAnsi="Times New Roman" w:eastAsia="Times New Roman" w:cs="Times New Roman"/>
        </w:rPr>
        <w:t xml:space="preserve"> </w:t>
      </w:r>
      <w:r>
        <w:rPr>
          <w:rFonts w:ascii="Malgun Gothic" w:hAnsi="Malgun Gothic" w:eastAsia="Malgun Gothic" w:cs="Malgun Gothic"/>
        </w:rPr>
        <w:t>일과</w:t>
      </w:r>
      <w:r>
        <w:rPr>
          <w:rFonts w:ascii="Times New Roman" w:hAnsi="Times New Roman" w:eastAsia="Times New Roman" w:cs="Times New Roman"/>
        </w:rPr>
        <w:t xml:space="preserve"> </w:t>
      </w:r>
      <w:r>
        <w:rPr>
          <w:rFonts w:ascii="Malgun Gothic" w:hAnsi="Malgun Gothic" w:eastAsia="Malgun Gothic" w:cs="Malgun Gothic"/>
        </w:rPr>
        <w:t>직접적으로</w:t>
      </w:r>
      <w:r>
        <w:rPr>
          <w:rFonts w:ascii="Times New Roman" w:hAnsi="Times New Roman" w:eastAsia="Times New Roman" w:cs="Times New Roman"/>
        </w:rPr>
        <w:t xml:space="preserve"> </w:t>
      </w:r>
      <w:r>
        <w:rPr>
          <w:rFonts w:ascii="Malgun Gothic" w:hAnsi="Malgun Gothic" w:eastAsia="Malgun Gothic" w:cs="Malgun Gothic"/>
        </w:rPr>
        <w:t>연결되어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도표로</w:t>
      </w:r>
      <w:r>
        <w:rPr>
          <w:rFonts w:ascii="Times New Roman" w:hAnsi="Times New Roman" w:eastAsia="Times New Roman" w:cs="Times New Roman"/>
        </w:rPr>
        <w:t xml:space="preserve"> </w:t>
      </w:r>
      <w:r>
        <w:rPr>
          <w:rFonts w:ascii="Malgun Gothic" w:hAnsi="Malgun Gothic" w:eastAsia="Malgun Gothic" w:cs="Malgun Gothic"/>
        </w:rPr>
        <w:t>나타내는</w:t>
      </w:r>
      <w:r>
        <w:rPr>
          <w:rFonts w:ascii="Times New Roman" w:hAnsi="Times New Roman" w:eastAsia="Times New Roman" w:cs="Times New Roman"/>
        </w:rPr>
        <w:t xml:space="preserve"> 1843</w:t>
      </w:r>
      <w:r>
        <w:rPr>
          <w:rFonts w:ascii="Malgun Gothic" w:hAnsi="Malgun Gothic" w:eastAsia="Malgun Gothic" w:cs="Malgun Gothic"/>
        </w:rPr>
        <w:t>년과</w:t>
      </w:r>
      <w:r>
        <w:rPr>
          <w:rFonts w:ascii="Times New Roman" w:hAnsi="Times New Roman" w:eastAsia="Times New Roman" w:cs="Times New Roman"/>
        </w:rPr>
        <w:t xml:space="preserve"> 1850</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선구자</w:t>
      </w:r>
      <w:r>
        <w:rPr>
          <w:rFonts w:ascii="Times New Roman" w:hAnsi="Times New Roman" w:eastAsia="Times New Roman" w:cs="Times New Roman"/>
        </w:rPr>
        <w:t xml:space="preserve"> </w:t>
      </w:r>
      <w:r>
        <w:rPr>
          <w:rFonts w:ascii="Malgun Gothic" w:hAnsi="Malgun Gothic" w:eastAsia="Malgun Gothic" w:cs="Malgun Gothic"/>
        </w:rPr>
        <w:t>도표들로</w:t>
      </w:r>
      <w:r>
        <w:rPr>
          <w:rFonts w:ascii="Times New Roman" w:hAnsi="Times New Roman" w:eastAsia="Times New Roman" w:cs="Times New Roman"/>
        </w:rPr>
        <w:t xml:space="preserve"> </w:t>
      </w:r>
      <w:r>
        <w:rPr>
          <w:rFonts w:ascii="Malgun Gothic" w:hAnsi="Malgun Gothic" w:eastAsia="Malgun Gothic" w:cs="Malgun Gothic"/>
        </w:rPr>
        <w:t>표상되는</w:t>
      </w:r>
      <w:r>
        <w:rPr>
          <w:rFonts w:ascii="Times New Roman" w:hAnsi="Times New Roman" w:eastAsia="Times New Roman" w:cs="Times New Roman"/>
        </w:rPr>
        <w:t xml:space="preserve"> </w:t>
      </w:r>
      <w:r>
        <w:rPr>
          <w:rFonts w:ascii="Malgun Gothic" w:hAnsi="Malgun Gothic" w:eastAsia="Malgun Gothic" w:cs="Malgun Gothic"/>
        </w:rPr>
        <w:t>하박국의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표의</w:t>
      </w:r>
      <w:r>
        <w:rPr>
          <w:rFonts w:ascii="Times New Roman" w:hAnsi="Times New Roman" w:eastAsia="Times New Roman" w:cs="Times New Roman"/>
        </w:rPr>
        <w:t xml:space="preserve"> </w:t>
      </w:r>
      <w:r>
        <w:rPr>
          <w:rFonts w:ascii="Malgun Gothic" w:hAnsi="Malgun Gothic" w:eastAsia="Malgun Gothic" w:cs="Malgun Gothic"/>
        </w:rPr>
        <w:t>이정표는</w:t>
      </w:r>
      <w:r>
        <w:rPr>
          <w:rFonts w:ascii="Times New Roman" w:hAnsi="Times New Roman" w:eastAsia="Times New Roman" w:cs="Times New Roman"/>
        </w:rPr>
        <w:t xml:space="preserve">, </w:t>
      </w:r>
      <w:r>
        <w:rPr>
          <w:rFonts w:ascii="Malgun Gothic" w:hAnsi="Malgun Gothic" w:eastAsia="Malgun Gothic" w:cs="Malgun Gothic"/>
        </w:rPr>
        <w:t>각각의</w:t>
      </w:r>
      <w:r>
        <w:rPr>
          <w:rFonts w:ascii="Times New Roman" w:hAnsi="Times New Roman" w:eastAsia="Times New Roman" w:cs="Times New Roman"/>
        </w:rPr>
        <w:t xml:space="preserve"> </w:t>
      </w:r>
      <w:r>
        <w:rPr>
          <w:rFonts w:ascii="Malgun Gothic" w:hAnsi="Malgun Gothic" w:eastAsia="Malgun Gothic" w:cs="Malgun Gothic"/>
        </w:rPr>
        <w:t>병행</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강림과</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실망</w:t>
      </w:r>
      <w:r>
        <w:rPr>
          <w:rFonts w:ascii="Times New Roman" w:hAnsi="Times New Roman" w:eastAsia="Times New Roman" w:cs="Times New Roman"/>
        </w:rPr>
        <w:t xml:space="preserve">” </w:t>
      </w:r>
      <w:r>
        <w:rPr>
          <w:rFonts w:ascii="Malgun Gothic" w:hAnsi="Malgun Gothic" w:eastAsia="Malgun Gothic" w:cs="Malgun Gothic"/>
        </w:rPr>
        <w:t>사이에</w:t>
      </w:r>
      <w:r>
        <w:rPr>
          <w:rFonts w:ascii="Times New Roman" w:hAnsi="Times New Roman" w:eastAsia="Times New Roman" w:cs="Times New Roman"/>
        </w:rPr>
        <w:t xml:space="preserve"> </w:t>
      </w:r>
      <w:r>
        <w:rPr>
          <w:rFonts w:ascii="Malgun Gothic" w:hAnsi="Malgun Gothic" w:eastAsia="Malgun Gothic" w:cs="Malgun Gothic"/>
        </w:rPr>
        <w:t>도래하였다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point de repère du « temps de retard » est directement lié à la prédiction déçue de 1843, laquelle annonçait l’accomplissement à la fois des deux mille trois cents ans et aussi des deux mille cinq cent vingt ans. Le message du Cri de Minuit consistait en l’identification de l’accomplissement imminent de ces deux périodes de temps prophétique. La « porte » dispensationnelle fermée au dernier point de repère identifie l’accomplissement de ces deux périodes prophétiques et marque l’endroit où la septième trompette, ou trompette du Jubilé, commence à retentir. Chaque point de repère dans chaque histoire est directement lié aux « sept temps », et les « sept temps » représentent le fil qui relie les deux histoires, et les deux histoires représentent le message de la pluie de l’arrière-saison.</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“‘Kwao waliojikwaa katika lile Neno, wakiwa waasi,’ Kristo ni mwamba wa kujikwaza. Lakini ‘jiwe walilolikataa waashi, ndilo limekuwa jiwe kuu la pembeni.’ Kama lile jiwe lililokataliwa, Kristo katika utume Wake wa duniani alikuwa amebeba kupuuzwa na kutendewa mabaya. Alikuwa ‘amedharauliwa na kukataliwa na watu; mtu wa huzuni, ajuaye sikitiko: ... Alidharauliwa, wala hatukumhesabu kuwa kitu.’ Isaya 53:3. Lakini wakati ulikuwa karibu ambapo angetukuzwa. Kwa kufufuka kutoka kwa wafu angetangazwa kuwa ‘Mwana wa Mungu katika uweza Wake.’ Warumi 1:4. Katika kuja Kwake mara ya pili angefunuliwa kuwa Bwana wa mbingu na nchi. Wale ambao wakati huo walikuwa karibu kumsulubisha wangetambua ukuu Wake. Mbele ya ulimwengu mzima lile jiwe lililokataliwa lingekuwa jiwe kuu la pembeni.”</w:t>
      </w:r>
    </w:p>
    <w:p>
      <w:pPr>
        <w:pStyle w:val="ArticleScripture"/>
        <w:jc w:val="left"/>
      </w:pPr>
      <w:r>
        <w:rPr>
          <w:rFonts w:ascii="Times New Roman" w:hAnsi="Times New Roman" w:eastAsia="Times New Roman" w:cs="Times New Roman"/>
        </w:rPr>
        <w:t>« Et quiconque tombera sur cette pierre s’y brisera; et celui sur qui elle tombera, elle l’écrasera. » Le peuple qui avait rejeté le Christ allait bientôt voir sa ville et sa nation détruites. Sa gloire serait brisée et dispersée comme la poussière devant le vent. Et qu’est-ce qui détruisit les Juifs ? C’était le rocher même sur lequel, s’ils avaient bâti, ils auraient trouvé leur sécurité. C’était la bonté de Dieu méprisée, la justice repoussée, la miséricorde dédaignée. Les hommes se dressèrent contre Dieu, et tout ce qui aurait dû être leur salut fut tourné en destruction pour eux. Tout ce que Dieu avait ordonné pour la vie, ils le trouvèrent pour la mort. Dans la crucifixion du Christ par les Juifs était impliquée la destruction de Jérusalem. Le sang versé au Calvaire fut le poids qui les entraîna à la ruine pour ce monde et pour le monde à venir. Il en sera ainsi au grand jour final, lorsque le jugement tombera sur ceux qui auront rejeté la grâce de Dieu. Le Christ, leur pierre d’achoppement, leur apparaîtra alors comme une montagne vengeresse. La gloire de son visage, qui est vie pour les justes, sera pour les méchants un feu dévorant. À cause de l’amour rejeté, de la grâce méprisée, le pécheur sera détruit.</w:t>
      </w:r>
    </w:p>
    <w:p>
      <w:pPr>
        <w:pStyle w:val="ArticleScripture"/>
        <w:jc w:val="left"/>
      </w:pPr>
      <w:r>
        <w:rPr>
          <w:rFonts w:ascii="Times New Roman" w:hAnsi="Times New Roman" w:eastAsia="Times New Roman" w:cs="Times New Roman"/>
        </w:rPr>
        <w:t>«Ètònyèrèn ọ̀pọ̀lọpọ̀ àwòrán àti ìkìlọ̀ tí a tún ṣe léraléra, Jésù fi hàn ohun tí yóò jẹ́ àbájáde sí àwọn Júù nítorí pípa Ọmọ Ọlọ́run kúrò. Nínú àwọn ọ̀rọ̀ wọ̀nyí Ó ń bá gbogbo ènìyàn ní gbogbo ìgbà sọ̀rọ̀, àwọn tí ń kọ̀ láti gbà Á gẹ́gẹ́ bí Olùdàpadà wọn. Gbogbo ìkìlọ̀ jẹ́ fún wọn. Tẹ́ńpìlì tí a ti sọ di aláìmọ́, ọmọ aláìgbọ́ràn, àwọn agbe àjàrà èké, àwọn akẹ́kọ̀ọ́ ilé ẹlẹ́gàn, gbogbo wọn ní àfihàn tí ó bá wọn mu nínú ìrírí gbogbo ẹlẹ́ṣẹ̀. Bí kò bá ronúpìwàdà, ìdájọ́ tí wọ́n ti ṣàpẹẹrẹ ṣáájú yóò jẹ́ tirẹ̀.»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نمبر ستاسی</dc:title>
  <dc:subject>Découvrir la parabole des dix vierges : un parcours profond à travers l’histoire adventiste</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