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Nambari Themanini na Nane</w:t>
      </w:r>
    </w:p>
    <w:p>
      <w:pPr>
        <w:pStyle w:val="ArticleSubtitle"/>
        <w:jc w:val="left"/>
      </w:pPr>
      <w:r>
        <w:rPr>
          <w:rFonts w:ascii="Arial" w:hAnsi="Arial" w:eastAsia="Arial" w:cs="Arial"/>
        </w:rPr>
        <w:t>Kufichua Mvua ya Mwisho ya Uongo: Safari ya Kinabii Tangu Septemba 11, 2001</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2024-02-21</w:t>
      </w:r>
    </w:p>
    <w:p>
      <w:pPr>
        <w:pStyle w:val="ArticleBody"/>
        <w:jc w:val="left"/>
      </w:pPr>
      <w:r>
        <w:rPr>
          <w:rFonts w:ascii="Times New Roman" w:hAnsi="Times New Roman" w:eastAsia="Times New Roman" w:cs="Times New Roman"/>
        </w:rPr>
        <w:t>Prófunarferlið, sem hefst þegar engillinn stígur niður, er táknað með þeirri prófraun hvort taka skuli bókina úr hendi engilsins og eta hana. Þeir sem kusu að eta boðskapinn voru þá ætlaðir til vonbrigða, en hópurinn sem neitaði að eta var skilinn eftir. Litla bókin, sem eta skyldi, táknaði „aukningu þekkingar“ á þeim boðskap sem fyrst hafði verið innsiglaður upp við „endalokin“ annaðhvort árið 1798 eða 1989, og síðan síðar mótaður í þann boðskap sem myndi gera þá kynslóð, sem þá var á lífi, ábyrga gagnvart ljósi hinnar auknu þekkingar. Í hvorri sögu sem er, þegar spádómurinn um Islam hafði ræst, þá var boðskapnum sem eta skyldi úr hendi engilsins annaðhvort veitt viðtaka eða honum hafnað. Ef boðskapnum, sem bókin táknar, er hafnað, neyðast þeir sem það gera, en leitast samt við að halda uppi játningunni um að þeir séu enn útvaldir Guðs, til að færa fram falsaðan boðskap síðregnsins.</w:t>
      </w:r>
    </w:p>
    <w:p>
      <w:pPr>
        <w:pStyle w:val="ArticleBody"/>
        <w:jc w:val="left"/>
      </w:pPr>
      <w:r>
        <w:rPr>
          <w:rFonts w:ascii="Times New Roman" w:hAnsi="Times New Roman" w:eastAsia="Times New Roman" w:cs="Times New Roman"/>
        </w:rPr>
        <w:t>Le 11 septembre 2001, les rébellions passées des générations de l’adventisme furent de nouveau constituées en questions éprouvantes. Le chapitre deux d’Habacuc identifie un débat qui survient dans l’histoire prophétique qui y est représentée, laquelle constitue une ligne prophétique parallèle à la parabole des dix vierges. Lorsque la sentinelle demanda ce qu’elle devait répondre dans l’histoire de la parabole des dix vierges, il lui fut ordonné d’« écrire la vision, et de la graver clairement sur des tables ». Les sentinelles de l’histoire millérite produisirent en 1842 la carte de 1843, et sa production devint un jalon. C’était la « vision » d’Habacuc 2, rendue claire sur des tables, qui devait parler à la fin.</w:t>
      </w:r>
    </w:p>
    <w:p>
      <w:pPr>
        <w:pStyle w:val="ArticleBody"/>
        <w:jc w:val="left"/>
      </w:pPr>
      <w:r>
        <w:rPr>
          <w:rFonts w:ascii="Times New Roman" w:hAnsi="Times New Roman" w:eastAsia="Times New Roman" w:cs="Times New Roman"/>
        </w:rPr>
        <w:t>2001-nji ýylyň 11-nji sentýabryndan gysga wagt soň, Ylham kitabynyň üçünji betbagtlygynyň Yslam arkaly amala aşýan işini ykrar edenler, Ýeremiýanyň “köne ýollaryna” dolanmaga we şolarda ýöremäge alnyp baryldy. Şol “köne ýollar” Ylham kitabynyň sekizinji baby, on üçünji aýatyndaky üç betbagtlygyň Yslamyň pygamberlikdäki ornuny aňladýandygyny görkezdi. Munuň yzysüre, Future for America Habakkuk kitabynyň ikinji babyndaky iki çyzgyny gaýtadan neşir etmäge başlady; Milleritleriň parallel taryhynyň hut şol bir nokadynda, 1842-nji ýylda çap edilen 1843-nji ýylyň çyzgysynyň görkezen bir ýoly hökmünde, şol iki çyzgy orta goýlupdy.</w:t>
      </w:r>
    </w:p>
    <w:p>
      <w:pPr>
        <w:pStyle w:val="ArticleScripture"/>
        <w:jc w:val="left"/>
      </w:pPr>
      <w:r>
        <w:rPr>
          <w:rFonts w:ascii="Times New Roman" w:hAnsi="Times New Roman" w:eastAsia="Times New Roman" w:cs="Times New Roman"/>
        </w:rPr>
        <w:t>“Mnamo Mei, 1842, Mkutano Mkuu uliitishwa huko Boston, [Massachusetts]. Katika ufunguzi wa mkutano huo, Ndugu Charles Fitch na Apollos Hale, wa Haverhill, waliwasilisha unabii wa kitaswira wa Danieli na Yohana, ambao walikuwa wameupaka rangi juu ya kitambaa, pamoja na hesabu za kinabii, zikionyesha utimilifu wake. Ndugu Fitch, alipokuwa akieleza kutoka katika chati yake mbele ya Mkutano huo, alisema kwamba, alipokuwa akichunguza unabii huu, alikuwa amewaza ya kwamba kama angeweza kutoa kitu cha namna hii kama kilivyowasilishwa hapa, kingerahisisha somo hilo na kumfanya aliwasilishe kwa hadhira kwa urahisi zaidi. Hapa palikuwa na nuru zaidi katika njia yetu. Ndugu hawa walikuwa wakifanya yale ambayo Bwana alikuwa amemwonyesha Habakuki katika maono yake miaka 2,468 kabla, akisema, ‘Andika maono ukaifanye iwe wazi juu ya mbao, ili asomaye apate kukimbia. Kwa maana maono haya bado ni kwa wakati uliowekwa.’ Habakuki 2:2.”</w:t>
      </w:r>
    </w:p>
    <w:p>
      <w:pPr>
        <w:pStyle w:val="ArticleScripture"/>
        <w:jc w:val="left"/>
      </w:pPr>
      <w:r>
        <w:rPr>
          <w:rFonts w:ascii="Times New Roman" w:hAnsi="Times New Roman" w:eastAsia="Times New Roman" w:cs="Times New Roman"/>
        </w:rPr>
        <w:t>“Baada ya majadiliano fulani juu ya jambo hili, ilipigiwa kura kwa kauli moja kwamba michoro mia tatu iliyo sawa na huu ichapishwe kwa njia ya lithografia, jambo ambalo lilitekelezwa upesi. Iliitwa ‘chati za ’43.’ Huu ulikuwa Mkutano wa muhimu sana.” The Autobiography of Joseph Bates, 263.</w:t>
      </w:r>
    </w:p>
    <w:p>
      <w:pPr>
        <w:pStyle w:val="ArticleScripture"/>
        <w:jc w:val="left"/>
      </w:pPr>
      <w:r>
        <w:rPr>
          <w:rFonts w:ascii="Times New Roman" w:hAnsi="Times New Roman" w:eastAsia="Times New Roman" w:cs="Times New Roman"/>
        </w:rPr>
        <w:t>« C’était le témoignage unanime des prédicateurs et des périodiques du Second Avènement, lorsqu’ils se tenaient sur “la foi originelle”, que la publication du tableau était un accomplissement d’Habacuc 2:2, 3. Si le tableau était un sujet de prophétie (et ceux qui le nient abandonnent la foi originelle), il s’ensuit alors que 457 av. J.-C. était l’année à partir de laquelle il fallait dater les 2300 jours. Il était nécessaire que 1843 fût le premier temps publié, afin que “la vision” “tardât”, ou qu’il y eût un temps de retard, pendant lequel la troupe des vierges devait sommeiller et dormir sur le grand sujet du temps, juste avant d’être réveillée par le Cri de Minuit. » James White, Second Advent Review and Sabbath Herald, Volume I, Number 2.</w:t>
      </w:r>
    </w:p>
    <w:p>
      <w:pPr>
        <w:pStyle w:val="ArticleScripture"/>
        <w:jc w:val="left"/>
      </w:pPr>
      <w:r>
        <w:rPr>
          <w:rFonts w:ascii="Times New Roman" w:hAnsi="Times New Roman" w:eastAsia="Times New Roman" w:cs="Times New Roman"/>
        </w:rPr>
        <w:t>« Maintenant, notre histoire montre qu’il y avait des centaines de personnes qui enseignaient à partir des mêmes tableaux chronologiques que William Miller, toutes d’un même caractère. Alors, il y avait l’unité du message, tout centré sur un seul thème, la venue du Seigneur Jésus à un temps déterminé, 1844. » Joseph Bates, Early SDA Pamphlets, 17.</w:t>
      </w:r>
    </w:p>
    <w:p>
      <w:pPr>
        <w:pStyle w:val="ArticleBody"/>
        <w:jc w:val="left"/>
      </w:pPr>
      <w:r>
        <w:rPr>
          <w:rFonts w:ascii="Times New Roman" w:hAnsi="Times New Roman" w:eastAsia="Times New Roman" w:cs="Times New Roman"/>
        </w:rPr>
        <w:t>E tia leh lehna tâna 1843 leh 1850 chart-te chu, September 11, 2001 hnu lam huna chanchinah, 1842-a 1843 chart tihchhuah a nih ang bawkin Habakkuk bung 2 tihfamkimna a ni. Tebu leh ziahte siam hi Habakkuk bung 2 chanchin zawnah a tel a, a thleng ngei tûr a ni. September 11, 2001-ah, Jeremiah-a “kawng hlui” lam pan leh duh lo Laodicea Adventist-te zîngah 1863 helna chu a lo thleng leh ta.</w:t>
      </w:r>
    </w:p>
    <w:p>
      <w:pPr>
        <w:pStyle w:val="ArticleScripture"/>
        <w:jc w:val="left"/>
      </w:pPr>
      <w:r>
        <w:rPr>
          <w:rFonts w:ascii="Times New Roman" w:hAnsi="Times New Roman" w:eastAsia="Times New Roman" w:cs="Times New Roman"/>
        </w:rPr>
        <w:t>“Mpambano u lavhelela u hambukisa miehleketo ya vamakwerhu va hina va xinuna ni va xisati eka ntirho wo lulamisela vanhu leswaku va yima emasikwini lawa yo hetelela. Vuxisi bya yena byi endleriwe ku kucetela miehleketo leswaku yi suka eka makhombo ni vutihlamuleri bya nkarhi lowu. Va teka ku vonakala loku Kriste a nga ta ku nyika Yohane ku suka etilweni hikwalaho ka vanhu va Yena tanihi nchumu lowu nga riki wa nkoka swinene. Va dyondzisa leswaku swiendlakalo leswi nga kusuhi swinene emahlweni ka hina a swi na nkoka lowu ringaneke ku nyikiwa nyingiso wo hlawuleka. Va endla leswaku ntiyiso lowu humaka etilweni wu nga tirhi nchumu, naswona va yivela vanhu va Xikwembu ntokoto wa vona wa nkarhi lowu hundzeke, va va nyika ematshan’weni ka wona sayense ya mavunwa. ‘Ku vula HOSI: Yimani etindleleni, mi languta, mi vutisa tindlela ta khale, leswaku ndlela leyinene hi yihi, kutani mi famba eka yona.’ [Yeremiya 6:16.]”</w:t>
      </w:r>
    </w:p>
    <w:p>
      <w:pPr>
        <w:pStyle w:val="ArticleScripture"/>
        <w:jc w:val="left"/>
      </w:pPr>
      <w:r>
        <w:rPr>
          <w:rFonts w:ascii="Times New Roman" w:hAnsi="Times New Roman" w:eastAsia="Times New Roman" w:cs="Times New Roman"/>
        </w:rPr>
        <w:t>«Бидний итгэлийн суурийг—ажлын маань эхэнд Үгийг залбирч судлахуй болон илчлэлээр тавигдсан тэр суурийг—хэн ч бүү нураахыг оролдог. Эдгээр суурин дээр бид тавиас илүү жилийн турш барьж ирсэн билээ. Хүмүүс өөрсөддөө шинэ зам олсон, нэгэнт тавигдсан тэр сууриас илүү бат суурь тавьж чадна хэмээн бодож болох авч, энэ нь агуу мэхлэл мөн. “Тавигдсан сууриас өөр суурийг хэн ч тавьж чадахгүй.” [1 Corinthians 3:11.] Өнгөрсөн үед олон хүн шинэ итгэл байгуулах, шинэ зарчмууд тогтоохоор оролдсон; гэвч тэдний барилга хэр удаан тогтсон билээ? Тун удалгүй нурсан; учир нь тэр нь Хадан дээр үндэслэгдээгүй байв.» Testimonies, volume 8, 296, 297.</w:t>
      </w:r>
    </w:p>
    <w:p>
      <w:pPr>
        <w:pStyle w:val="ArticleBody"/>
        <w:jc w:val="left"/>
      </w:pPr>
      <w:r>
        <w:rPr>
          <w:rFonts w:ascii="Times New Roman" w:hAnsi="Times New Roman" w:eastAsia="Times New Roman" w:cs="Times New Roman"/>
        </w:rPr>
        <w:t>Jérémie indique que marcher dans les « anciens sentiers », c’est trouver « le repos », et ce repos est « la pluie de l’arrière-saison », laquelle commença lorsque les nations furent irritées le 11 septembre 2001, quand les grands édifices de la ville de New York s’effondrèrent. Ceux qui, alors, mangèrent le message devinrent les sentinelles d’Habacuc, auxquelles il était ordonné d’« écrire la vision, et de la rendre claire ». Jérémie désigne ces mêmes sentinelles au temps du « repos », qui est « la pluie de l’arrière-saison ».</w:t>
      </w:r>
    </w:p>
    <w:p>
      <w:pPr>
        <w:pStyle w:val="ArticleScripture"/>
        <w:jc w:val="left"/>
      </w:pPr>
      <w:r>
        <w:rPr>
          <w:rFonts w:ascii="Times New Roman" w:hAnsi="Times New Roman" w:eastAsia="Times New Roman" w:cs="Times New Roman"/>
        </w:rPr>
        <w:t>Dit zegt de HEERE: Staat op de wegen en ziet toe, en vraagt naar de oude paden, waar toch de goede weg is, en wandelt daarop; dan zult gij rust vinden voor uw zielen. Maar zij zeiden: Wij zullen daarop niet wandelen. Ook stelde Ik wachters over u aan, zeggende: Luistert naar het geluid van de bazuin. Maar zij zeiden: Wij zullen niet luisteren. Jeremia 6:16, 17.</w:t>
      </w:r>
    </w:p>
    <w:p>
      <w:pPr>
        <w:pStyle w:val="ArticleBody"/>
        <w:jc w:val="left"/>
      </w:pPr>
      <w:r>
        <w:rPr>
          <w:rFonts w:ascii="Times New Roman" w:hAnsi="Times New Roman" w:eastAsia="Times New Roman" w:cs="Times New Roman"/>
        </w:rPr>
        <w:t>La trompette qu’ils devaient sonner est la sixième trompette du second malheur dans l’histoire millérite, et, dans les derniers jours, elle est la septième trompette du troisième malheur. Les sentinelles d’Habacuc, qui sont les sentinelles de Jérémie, font retentir un message d’avertissement qui, lors de la rébellion de 1888, fut rejeté. La sixième trompette qui fut rejetée en 1888 était le message à Laodicée.</w:t>
      </w:r>
    </w:p>
    <w:p>
      <w:pPr>
        <w:pStyle w:val="ArticleScripture"/>
        <w:jc w:val="left"/>
      </w:pPr>
      <w:r>
        <w:rPr>
          <w:rFonts w:ascii="Times New Roman" w:hAnsi="Times New Roman" w:eastAsia="Times New Roman" w:cs="Times New Roman"/>
        </w:rPr>
        <w:t>«پیامی که به‌وسیلهٔ ا. ت. جونز و ا. ج. واگنر به ما داده شد، پیام خدا به کلیسای لائودکیه است؛ و وای بر هر کسی که به ایمان آوردن به حقیقت اقرار می‌کند، و بااین‌حال پرتوهای خداداده را به دیگران منعکس نمی‌سازد.» The 1888 Materials, 1053.</w:t>
      </w:r>
    </w:p>
    <w:p>
      <w:pPr>
        <w:pStyle w:val="ArticleBody"/>
        <w:jc w:val="left"/>
      </w:pPr>
      <w:r>
        <w:rPr>
          <w:rFonts w:ascii="Nirmala UI" w:hAnsi="Nirmala UI" w:eastAsia="Nirmala UI" w:cs="Nirmala UI"/>
        </w:rPr>
        <w:t>ਪੰਜਾਬੀ</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ਅਨੁਵਾਦ</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ਕਿਰਪਾ</w:t>
      </w:r>
      <w:r>
        <w:rPr>
          <w:rFonts w:ascii="Times New Roman" w:hAnsi="Times New Roman" w:eastAsia="Times New Roman" w:cs="Times New Roman"/>
        </w:rPr>
        <w:t xml:space="preserve"> </w:t>
      </w:r>
      <w:r>
        <w:rPr>
          <w:rFonts w:ascii="Nirmala UI" w:hAnsi="Nirmala UI" w:eastAsia="Nirmala UI" w:cs="Nirmala UI"/>
        </w:rPr>
        <w:t>ਕਰਕੇ</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ਦੱਸੋ</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“ff”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ਤੁਹਾਡਾ</w:t>
      </w:r>
      <w:r>
        <w:rPr>
          <w:rFonts w:ascii="Times New Roman" w:hAnsi="Times New Roman" w:eastAsia="Times New Roman" w:cs="Times New Roman"/>
        </w:rPr>
        <w:t xml:space="preserve"> </w:t>
      </w:r>
      <w:r>
        <w:rPr>
          <w:rFonts w:ascii="Nirmala UI" w:hAnsi="Nirmala UI" w:eastAsia="Nirmala UI" w:cs="Nirmala UI"/>
        </w:rPr>
        <w:t>ਭਾਵ</w:t>
      </w:r>
      <w:r>
        <w:rPr>
          <w:rFonts w:ascii="Times New Roman" w:hAnsi="Times New Roman" w:eastAsia="Times New Roman" w:cs="Times New Roman"/>
        </w:rPr>
        <w:t xml:space="preserve"> </w:t>
      </w:r>
      <w:r>
        <w:rPr>
          <w:rFonts w:ascii="Nirmala UI" w:hAnsi="Nirmala UI" w:eastAsia="Nirmala UI" w:cs="Nirmala UI"/>
        </w:rPr>
        <w:t>ਕਿਹੜੀ</w:t>
      </w:r>
      <w:r>
        <w:rPr>
          <w:rFonts w:ascii="Times New Roman" w:hAnsi="Times New Roman" w:eastAsia="Times New Roman" w:cs="Times New Roman"/>
        </w:rPr>
        <w:t xml:space="preserve"> </w:t>
      </w:r>
      <w:r>
        <w:rPr>
          <w:rFonts w:ascii="Nirmala UI" w:hAnsi="Nirmala UI" w:eastAsia="Nirmala UI" w:cs="Nirmala UI"/>
        </w:rPr>
        <w:t>ਭਾਸ਼ਾ</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Times New Roman" w:hAnsi="Times New Roman" w:eastAsia="Times New Roman" w:cs="Times New Roman"/>
        </w:rPr>
        <w:t>Prophecies keessatti ibsame “soba” jedhu, kan barreeffamoota Phaawulos keessatti jallina cimaa uumu, bara 1931 dhaloota sadaffaa Adventizimii Laa’odiiqeyaa keessatti kaa’ame; kunis du’a raajittittii sanaa waggaa kudha jaha booddee ture. “Sobi” dhaloota sadaffaa keessa gale sun raajii keessatti yeroo “dubartoonni Taammuuzif boo’an” jedhamee bakka buufametti argama; kanaafis ergaa rooba boodaa sobaa wajjin walqabata.</w:t>
      </w:r>
    </w:p>
    <w:p>
      <w:pPr>
        <w:pStyle w:val="ArticleBody"/>
        <w:jc w:val="left"/>
      </w:pPr>
      <w:r>
        <w:rPr>
          <w:rFonts w:ascii="Times New Roman" w:hAnsi="Times New Roman" w:eastAsia="Times New Roman" w:cs="Times New Roman"/>
        </w:rPr>
        <w:t>Les détails de la manière dont le « mensonge » a été propagé doivent être compris, de même que le rôle prophétique du « mensonge » dans la prophétie du temps de la fin. Les hommes moqueurs qui gouvernent Jérusalem au temps de la pluie de l’arrière-saison, lequel est le temps du scellement des cent quarante-quatre mille, ont élaboré un faux message de pluie de l’arrière-saison dans la troisième génération de l’adventisme, comme le représentent les « femmes pleurant Tammuz » au chapitre huit d’Ézéchiel. Leur faux message de pluie de l’arrière-saison est aussi représenté par Ézéchiel comme un faux fondement, un faux mur de protection, et un faux message de paix et de sûreté.</w:t>
      </w:r>
    </w:p>
    <w:p>
      <w:pPr>
        <w:pStyle w:val="ArticleScripture"/>
        <w:jc w:val="left"/>
      </w:pPr>
      <w:r>
        <w:rPr>
          <w:rFonts w:ascii="Times New Roman" w:hAnsi="Times New Roman" w:eastAsia="Times New Roman" w:cs="Times New Roman"/>
        </w:rPr>
        <w:t>N’avez-vous pas eu une vision vaine, et n’avez-vous pas proféré une divination mensongère, vous qui dites: L’Éternel a dit! quand je n’ai point parlé? C’est pourquoi ainsi parle le Seigneur, l’Éternel: Parce que vous dites des vanités et que vous voyez des mensonges, voici, j’en veux à vous, dit le Seigneur, l’Éternel. Ma main sera contre les prophètes qui ont des visions vaines et qui prononcent des divinations mensongères: ils ne feront point partie de l’assemblée de mon peuple, ils ne seront pas inscrits dans le registre de la maison d’Israël, ils n’entreront pas dans le pays d’Israël; et vous saurez que je suis le Seigneur, l’Éternel. Parce que, oui, parce qu’ils égarent mon peuple, en disant: Paix! quand il n’y a point de paix; et l’un bâtit une muraille, et voici, les autres l’enduisent de mortier non trempé: Dis à ceux qui l’enduisent de mortier non trempé qu’elle tombera; une pluie torrentielle surviendra; et vous, grosses pierres de grêle, vous tomberez; et un vent impétueux la fendra. Voici, quand la muraille s’écroulera, ne vous dira-t-on pas: Où est l’enduit dont vous l’avez enduite? C’est pourquoi ainsi parle le Seigneur, l’Éternel: Je la fendrai par un vent impétueux dans ma fureur; il y aura une pluie torrentielle dans ma colère, et des pierres de grêle dans ma fureur pour l’anéantir. Ainsi j’abattrai la muraille que vous avez enduite de mortier non trempé, je la renverserai jusqu’à terre, en sorte que ses fondements seront mis à découvert; elle tombera, et vous périrez au milieu d’elle; et vous saurez que je suis l’Éternel. J’assouvirai ainsi ma fureur contre la muraille et contre ceux qui l’ont enduite de mortier non trempé; et je vous dirai: Plus de muraille! et c’en est fait de ceux qui l’enduisent, savoir des prophètes d’Israël qui prophétisent sur Jérusalem et qui ont pour elle des visions de paix, quand il n’y a point de paix, dit le Seigneur, l’Éternel. Ézéchiel 13:7–16.</w:t>
      </w:r>
    </w:p>
    <w:p>
      <w:pPr>
        <w:pStyle w:val="ArticleBody"/>
        <w:jc w:val="left"/>
      </w:pPr>
      <w:r>
        <w:rPr>
          <w:rFonts w:ascii="Times New Roman" w:hAnsi="Times New Roman" w:eastAsia="Times New Roman" w:cs="Times New Roman"/>
        </w:rPr>
        <w:t>Uongo na ughushi ambao watu wenye dhihaka huko Yerusalemu wanajificha chini yake katika Isaya sura ya ishirini na nane na ishirini na tisa hatimaye huhukumiwa na kuangamizwa na “gharika ifurikayo ya mjeledi.”</w:t>
      </w:r>
    </w:p>
    <w:p>
      <w:pPr>
        <w:pStyle w:val="ArticleScripture"/>
        <w:jc w:val="left"/>
      </w:pPr>
      <w:r>
        <w:rPr>
          <w:rFonts w:ascii="Times New Roman" w:hAnsi="Times New Roman" w:eastAsia="Times New Roman" w:cs="Times New Roman"/>
        </w:rPr>
        <w:t>Et je prendrai le jugement pour règle, et la justice pour niveau; la grêle emportera le refuge du mensonge, et les eaux inonderont la retraite cachée. Et votre alliance avec la mort sera annulée, et votre accord avec le séjour des morts ne subsistera pas; quand le fléau débordant passera, vous serez foulés aux pieds par lui. Ésaïe 28:17, 18.</w:t>
      </w:r>
    </w:p>
    <w:p>
      <w:pPr>
        <w:pStyle w:val="ArticleBody"/>
        <w:jc w:val="left"/>
      </w:pPr>
      <w:r>
        <w:rPr>
          <w:rFonts w:ascii="Microsoft YaHei" w:hAnsi="Microsoft YaHei" w:eastAsia="Microsoft YaHei" w:cs="Microsoft YaHei"/>
        </w:rPr>
        <w:t>以赛亚所说的</w:t>
      </w:r>
      <w:r>
        <w:rPr>
          <w:rFonts w:ascii="Times New Roman" w:hAnsi="Times New Roman" w:eastAsia="Times New Roman" w:cs="Times New Roman"/>
        </w:rPr>
        <w:t>“</w:t>
      </w:r>
      <w:r>
        <w:rPr>
          <w:rFonts w:ascii="Microsoft YaHei" w:hAnsi="Microsoft YaHei" w:eastAsia="Microsoft YaHei" w:cs="Microsoft YaHei"/>
        </w:rPr>
        <w:t>泛滥的鞭笞</w:t>
      </w:r>
      <w:r>
        <w:rPr>
          <w:rFonts w:ascii="Times New Roman" w:hAnsi="Times New Roman" w:eastAsia="Times New Roman" w:cs="Times New Roman"/>
        </w:rPr>
        <w:t>”,</w:t>
      </w:r>
      <w:r>
        <w:rPr>
          <w:rFonts w:ascii="Microsoft YaHei" w:hAnsi="Microsoft YaHei" w:eastAsia="Microsoft YaHei" w:cs="Microsoft YaHei"/>
        </w:rPr>
        <w:t>就是以西结所说的</w:t>
      </w:r>
      <w:r>
        <w:rPr>
          <w:rFonts w:ascii="Times New Roman" w:hAnsi="Times New Roman" w:eastAsia="Times New Roman" w:cs="Times New Roman"/>
        </w:rPr>
        <w:t>“</w:t>
      </w:r>
      <w:r>
        <w:rPr>
          <w:rFonts w:ascii="Microsoft YaHei" w:hAnsi="Microsoft YaHei" w:eastAsia="Microsoft YaHei" w:cs="Microsoft YaHei"/>
        </w:rPr>
        <w:t>泛滥的暴雨</w:t>
      </w:r>
      <w:r>
        <w:rPr>
          <w:rFonts w:ascii="Times New Roman" w:hAnsi="Times New Roman" w:eastAsia="Times New Roman" w:cs="Times New Roman"/>
        </w:rPr>
        <w:t>”;</w:t>
      </w:r>
      <w:r>
        <w:rPr>
          <w:rFonts w:ascii="Microsoft YaHei" w:hAnsi="Microsoft YaHei" w:eastAsia="Microsoft YaHei" w:cs="Microsoft YaHei"/>
        </w:rPr>
        <w:t>这灾临到那些</w:t>
      </w:r>
      <w:r>
        <w:rPr>
          <w:rFonts w:ascii="Times New Roman" w:hAnsi="Times New Roman" w:eastAsia="Times New Roman" w:cs="Times New Roman"/>
        </w:rPr>
        <w:t>“</w:t>
      </w:r>
      <w:r>
        <w:rPr>
          <w:rFonts w:ascii="Microsoft YaHei" w:hAnsi="Microsoft YaHei" w:eastAsia="Microsoft YaHei" w:cs="Microsoft YaHei"/>
        </w:rPr>
        <w:t>占卜虚谎</w:t>
      </w:r>
      <w:r>
        <w:rPr>
          <w:rFonts w:ascii="Times New Roman" w:hAnsi="Times New Roman" w:eastAsia="Times New Roman" w:cs="Times New Roman"/>
        </w:rPr>
        <w:t>”</w:t>
      </w:r>
      <w:r>
        <w:rPr>
          <w:rFonts w:ascii="Microsoft YaHei" w:hAnsi="Microsoft YaHei" w:eastAsia="Microsoft YaHei" w:cs="Microsoft YaHei"/>
        </w:rPr>
        <w:t>的人</w:t>
      </w:r>
      <w:r>
        <w:rPr>
          <w:rFonts w:ascii="Times New Roman" w:hAnsi="Times New Roman" w:eastAsia="Times New Roman" w:cs="Times New Roman"/>
        </w:rPr>
        <w:t>,</w:t>
      </w:r>
      <w:r>
        <w:rPr>
          <w:rFonts w:ascii="Microsoft YaHei" w:hAnsi="Microsoft YaHei" w:eastAsia="Microsoft YaHei" w:cs="Microsoft YaHei"/>
        </w:rPr>
        <w:t>因为他们陈述</w:t>
      </w:r>
      <w:r>
        <w:rPr>
          <w:rFonts w:ascii="Times New Roman" w:hAnsi="Times New Roman" w:eastAsia="Times New Roman" w:cs="Times New Roman"/>
        </w:rPr>
        <w:t>“</w:t>
      </w:r>
      <w:r>
        <w:rPr>
          <w:rFonts w:ascii="Microsoft YaHei" w:hAnsi="Microsoft YaHei" w:eastAsia="Microsoft YaHei" w:cs="Microsoft YaHei"/>
        </w:rPr>
        <w:t>虚妄的异象</w:t>
      </w:r>
      <w:r>
        <w:rPr>
          <w:rFonts w:ascii="Times New Roman" w:hAnsi="Times New Roman" w:eastAsia="Times New Roman" w:cs="Times New Roman"/>
        </w:rPr>
        <w:t>”,</w:t>
      </w:r>
      <w:r>
        <w:rPr>
          <w:rFonts w:ascii="Microsoft YaHei" w:hAnsi="Microsoft YaHei" w:eastAsia="Microsoft YaHei" w:cs="Microsoft YaHei"/>
        </w:rPr>
        <w:t>并声称</w:t>
      </w:r>
      <w:r>
        <w:rPr>
          <w:rFonts w:ascii="Times New Roman" w:hAnsi="Times New Roman" w:eastAsia="Times New Roman" w:cs="Times New Roman"/>
        </w:rPr>
        <w:t>“</w:t>
      </w:r>
      <w:r>
        <w:rPr>
          <w:rFonts w:ascii="Microsoft YaHei" w:hAnsi="Microsoft YaHei" w:eastAsia="Microsoft YaHei" w:cs="Microsoft YaHei"/>
        </w:rPr>
        <w:t>主如此说</w:t>
      </w:r>
      <w:r>
        <w:rPr>
          <w:rFonts w:ascii="Times New Roman" w:hAnsi="Times New Roman" w:eastAsia="Times New Roman" w:cs="Times New Roman"/>
        </w:rPr>
        <w:t>”,</w:t>
      </w:r>
      <w:r>
        <w:rPr>
          <w:rFonts w:ascii="Microsoft YaHei" w:hAnsi="Microsoft YaHei" w:eastAsia="Microsoft YaHei" w:cs="Microsoft YaHei"/>
        </w:rPr>
        <w:t>其实主</w:t>
      </w:r>
      <w:r>
        <w:rPr>
          <w:rFonts w:ascii="Times New Roman" w:hAnsi="Times New Roman" w:eastAsia="Times New Roman" w:cs="Times New Roman"/>
        </w:rPr>
        <w:t>“</w:t>
      </w:r>
      <w:r>
        <w:rPr>
          <w:rFonts w:ascii="Microsoft YaHei" w:hAnsi="Microsoft YaHei" w:eastAsia="Microsoft YaHei" w:cs="Microsoft YaHei"/>
        </w:rPr>
        <w:t>并没有说过</w:t>
      </w:r>
      <w:r>
        <w:rPr>
          <w:rFonts w:ascii="Times New Roman" w:hAnsi="Times New Roman" w:eastAsia="Times New Roman" w:cs="Times New Roman"/>
        </w:rPr>
        <w:t>”.</w:t>
      </w:r>
      <w:r>
        <w:rPr>
          <w:rFonts w:ascii="Microsoft YaHei" w:hAnsi="Microsoft YaHei" w:eastAsia="Microsoft YaHei" w:cs="Microsoft YaHei"/>
        </w:rPr>
        <w:t>古时那些人所藏身其下的</w:t>
      </w:r>
      <w:r>
        <w:rPr>
          <w:rFonts w:ascii="Times New Roman" w:hAnsi="Times New Roman" w:eastAsia="Times New Roman" w:cs="Times New Roman"/>
        </w:rPr>
        <w:t>“</w:t>
      </w:r>
      <w:r>
        <w:rPr>
          <w:rFonts w:ascii="Microsoft YaHei" w:hAnsi="Microsoft YaHei" w:eastAsia="Microsoft YaHei" w:cs="Microsoft YaHei"/>
        </w:rPr>
        <w:t>谎言</w:t>
      </w:r>
      <w:r>
        <w:rPr>
          <w:rFonts w:ascii="Times New Roman" w:hAnsi="Times New Roman" w:eastAsia="Times New Roman" w:cs="Times New Roman"/>
        </w:rPr>
        <w:t>”,</w:t>
      </w:r>
      <w:r>
        <w:rPr>
          <w:rFonts w:ascii="Microsoft YaHei" w:hAnsi="Microsoft YaHei" w:eastAsia="Microsoft YaHei" w:cs="Microsoft YaHei"/>
        </w:rPr>
        <w:t>被表明为他们所声称是主曾说过的话</w:t>
      </w:r>
      <w:r>
        <w:rPr>
          <w:rFonts w:ascii="Times New Roman" w:hAnsi="Times New Roman" w:eastAsia="Times New Roman" w:cs="Times New Roman"/>
        </w:rPr>
        <w:t>,</w:t>
      </w:r>
      <w:r>
        <w:rPr>
          <w:rFonts w:ascii="Microsoft YaHei" w:hAnsi="Microsoft YaHei" w:eastAsia="Microsoft YaHei" w:cs="Microsoft YaHei"/>
        </w:rPr>
        <w:t>因此这是关乎上帝之道的</w:t>
      </w:r>
      <w:r>
        <w:rPr>
          <w:rFonts w:ascii="Times New Roman" w:hAnsi="Times New Roman" w:eastAsia="Times New Roman" w:cs="Times New Roman"/>
        </w:rPr>
        <w:t>“</w:t>
      </w:r>
      <w:r>
        <w:rPr>
          <w:rFonts w:ascii="Microsoft YaHei" w:hAnsi="Microsoft YaHei" w:eastAsia="Microsoft YaHei" w:cs="Microsoft YaHei"/>
        </w:rPr>
        <w:t>谎言</w:t>
      </w:r>
      <w:r>
        <w:rPr>
          <w:rFonts w:ascii="Times New Roman" w:hAnsi="Times New Roman" w:eastAsia="Times New Roman" w:cs="Times New Roman"/>
        </w:rPr>
        <w:t>”.</w:t>
      </w:r>
      <w:r>
        <w:rPr>
          <w:rFonts w:ascii="Microsoft YaHei" w:hAnsi="Microsoft YaHei" w:eastAsia="Microsoft YaHei" w:cs="Microsoft YaHei"/>
        </w:rPr>
        <w:t>或者</w:t>
      </w:r>
      <w:r>
        <w:rPr>
          <w:rFonts w:ascii="Times New Roman" w:hAnsi="Times New Roman" w:eastAsia="Times New Roman" w:cs="Times New Roman"/>
        </w:rPr>
        <w:t>,</w:t>
      </w:r>
      <w:r>
        <w:rPr>
          <w:rFonts w:ascii="Microsoft YaHei" w:hAnsi="Microsoft YaHei" w:eastAsia="Microsoft YaHei" w:cs="Microsoft YaHei"/>
        </w:rPr>
        <w:t>他们是把上帝之道中的某一教义认定为谬误</w:t>
      </w:r>
      <w:r>
        <w:rPr>
          <w:rFonts w:ascii="Times New Roman" w:hAnsi="Times New Roman" w:eastAsia="Times New Roman" w:cs="Times New Roman"/>
        </w:rPr>
        <w:t>;</w:t>
      </w:r>
      <w:r>
        <w:rPr>
          <w:rFonts w:ascii="Microsoft YaHei" w:hAnsi="Microsoft YaHei" w:eastAsia="Microsoft YaHei" w:cs="Microsoft YaHei"/>
        </w:rPr>
        <w:t>或者</w:t>
      </w:r>
      <w:r>
        <w:rPr>
          <w:rFonts w:ascii="Times New Roman" w:hAnsi="Times New Roman" w:eastAsia="Times New Roman" w:cs="Times New Roman"/>
        </w:rPr>
        <w:t>,</w:t>
      </w:r>
      <w:r>
        <w:rPr>
          <w:rFonts w:ascii="Microsoft YaHei" w:hAnsi="Microsoft YaHei" w:eastAsia="Microsoft YaHei" w:cs="Microsoft YaHei"/>
        </w:rPr>
        <w:t>他们是在圣经某一教义上错误地声称上帝曾引导他们的理解（上帝曾说过）</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1931-</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എത്തിയ</w:t>
      </w:r>
      <w:r>
        <w:rPr>
          <w:rFonts w:ascii="Times New Roman" w:hAnsi="Times New Roman" w:eastAsia="Times New Roman" w:cs="Times New Roman"/>
        </w:rPr>
        <w:t xml:space="preserve"> “</w:t>
      </w:r>
      <w:r>
        <w:rPr>
          <w:rFonts w:ascii="Nirmala UI" w:hAnsi="Nirmala UI" w:eastAsia="Nirmala UI" w:cs="Nirmala UI"/>
        </w:rPr>
        <w:t>അസത്യം</w:t>
      </w:r>
      <w:r>
        <w:rPr>
          <w:rFonts w:ascii="Times New Roman" w:hAnsi="Times New Roman" w:eastAsia="Times New Roman" w:cs="Times New Roman"/>
        </w:rPr>
        <w:t xml:space="preserve">” </w:t>
      </w:r>
      <w:r>
        <w:rPr>
          <w:rFonts w:ascii="Nirmala UI" w:hAnsi="Nirmala UI" w:eastAsia="Nirmala UI" w:cs="Nirmala UI"/>
        </w:rPr>
        <w:t>എന്നത്</w:t>
      </w:r>
      <w:r>
        <w:rPr>
          <w:rFonts w:ascii="Times New Roman" w:hAnsi="Times New Roman" w:eastAsia="Times New Roman" w:cs="Times New Roman"/>
        </w:rPr>
        <w:t xml:space="preserve">, </w:t>
      </w:r>
      <w:r>
        <w:rPr>
          <w:rFonts w:ascii="Nirmala UI" w:hAnsi="Nirmala UI" w:eastAsia="Nirmala UI" w:cs="Nirmala UI"/>
        </w:rPr>
        <w:t>ദാനിയേൽ</w:t>
      </w:r>
      <w:r>
        <w:rPr>
          <w:rFonts w:ascii="Times New Roman" w:hAnsi="Times New Roman" w:eastAsia="Times New Roman" w:cs="Times New Roman"/>
        </w:rPr>
        <w:t xml:space="preserve"> </w:t>
      </w:r>
      <w:r>
        <w:rPr>
          <w:rFonts w:ascii="Nirmala UI" w:hAnsi="Nirmala UI" w:eastAsia="Nirmala UI" w:cs="Nirmala UI"/>
        </w:rPr>
        <w:t>പുസ്തകത്തിലെ</w:t>
      </w:r>
      <w:r>
        <w:rPr>
          <w:rFonts w:ascii="Times New Roman" w:hAnsi="Times New Roman" w:eastAsia="Times New Roman" w:cs="Times New Roman"/>
        </w:rPr>
        <w:t xml:space="preserve"> “</w:t>
      </w:r>
      <w:r>
        <w:rPr>
          <w:rFonts w:ascii="Nirmala UI" w:hAnsi="Nirmala UI" w:eastAsia="Nirmala UI" w:cs="Nirmala UI"/>
        </w:rPr>
        <w:t>ദൈനംദിനം</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വിഷയത്തെക്കുറിച്ചുള്ള</w:t>
      </w:r>
      <w:r>
        <w:rPr>
          <w:rFonts w:ascii="Times New Roman" w:hAnsi="Times New Roman" w:eastAsia="Times New Roman" w:cs="Times New Roman"/>
        </w:rPr>
        <w:t xml:space="preserve"> </w:t>
      </w:r>
      <w:r>
        <w:rPr>
          <w:rFonts w:ascii="Nirmala UI" w:hAnsi="Nirmala UI" w:eastAsia="Nirmala UI" w:cs="Nirmala UI"/>
        </w:rPr>
        <w:t>തെറ്റായ</w:t>
      </w:r>
      <w:r>
        <w:rPr>
          <w:rFonts w:ascii="Times New Roman" w:hAnsi="Times New Roman" w:eastAsia="Times New Roman" w:cs="Times New Roman"/>
        </w:rPr>
        <w:t xml:space="preserve"> </w:t>
      </w:r>
      <w:r>
        <w:rPr>
          <w:rFonts w:ascii="Nirmala UI" w:hAnsi="Nirmala UI" w:eastAsia="Nirmala UI" w:cs="Nirmala UI"/>
        </w:rPr>
        <w:t>ദൃഷ്ടിക്കോണം</w:t>
      </w:r>
      <w:r>
        <w:rPr>
          <w:rFonts w:ascii="Times New Roman" w:hAnsi="Times New Roman" w:eastAsia="Times New Roman" w:cs="Times New Roman"/>
        </w:rPr>
        <w:t xml:space="preserve"> </w:t>
      </w:r>
      <w:r>
        <w:rPr>
          <w:rFonts w:ascii="Nirmala UI" w:hAnsi="Nirmala UI" w:eastAsia="Nirmala UI" w:cs="Nirmala UI"/>
        </w:rPr>
        <w:t>സിസ്റ്റർ</w:t>
      </w:r>
      <w:r>
        <w:rPr>
          <w:rFonts w:ascii="Times New Roman" w:hAnsi="Times New Roman" w:eastAsia="Times New Roman" w:cs="Times New Roman"/>
        </w:rPr>
        <w:t xml:space="preserve"> </w:t>
      </w:r>
      <w:r>
        <w:rPr>
          <w:rFonts w:ascii="Nirmala UI" w:hAnsi="Nirmala UI" w:eastAsia="Nirmala UI" w:cs="Nirmala UI"/>
        </w:rPr>
        <w:t>വൈറ്റ്</w:t>
      </w:r>
      <w:r>
        <w:rPr>
          <w:rFonts w:ascii="Times New Roman" w:hAnsi="Times New Roman" w:eastAsia="Times New Roman" w:cs="Times New Roman"/>
        </w:rPr>
        <w:t xml:space="preserve"> </w:t>
      </w:r>
      <w:r>
        <w:rPr>
          <w:rFonts w:ascii="Nirmala UI" w:hAnsi="Nirmala UI" w:eastAsia="Nirmala UI" w:cs="Nirmala UI"/>
        </w:rPr>
        <w:t>അംഗീകരിച്ചിരുന്നുവെന്ന</w:t>
      </w:r>
      <w:r>
        <w:rPr>
          <w:rFonts w:ascii="Times New Roman" w:hAnsi="Times New Roman" w:eastAsia="Times New Roman" w:cs="Times New Roman"/>
        </w:rPr>
        <w:t xml:space="preserve"> </w:t>
      </w:r>
      <w:r>
        <w:rPr>
          <w:rFonts w:ascii="Nirmala UI" w:hAnsi="Nirmala UI" w:eastAsia="Nirmala UI" w:cs="Nirmala UI"/>
        </w:rPr>
        <w:t>അവകാശവാദമായിരുന്നു</w:t>
      </w:r>
      <w:r>
        <w:rPr>
          <w:rFonts w:ascii="Times New Roman" w:hAnsi="Times New Roman" w:eastAsia="Times New Roman" w:cs="Times New Roman"/>
        </w:rPr>
        <w:t>. “</w:t>
      </w:r>
      <w:r>
        <w:rPr>
          <w:rFonts w:ascii="Nirmala UI" w:hAnsi="Nirmala UI" w:eastAsia="Nirmala UI" w:cs="Nirmala UI"/>
        </w:rPr>
        <w:t>ദൈനംദിനം</w:t>
      </w:r>
      <w:r>
        <w:rPr>
          <w:rFonts w:ascii="Times New Roman" w:hAnsi="Times New Roman" w:eastAsia="Times New Roman" w:cs="Times New Roman"/>
        </w:rPr>
        <w:t xml:space="preserve">” </w:t>
      </w:r>
      <w:r>
        <w:rPr>
          <w:rFonts w:ascii="Nirmala UI" w:hAnsi="Nirmala UI" w:eastAsia="Nirmala UI" w:cs="Nirmala UI"/>
        </w:rPr>
        <w:t>എന്നത്</w:t>
      </w:r>
      <w:r>
        <w:rPr>
          <w:rFonts w:ascii="Times New Roman" w:hAnsi="Times New Roman" w:eastAsia="Times New Roman" w:cs="Times New Roman"/>
        </w:rPr>
        <w:t xml:space="preserve"> </w:t>
      </w:r>
      <w:r>
        <w:rPr>
          <w:rFonts w:ascii="Nirmala UI" w:hAnsi="Nirmala UI" w:eastAsia="Nirmala UI" w:cs="Nirmala UI"/>
        </w:rPr>
        <w:t>ക്രിസ്തുവിന്റെ</w:t>
      </w:r>
      <w:r>
        <w:rPr>
          <w:rFonts w:ascii="Times New Roman" w:hAnsi="Times New Roman" w:eastAsia="Times New Roman" w:cs="Times New Roman"/>
        </w:rPr>
        <w:t xml:space="preserve"> </w:t>
      </w:r>
      <w:r>
        <w:rPr>
          <w:rFonts w:ascii="Nirmala UI" w:hAnsi="Nirmala UI" w:eastAsia="Nirmala UI" w:cs="Nirmala UI"/>
        </w:rPr>
        <w:t>വിശുദ്ധാലയ</w:t>
      </w:r>
      <w:r>
        <w:rPr>
          <w:rFonts w:ascii="Times New Roman" w:hAnsi="Times New Roman" w:eastAsia="Times New Roman" w:cs="Times New Roman"/>
        </w:rPr>
        <w:t xml:space="preserve"> </w:t>
      </w:r>
      <w:r>
        <w:rPr>
          <w:rFonts w:ascii="Nirmala UI" w:hAnsi="Nirmala UI" w:eastAsia="Nirmala UI" w:cs="Nirmala UI"/>
        </w:rPr>
        <w:t>ശുശ്രൂഷയെ</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തെറ്റായ</w:t>
      </w:r>
      <w:r>
        <w:rPr>
          <w:rFonts w:ascii="Times New Roman" w:hAnsi="Times New Roman" w:eastAsia="Times New Roman" w:cs="Times New Roman"/>
        </w:rPr>
        <w:t xml:space="preserve"> </w:t>
      </w:r>
      <w:r>
        <w:rPr>
          <w:rFonts w:ascii="Nirmala UI" w:hAnsi="Nirmala UI" w:eastAsia="Nirmala UI" w:cs="Nirmala UI"/>
        </w:rPr>
        <w:t>ദൃഷ്ടിക്കോണം</w:t>
      </w:r>
      <w:r>
        <w:rPr>
          <w:rFonts w:ascii="Times New Roman" w:hAnsi="Times New Roman" w:eastAsia="Times New Roman" w:cs="Times New Roman"/>
        </w:rPr>
        <w:t>, 1910-</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എലൻ</w:t>
      </w:r>
      <w:r>
        <w:rPr>
          <w:rFonts w:ascii="Times New Roman" w:hAnsi="Times New Roman" w:eastAsia="Times New Roman" w:cs="Times New Roman"/>
        </w:rPr>
        <w:t xml:space="preserve"> </w:t>
      </w:r>
      <w:r>
        <w:rPr>
          <w:rFonts w:ascii="Nirmala UI" w:hAnsi="Nirmala UI" w:eastAsia="Nirmala UI" w:cs="Nirmala UI"/>
        </w:rPr>
        <w:t>വൈറ്റ്</w:t>
      </w:r>
      <w:r>
        <w:rPr>
          <w:rFonts w:ascii="Times New Roman" w:hAnsi="Times New Roman" w:eastAsia="Times New Roman" w:cs="Times New Roman"/>
        </w:rPr>
        <w:t xml:space="preserve"> </w:t>
      </w:r>
      <w:r>
        <w:rPr>
          <w:rFonts w:ascii="Nirmala UI" w:hAnsi="Nirmala UI" w:eastAsia="Nirmala UI" w:cs="Nirmala UI"/>
        </w:rPr>
        <w:t>എ</w:t>
      </w:r>
      <w:r>
        <w:rPr>
          <w:rFonts w:ascii="Times New Roman" w:hAnsi="Times New Roman" w:eastAsia="Times New Roman" w:cs="Times New Roman"/>
        </w:rPr>
        <w:t xml:space="preserve">. </w:t>
      </w:r>
      <w:r>
        <w:rPr>
          <w:rFonts w:ascii="Nirmala UI" w:hAnsi="Nirmala UI" w:eastAsia="Nirmala UI" w:cs="Nirmala UI"/>
        </w:rPr>
        <w:t>ജി</w:t>
      </w:r>
      <w:r>
        <w:rPr>
          <w:rFonts w:ascii="Times New Roman" w:hAnsi="Times New Roman" w:eastAsia="Times New Roman" w:cs="Times New Roman"/>
        </w:rPr>
        <w:t xml:space="preserve">. </w:t>
      </w:r>
      <w:r>
        <w:rPr>
          <w:rFonts w:ascii="Nirmala UI" w:hAnsi="Nirmala UI" w:eastAsia="Nirmala UI" w:cs="Nirmala UI"/>
        </w:rPr>
        <w:t>ഡാനിയൽസിനോട്</w:t>
      </w:r>
      <w:r>
        <w:rPr>
          <w:rFonts w:ascii="Times New Roman" w:hAnsi="Times New Roman" w:eastAsia="Times New Roman" w:cs="Times New Roman"/>
        </w:rPr>
        <w:t xml:space="preserve">, </w:t>
      </w:r>
      <w:r>
        <w:rPr>
          <w:rFonts w:ascii="Nirmala UI" w:hAnsi="Nirmala UI" w:eastAsia="Nirmala UI" w:cs="Nirmala UI"/>
        </w:rPr>
        <w:t>താനും</w:t>
      </w:r>
      <w:r>
        <w:rPr>
          <w:rFonts w:ascii="Times New Roman" w:hAnsi="Times New Roman" w:eastAsia="Times New Roman" w:cs="Times New Roman"/>
        </w:rPr>
        <w:t xml:space="preserve"> </w:t>
      </w:r>
      <w:r>
        <w:rPr>
          <w:rFonts w:ascii="Nirmala UI" w:hAnsi="Nirmala UI" w:eastAsia="Nirmala UI" w:cs="Nirmala UI"/>
        </w:rPr>
        <w:t>പ്രെസ്കോട്ടും</w:t>
      </w:r>
      <w:r>
        <w:rPr>
          <w:rFonts w:ascii="Times New Roman" w:hAnsi="Times New Roman" w:eastAsia="Times New Roman" w:cs="Times New Roman"/>
        </w:rPr>
        <w:t xml:space="preserve"> “</w:t>
      </w:r>
      <w:r>
        <w:rPr>
          <w:rFonts w:ascii="Nirmala UI" w:hAnsi="Nirmala UI" w:eastAsia="Nirmala UI" w:cs="Nirmala UI"/>
        </w:rPr>
        <w:t>ദൈനംദിനം</w:t>
      </w:r>
      <w:r>
        <w:rPr>
          <w:rFonts w:ascii="Times New Roman" w:hAnsi="Times New Roman" w:eastAsia="Times New Roman" w:cs="Times New Roman"/>
        </w:rPr>
        <w:t xml:space="preserve">” </w:t>
      </w:r>
      <w:r>
        <w:rPr>
          <w:rFonts w:ascii="Nirmala UI" w:hAnsi="Nirmala UI" w:eastAsia="Nirmala UI" w:cs="Nirmala UI"/>
        </w:rPr>
        <w:t>ക്രിസ്തുവിന്റെ</w:t>
      </w:r>
      <w:r>
        <w:rPr>
          <w:rFonts w:ascii="Times New Roman" w:hAnsi="Times New Roman" w:eastAsia="Times New Roman" w:cs="Times New Roman"/>
        </w:rPr>
        <w:t xml:space="preserve"> </w:t>
      </w:r>
      <w:r>
        <w:rPr>
          <w:rFonts w:ascii="Nirmala UI" w:hAnsi="Nirmala UI" w:eastAsia="Nirmala UI" w:cs="Nirmala UI"/>
        </w:rPr>
        <w:t>വിശുദ്ധാലയ</w:t>
      </w:r>
      <w:r>
        <w:rPr>
          <w:rFonts w:ascii="Times New Roman" w:hAnsi="Times New Roman" w:eastAsia="Times New Roman" w:cs="Times New Roman"/>
        </w:rPr>
        <w:t xml:space="preserve"> </w:t>
      </w:r>
      <w:r>
        <w:rPr>
          <w:rFonts w:ascii="Nirmala UI" w:hAnsi="Nirmala UI" w:eastAsia="Nirmala UI" w:cs="Nirmala UI"/>
        </w:rPr>
        <w:t>ശുശ്രൂഷയെ</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ദൃഷ്ടിക്കോണം</w:t>
      </w:r>
      <w:r>
        <w:rPr>
          <w:rFonts w:ascii="Times New Roman" w:hAnsi="Times New Roman" w:eastAsia="Times New Roman" w:cs="Times New Roman"/>
        </w:rPr>
        <w:t xml:space="preserve"> </w:t>
      </w:r>
      <w:r>
        <w:rPr>
          <w:rFonts w:ascii="Nirmala UI" w:hAnsi="Nirmala UI" w:eastAsia="Nirmala UI" w:cs="Nirmala UI"/>
        </w:rPr>
        <w:t>യാഥാർത്ഥത്തിൽ</w:t>
      </w:r>
      <w:r>
        <w:rPr>
          <w:rFonts w:ascii="Times New Roman" w:hAnsi="Times New Roman" w:eastAsia="Times New Roman" w:cs="Times New Roman"/>
        </w:rPr>
        <w:t xml:space="preserve"> </w:t>
      </w:r>
      <w:r>
        <w:rPr>
          <w:rFonts w:ascii="Nirmala UI" w:hAnsi="Nirmala UI" w:eastAsia="Nirmala UI" w:cs="Nirmala UI"/>
        </w:rPr>
        <w:t>ശരിയാണെന്ന്</w:t>
      </w:r>
      <w:r>
        <w:rPr>
          <w:rFonts w:ascii="Times New Roman" w:hAnsi="Times New Roman" w:eastAsia="Times New Roman" w:cs="Times New Roman"/>
        </w:rPr>
        <w:t xml:space="preserve"> </w:t>
      </w:r>
      <w:r>
        <w:rPr>
          <w:rFonts w:ascii="Nirmala UI" w:hAnsi="Nirmala UI" w:eastAsia="Nirmala UI" w:cs="Nirmala UI"/>
        </w:rPr>
        <w:t>അറിയിച്ചുവെന്ന</w:t>
      </w:r>
      <w:r>
        <w:rPr>
          <w:rFonts w:ascii="Times New Roman" w:hAnsi="Times New Roman" w:eastAsia="Times New Roman" w:cs="Times New Roman"/>
        </w:rPr>
        <w:t xml:space="preserve"> </w:t>
      </w:r>
      <w:r>
        <w:rPr>
          <w:rFonts w:ascii="Nirmala UI" w:hAnsi="Nirmala UI" w:eastAsia="Nirmala UI" w:cs="Nirmala UI"/>
        </w:rPr>
        <w:t>അവകാശപ്പെടുന്ന</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അസത്യത്തിന്റെ</w:t>
      </w:r>
      <w:r>
        <w:rPr>
          <w:rFonts w:ascii="Times New Roman" w:hAnsi="Times New Roman" w:eastAsia="Times New Roman" w:cs="Times New Roman"/>
        </w:rPr>
        <w:t xml:space="preserve">” </w:t>
      </w:r>
      <w:r>
        <w:rPr>
          <w:rFonts w:ascii="Nirmala UI" w:hAnsi="Nirmala UI" w:eastAsia="Nirmala UI" w:cs="Nirmala UI"/>
        </w:rPr>
        <w:t>മേൽ</w:t>
      </w:r>
      <w:r>
        <w:rPr>
          <w:rFonts w:ascii="Times New Roman" w:hAnsi="Times New Roman" w:eastAsia="Times New Roman" w:cs="Times New Roman"/>
        </w:rPr>
        <w:t xml:space="preserve"> </w:t>
      </w:r>
      <w:r>
        <w:rPr>
          <w:rFonts w:ascii="Nirmala UI" w:hAnsi="Nirmala UI" w:eastAsia="Nirmala UI" w:cs="Nirmala UI"/>
        </w:rPr>
        <w:t>അധിഷ്ഠിതമായിരുന്നു</w:t>
      </w:r>
      <w:r>
        <w:rPr>
          <w:rFonts w:ascii="Times New Roman" w:hAnsi="Times New Roman" w:eastAsia="Times New Roman" w:cs="Times New Roman"/>
        </w:rPr>
        <w:t xml:space="preserve">; </w:t>
      </w:r>
      <w:r>
        <w:rPr>
          <w:rFonts w:ascii="Nirmala UI" w:hAnsi="Nirmala UI" w:eastAsia="Nirmala UI" w:cs="Nirmala UI"/>
        </w:rPr>
        <w:t>അവളുടെ</w:t>
      </w:r>
      <w:r>
        <w:rPr>
          <w:rFonts w:ascii="Times New Roman" w:hAnsi="Times New Roman" w:eastAsia="Times New Roman" w:cs="Times New Roman"/>
        </w:rPr>
        <w:t xml:space="preserve"> </w:t>
      </w:r>
      <w:r>
        <w:rPr>
          <w:rFonts w:ascii="Nirmala UI" w:hAnsi="Nirmala UI" w:eastAsia="Nirmala UI" w:cs="Nirmala UI"/>
        </w:rPr>
        <w:t>വ്യക്തമായ</w:t>
      </w:r>
      <w:r>
        <w:rPr>
          <w:rFonts w:ascii="Times New Roman" w:hAnsi="Times New Roman" w:eastAsia="Times New Roman" w:cs="Times New Roman"/>
        </w:rPr>
        <w:t xml:space="preserve"> </w:t>
      </w:r>
      <w:r>
        <w:rPr>
          <w:rFonts w:ascii="Nirmala UI" w:hAnsi="Nirmala UI" w:eastAsia="Nirmala UI" w:cs="Nirmala UI"/>
        </w:rPr>
        <w:t>എഴുത്തുപരമായ</w:t>
      </w:r>
      <w:r>
        <w:rPr>
          <w:rFonts w:ascii="Times New Roman" w:hAnsi="Times New Roman" w:eastAsia="Times New Roman" w:cs="Times New Roman"/>
        </w:rPr>
        <w:t xml:space="preserve"> </w:t>
      </w:r>
      <w:r>
        <w:rPr>
          <w:rFonts w:ascii="Nirmala UI" w:hAnsi="Nirmala UI" w:eastAsia="Nirmala UI" w:cs="Nirmala UI"/>
        </w:rPr>
        <w:t>വാക്കുകൾ</w:t>
      </w:r>
      <w:r>
        <w:rPr>
          <w:rFonts w:ascii="Times New Roman" w:hAnsi="Times New Roman" w:eastAsia="Times New Roman" w:cs="Times New Roman"/>
        </w:rPr>
        <w:t xml:space="preserve"> </w:t>
      </w:r>
      <w:r>
        <w:rPr>
          <w:rFonts w:ascii="Nirmala UI" w:hAnsi="Nirmala UI" w:eastAsia="Nirmala UI" w:cs="Nirmala UI"/>
        </w:rPr>
        <w:t>അതിന്റെ</w:t>
      </w:r>
      <w:r>
        <w:rPr>
          <w:rFonts w:ascii="Times New Roman" w:hAnsi="Times New Roman" w:eastAsia="Times New Roman" w:cs="Times New Roman"/>
        </w:rPr>
        <w:t xml:space="preserve"> </w:t>
      </w:r>
      <w:r>
        <w:rPr>
          <w:rFonts w:ascii="Nirmala UI" w:hAnsi="Nirmala UI" w:eastAsia="Nirmala UI" w:cs="Nirmala UI"/>
        </w:rPr>
        <w:t>വിരുദ്ധമായിരുന്നിട്ടും</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Tafsiri ya uongo ya “sadaka ya daima,” ambayo wakati huo (1931) iliimarishwa ndani ya Uadventista wa Laodikia, ikawa msingi wa kiteolojia uliotumiwa kujenga ujumbe ambao Ezekieli anaueleza kuwa ni “amani na salama.” Hoja mbalimbali zinazotumiwa kuutetea msingi huo wa uongo ndizo sarafu na vito vya bandia mbalimbali ambavyo Miller aliviona katika ndoto yake. Kufikia mwisho wa ndoto yake, vito vyake vya asili vimefunikwa kabisa na vitu vya bandia na takataka, nayo takataka hizo na vito na sarafu za bandia vinauwakilisha ujumbe uliotegemezwa juu ya kosa lao la msingi kwamba “sadaka ya daima” inawakilisha huduma ya Kristo katika patakatifu.</w:t>
      </w:r>
    </w:p>
    <w:p>
      <w:pPr>
        <w:pStyle w:val="ArticleBody"/>
        <w:jc w:val="left"/>
      </w:pPr>
      <w:r>
        <w:rPr>
          <w:rFonts w:ascii="Times New Roman" w:hAnsi="Times New Roman" w:eastAsia="Times New Roman" w:cs="Times New Roman"/>
        </w:rPr>
        <w:t>I te valææga a Esekiela, o lapisi ma i te tāfao fakapepelo e fakaasi mai e pelā me se “pā” ne faite ki se sima telā ko vāivāi malosi, telā e se mafai o tumau i lalo i te mamafa o te “matagi afā” io me ko te “ua lasi.”</w:t>
      </w:r>
    </w:p>
    <w:p>
      <w:pPr>
        <w:pStyle w:val="ArticleBody"/>
        <w:jc w:val="left"/>
      </w:pPr>
      <w:r>
        <w:rPr>
          <w:rFonts w:ascii="Times New Roman" w:hAnsi="Times New Roman" w:eastAsia="Times New Roman" w:cs="Times New Roman"/>
        </w:rPr>
        <w:t>Yeroboaamni tanqid qilgan Yahudodan chiqqan itoatsiz payg‘ambar oxir-oqibat “eshak” bilan “sher” orasida halok bo‘ldi. Sher Bobilni, eshak esa Islomni ifodalaydi. Laodikiyalik Adventizm ko‘ra olmaydigan, itoatsiz payg‘ambarning o‘limi orqali tasvirlangan ikki ta’limot — papalik haqidagi xabar (sher) va uchinchi Vayning Islom haqidagi xabaridir (eshak).</w:t>
      </w:r>
    </w:p>
    <w:p>
      <w:pPr>
        <w:pStyle w:val="ArticleBody"/>
        <w:jc w:val="left"/>
      </w:pPr>
      <w:r>
        <w:rPr>
          <w:rFonts w:ascii="Times New Roman" w:hAnsi="Times New Roman" w:eastAsia="Times New Roman" w:cs="Times New Roman"/>
        </w:rPr>
        <w:t>Yehezqyel-</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ঝড়ো</w:t>
      </w:r>
      <w:r>
        <w:rPr>
          <w:rFonts w:ascii="Times New Roman" w:hAnsi="Times New Roman" w:eastAsia="Times New Roman" w:cs="Times New Roman"/>
        </w:rPr>
        <w:t xml:space="preserve"> </w:t>
      </w:r>
      <w:r>
        <w:rPr>
          <w:rFonts w:ascii="Nirmala UI" w:hAnsi="Nirmala UI" w:eastAsia="Nirmala UI" w:cs="Nirmala UI"/>
        </w:rPr>
        <w:t>বায়ু</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ইয়িশাইয়াহর</w:t>
      </w:r>
      <w:r>
        <w:rPr>
          <w:rFonts w:ascii="Times New Roman" w:hAnsi="Times New Roman" w:eastAsia="Times New Roman" w:cs="Times New Roman"/>
        </w:rPr>
        <w:t xml:space="preserve"> “</w:t>
      </w:r>
      <w:r>
        <w:rPr>
          <w:rFonts w:ascii="Nirmala UI" w:hAnsi="Nirmala UI" w:eastAsia="Nirmala UI" w:cs="Nirmala UI"/>
        </w:rPr>
        <w:t>প্রচণ্ড</w:t>
      </w:r>
      <w:r>
        <w:rPr>
          <w:rFonts w:ascii="Times New Roman" w:hAnsi="Times New Roman" w:eastAsia="Times New Roman" w:cs="Times New Roman"/>
        </w:rPr>
        <w:t xml:space="preserve"> </w:t>
      </w:r>
      <w:r>
        <w:rPr>
          <w:rFonts w:ascii="Nirmala UI" w:hAnsi="Nirmala UI" w:eastAsia="Nirmala UI" w:cs="Nirmala UI"/>
        </w:rPr>
        <w:t>বায়ু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সংযত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সাতাশে</w:t>
      </w:r>
      <w:r>
        <w:rPr>
          <w:rFonts w:ascii="Times New Roman" w:hAnsi="Times New Roman" w:eastAsia="Times New Roman" w:cs="Times New Roman"/>
        </w:rPr>
        <w:t xml:space="preserve"> </w:t>
      </w:r>
      <w:r>
        <w:rPr>
          <w:rFonts w:ascii="Nirmala UI" w:hAnsi="Nirmala UI" w:eastAsia="Nirmala UI" w:cs="Nirmala UI"/>
        </w:rPr>
        <w:t>উল্লিখিত</w:t>
      </w:r>
      <w:r>
        <w:rPr>
          <w:rFonts w:ascii="Times New Roman" w:hAnsi="Times New Roman" w:eastAsia="Times New Roman" w:cs="Times New Roman"/>
        </w:rPr>
        <w:t xml:space="preserve"> “</w:t>
      </w:r>
      <w:r>
        <w:rPr>
          <w:rFonts w:ascii="Nirmala UI" w:hAnsi="Nirmala UI" w:eastAsia="Nirmala UI" w:cs="Nirmala UI"/>
        </w:rPr>
        <w:t>পূর্ববায়ুর</w:t>
      </w:r>
      <w:r>
        <w:rPr>
          <w:rFonts w:ascii="Times New Roman" w:hAnsi="Times New Roman" w:eastAsia="Times New Roman" w:cs="Times New Roman"/>
        </w:rPr>
        <w:t xml:space="preserve"> </w:t>
      </w:r>
      <w:r>
        <w:rPr>
          <w:rFonts w:ascii="Nirmala UI" w:hAnsi="Nirmala UI" w:eastAsia="Nirmala UI" w:cs="Nirmala UI"/>
        </w:rPr>
        <w:t>দিবসে</w:t>
      </w:r>
      <w:r>
        <w:rPr>
          <w:rFonts w:ascii="Times New Roman" w:hAnsi="Times New Roman" w:eastAsia="Times New Roman" w:cs="Times New Roman"/>
        </w:rPr>
        <w:t>”—</w:t>
      </w:r>
      <w:r>
        <w:rPr>
          <w:rFonts w:ascii="Nirmala UI" w:hAnsi="Nirmala UI" w:eastAsia="Nirmala UI" w:cs="Nirmala UI"/>
        </w:rPr>
        <w:t>তারই</w:t>
      </w:r>
      <w:r>
        <w:rPr>
          <w:rFonts w:ascii="Times New Roman" w:hAnsi="Times New Roman" w:eastAsia="Times New Roman" w:cs="Times New Roman"/>
        </w:rPr>
        <w:t xml:space="preserve"> </w:t>
      </w:r>
      <w:r>
        <w:rPr>
          <w:rFonts w:ascii="Nirmala UI" w:hAnsi="Nirmala UI" w:eastAsia="Nirmala UI" w:cs="Nirmala UI"/>
        </w:rPr>
        <w:t>প্রতীক।</w:t>
      </w:r>
      <w:r>
        <w:rPr>
          <w:rFonts w:ascii="Times New Roman" w:hAnsi="Times New Roman" w:eastAsia="Times New Roman" w:cs="Times New Roman"/>
        </w:rPr>
        <w:t xml:space="preserve"> Yehezqyel-</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ঝড়ো</w:t>
      </w:r>
      <w:r>
        <w:rPr>
          <w:rFonts w:ascii="Times New Roman" w:hAnsi="Times New Roman" w:eastAsia="Times New Roman" w:cs="Times New Roman"/>
        </w:rPr>
        <w:t xml:space="preserve"> </w:t>
      </w:r>
      <w:r>
        <w:rPr>
          <w:rFonts w:ascii="Nirmala UI" w:hAnsi="Nirmala UI" w:eastAsia="Nirmala UI" w:cs="Nirmala UI"/>
        </w:rPr>
        <w:t>বায়ু</w:t>
      </w:r>
      <w:r>
        <w:rPr>
          <w:rFonts w:ascii="Times New Roman" w:hAnsi="Times New Roman" w:eastAsia="Times New Roman" w:cs="Times New Roman"/>
        </w:rPr>
        <w:t xml:space="preserve">” </w:t>
      </w:r>
      <w:r>
        <w:rPr>
          <w:rFonts w:ascii="Nirmala UI" w:hAnsi="Nirmala UI" w:eastAsia="Nirmala UI" w:cs="Nirmala UI"/>
        </w:rPr>
        <w:t>আরও</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প্রকাশিতবাক্য</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সাতের</w:t>
      </w:r>
      <w:r>
        <w:rPr>
          <w:rFonts w:ascii="Times New Roman" w:hAnsi="Times New Roman" w:eastAsia="Times New Roman" w:cs="Times New Roman"/>
        </w:rPr>
        <w:t xml:space="preserve"> “</w:t>
      </w:r>
      <w:r>
        <w:rPr>
          <w:rFonts w:ascii="Nirmala UI" w:hAnsi="Nirmala UI" w:eastAsia="Nirmala UI" w:cs="Nirmala UI"/>
        </w:rPr>
        <w:t>চার</w:t>
      </w:r>
      <w:r>
        <w:rPr>
          <w:rFonts w:ascii="Times New Roman" w:hAnsi="Times New Roman" w:eastAsia="Times New Roman" w:cs="Times New Roman"/>
        </w:rPr>
        <w:t xml:space="preserve"> </w:t>
      </w:r>
      <w:r>
        <w:rPr>
          <w:rFonts w:ascii="Nirmala UI" w:hAnsi="Nirmala UI" w:eastAsia="Nirmala UI" w:cs="Nirmala UI"/>
        </w:rPr>
        <w:t>বায়ু</w:t>
      </w:r>
      <w:r>
        <w:rPr>
          <w:rFonts w:ascii="Times New Roman" w:hAnsi="Times New Roman" w:eastAsia="Times New Roman" w:cs="Times New Roman"/>
        </w:rPr>
        <w:t xml:space="preserve">,” </w:t>
      </w:r>
      <w:r>
        <w:rPr>
          <w:rFonts w:ascii="Nirmala UI" w:hAnsi="Nirmala UI" w:eastAsia="Nirmala UI" w:cs="Nirmala UI"/>
        </w:rPr>
        <w:t>যেগুলো</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দাসদের</w:t>
      </w:r>
      <w:r>
        <w:rPr>
          <w:rFonts w:ascii="Times New Roman" w:hAnsi="Times New Roman" w:eastAsia="Times New Roman" w:cs="Times New Roman"/>
        </w:rPr>
        <w:t xml:space="preserve"> </w:t>
      </w:r>
      <w:r>
        <w:rPr>
          <w:rFonts w:ascii="Nirmala UI" w:hAnsi="Nirmala UI" w:eastAsia="Nirmala UI" w:cs="Nirmala UI"/>
        </w:rPr>
        <w:t>মোহরাঙ্কিত</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ধরে</w:t>
      </w:r>
      <w:r>
        <w:rPr>
          <w:rFonts w:ascii="Times New Roman" w:hAnsi="Times New Roman" w:eastAsia="Times New Roman" w:cs="Times New Roman"/>
        </w:rPr>
        <w:t xml:space="preserve"> </w:t>
      </w:r>
      <w:r>
        <w:rPr>
          <w:rFonts w:ascii="Nirmala UI" w:hAnsi="Nirmala UI" w:eastAsia="Nirmala UI" w:cs="Nirmala UI"/>
        </w:rPr>
        <w:t>রাখা</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Yehezqyel-</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ঝড়ো</w:t>
      </w:r>
      <w:r>
        <w:rPr>
          <w:rFonts w:ascii="Times New Roman" w:hAnsi="Times New Roman" w:eastAsia="Times New Roman" w:cs="Times New Roman"/>
        </w:rPr>
        <w:t xml:space="preserve"> </w:t>
      </w:r>
      <w:r>
        <w:rPr>
          <w:rFonts w:ascii="Nirmala UI" w:hAnsi="Nirmala UI" w:eastAsia="Nirmala UI" w:cs="Nirmala UI"/>
        </w:rPr>
        <w:t>বায়ু</w:t>
      </w:r>
      <w:r>
        <w:rPr>
          <w:rFonts w:ascii="Times New Roman" w:hAnsi="Times New Roman" w:eastAsia="Times New Roman" w:cs="Times New Roman"/>
        </w:rPr>
        <w:t xml:space="preserve">” </w:t>
      </w:r>
      <w:r>
        <w:rPr>
          <w:rFonts w:ascii="Nirmala UI" w:hAnsi="Nirmala UI" w:eastAsia="Nirmala UI" w:cs="Nirmala UI"/>
        </w:rPr>
        <w:t>আরও</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সাঁইত্রিশে</w:t>
      </w:r>
      <w:r>
        <w:rPr>
          <w:rFonts w:ascii="Times New Roman" w:hAnsi="Times New Roman" w:eastAsia="Times New Roman" w:cs="Times New Roman"/>
        </w:rPr>
        <w:t xml:space="preserve"> “</w:t>
      </w:r>
      <w:r>
        <w:rPr>
          <w:rFonts w:ascii="Nirmala UI" w:hAnsi="Nirmala UI" w:eastAsia="Nirmala UI" w:cs="Nirmala UI"/>
        </w:rPr>
        <w:t>চার</w:t>
      </w:r>
      <w:r>
        <w:rPr>
          <w:rFonts w:ascii="Times New Roman" w:hAnsi="Times New Roman" w:eastAsia="Times New Roman" w:cs="Times New Roman"/>
        </w:rPr>
        <w:t xml:space="preserve"> </w:t>
      </w:r>
      <w:r>
        <w:rPr>
          <w:rFonts w:ascii="Nirmala UI" w:hAnsi="Nirmala UI" w:eastAsia="Nirmala UI" w:cs="Nirmala UI"/>
        </w:rPr>
        <w:t>বায়ু</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আগত</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মৃত</w:t>
      </w:r>
      <w:r>
        <w:rPr>
          <w:rFonts w:ascii="Times New Roman" w:hAnsi="Times New Roman" w:eastAsia="Times New Roman" w:cs="Times New Roman"/>
        </w:rPr>
        <w:t xml:space="preserve"> </w:t>
      </w:r>
      <w:r>
        <w:rPr>
          <w:rFonts w:ascii="Nirmala UI" w:hAnsi="Nirmala UI" w:eastAsia="Nirmala UI" w:cs="Nirmala UI"/>
        </w:rPr>
        <w:t>শুষ্ক</w:t>
      </w:r>
      <w:r>
        <w:rPr>
          <w:rFonts w:ascii="Times New Roman" w:hAnsi="Times New Roman" w:eastAsia="Times New Roman" w:cs="Times New Roman"/>
        </w:rPr>
        <w:t xml:space="preserve"> </w:t>
      </w:r>
      <w:r>
        <w:rPr>
          <w:rFonts w:ascii="Nirmala UI" w:hAnsi="Nirmala UI" w:eastAsia="Nirmala UI" w:cs="Nirmala UI"/>
        </w:rPr>
        <w:t>অস্থিসমূহকে</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পরাক্রান্ত</w:t>
      </w:r>
      <w:r>
        <w:rPr>
          <w:rFonts w:ascii="Times New Roman" w:hAnsi="Times New Roman" w:eastAsia="Times New Roman" w:cs="Times New Roman"/>
        </w:rPr>
        <w:t xml:space="preserve"> </w:t>
      </w:r>
      <w:r>
        <w:rPr>
          <w:rFonts w:ascii="Nirmala UI" w:hAnsi="Nirmala UI" w:eastAsia="Nirmala UI" w:cs="Nirmala UI"/>
        </w:rPr>
        <w:t>বাহিনী</w:t>
      </w:r>
      <w:r>
        <w:rPr>
          <w:rFonts w:ascii="Times New Roman" w:hAnsi="Times New Roman" w:eastAsia="Times New Roman" w:cs="Times New Roman"/>
        </w:rPr>
        <w:t xml:space="preserve"> </w:t>
      </w:r>
      <w:r>
        <w:rPr>
          <w:rFonts w:ascii="Nirmala UI" w:hAnsi="Nirmala UI" w:eastAsia="Nirmala UI" w:cs="Nirmala UI"/>
        </w:rPr>
        <w:t>হিসেবে</w:t>
      </w:r>
      <w:r>
        <w:rPr>
          <w:rFonts w:ascii="Times New Roman" w:hAnsi="Times New Roman" w:eastAsia="Times New Roman" w:cs="Times New Roman"/>
        </w:rPr>
        <w:t xml:space="preserve"> </w:t>
      </w:r>
      <w:r>
        <w:rPr>
          <w:rFonts w:ascii="Nirmala UI" w:hAnsi="Nirmala UI" w:eastAsia="Nirmala UI" w:cs="Nirmala UI"/>
        </w:rPr>
        <w:t>জীবিত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তোলে।</w:t>
      </w:r>
      <w:r>
        <w:rPr>
          <w:rFonts w:ascii="Times New Roman" w:hAnsi="Times New Roman" w:eastAsia="Times New Roman" w:cs="Times New Roman"/>
        </w:rPr>
        <w:t xml:space="preserve"> Yehezqyel-</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ঝড়ো</w:t>
      </w:r>
      <w:r>
        <w:rPr>
          <w:rFonts w:ascii="Times New Roman" w:hAnsi="Times New Roman" w:eastAsia="Times New Roman" w:cs="Times New Roman"/>
        </w:rPr>
        <w:t xml:space="preserve"> </w:t>
      </w:r>
      <w:r>
        <w:rPr>
          <w:rFonts w:ascii="Nirmala UI" w:hAnsi="Nirmala UI" w:eastAsia="Nirmala UI" w:cs="Nirmala UI"/>
        </w:rPr>
        <w:t>বায়ু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অপক্ব</w:t>
      </w:r>
      <w:r>
        <w:rPr>
          <w:rFonts w:ascii="Times New Roman" w:hAnsi="Times New Roman" w:eastAsia="Times New Roman" w:cs="Times New Roman"/>
        </w:rPr>
        <w:t xml:space="preserve"> </w:t>
      </w:r>
      <w:r>
        <w:rPr>
          <w:rFonts w:ascii="Nirmala UI" w:hAnsi="Nirmala UI" w:eastAsia="Nirmala UI" w:cs="Nirmala UI"/>
        </w:rPr>
        <w:t>গাঁথুনির</w:t>
      </w:r>
      <w:r>
        <w:rPr>
          <w:rFonts w:ascii="Times New Roman" w:hAnsi="Times New Roman" w:eastAsia="Times New Roman" w:cs="Times New Roman"/>
        </w:rPr>
        <w:t xml:space="preserve"> </w:t>
      </w:r>
      <w:r>
        <w:rPr>
          <w:rFonts w:ascii="Nirmala UI" w:hAnsi="Nirmala UI" w:eastAsia="Nirmala UI" w:cs="Nirmala UI"/>
        </w:rPr>
        <w:t>প্রাচীর</w:t>
      </w:r>
      <w:r>
        <w:rPr>
          <w:rFonts w:ascii="Times New Roman" w:hAnsi="Times New Roman" w:eastAsia="Times New Roman" w:cs="Times New Roman"/>
        </w:rPr>
        <w:t xml:space="preserve">” </w:t>
      </w:r>
      <w:r>
        <w:rPr>
          <w:rFonts w:ascii="Nirmala UI" w:hAnsi="Nirmala UI" w:eastAsia="Nirmala UI" w:cs="Nirmala UI"/>
        </w:rPr>
        <w:t>ভেঙে</w:t>
      </w:r>
      <w:r>
        <w:rPr>
          <w:rFonts w:ascii="Times New Roman" w:hAnsi="Times New Roman" w:eastAsia="Times New Roman" w:cs="Times New Roman"/>
        </w:rPr>
        <w:t xml:space="preserve"> </w:t>
      </w:r>
      <w:r>
        <w:rPr>
          <w:rFonts w:ascii="Nirmala UI" w:hAnsi="Nirmala UI" w:eastAsia="Nirmala UI" w:cs="Nirmala UI"/>
        </w:rPr>
        <w:t>ফেলে</w:t>
      </w:r>
      <w:r>
        <w:rPr>
          <w:rFonts w:ascii="Times New Roman" w:hAnsi="Times New Roman" w:eastAsia="Times New Roman" w:cs="Times New Roman"/>
        </w:rPr>
        <w:t xml:space="preserve">, </w:t>
      </w:r>
      <w:r>
        <w:rPr>
          <w:rFonts w:ascii="Nirmala UI" w:hAnsi="Nirmala UI" w:eastAsia="Nirmala UI" w:cs="Nirmala UI"/>
        </w:rPr>
        <w:t>সেটিই</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হায়ের</w:t>
      </w:r>
      <w:r>
        <w:rPr>
          <w:rFonts w:ascii="Times New Roman" w:hAnsi="Times New Roman" w:eastAsia="Times New Roman" w:cs="Times New Roman"/>
        </w:rPr>
        <w:t xml:space="preserve"> </w:t>
      </w:r>
      <w:r>
        <w:rPr>
          <w:rFonts w:ascii="Nirmala UI" w:hAnsi="Nirmala UI" w:eastAsia="Nirmala UI" w:cs="Nirmala UI"/>
        </w:rPr>
        <w:t>পরবর্তী</w:t>
      </w:r>
      <w:r>
        <w:rPr>
          <w:rFonts w:ascii="Times New Roman" w:hAnsi="Times New Roman" w:eastAsia="Times New Roman" w:cs="Times New Roman"/>
        </w:rPr>
        <w:t xml:space="preserve"> </w:t>
      </w:r>
      <w:r>
        <w:rPr>
          <w:rFonts w:ascii="Nirmala UI" w:hAnsi="Nirmala UI" w:eastAsia="Nirmala UI" w:cs="Nirmala UI"/>
        </w:rPr>
        <w:t>বৃষ্টির</w:t>
      </w:r>
      <w:r>
        <w:rPr>
          <w:rFonts w:ascii="Times New Roman" w:hAnsi="Times New Roman" w:eastAsia="Times New Roman" w:cs="Times New Roman"/>
        </w:rPr>
        <w:t xml:space="preserve"> </w:t>
      </w:r>
      <w:r>
        <w:rPr>
          <w:rFonts w:ascii="Nirmala UI" w:hAnsi="Nirmala UI" w:eastAsia="Nirmala UI" w:cs="Nirmala UI"/>
        </w:rPr>
        <w:t>বার্তা।</w:t>
      </w:r>
    </w:p>
    <w:p>
      <w:pPr>
        <w:pStyle w:val="ArticleBody"/>
        <w:jc w:val="left"/>
      </w:pPr>
      <w:r>
        <w:rPr>
          <w:rFonts w:ascii="Times New Roman" w:hAnsi="Times New Roman" w:eastAsia="Times New Roman" w:cs="Times New Roman"/>
        </w:rPr>
        <w:t>Le « torrent de pluie » d’Ézéchiel est un symbole de la papauté, et plus précisément le symbole de la période de la crise de la loi du dimanche, laquelle commence avec la loi du dimanche imminente aux États-Unis. Le prophète désobéissant de Juda, qui mourut entre l’âne et le lion, représentait la mort de l’adventisme laodicéen qui a lieu entre le 11 septembre 2001, à l’arrivée de l’âne (le troisième malheur), et la loi du dimanche imminente (le lion). La mort de l’adventisme laodicéen se produit durant le scellement des cent quarante-quatre mille, lequel commença lorsque les nations s’irritèrent, tout en étant retenues en échec, le 11 septembre 2001, et s’achève à la loi du dimanche imminente. Leur mort, comme l’illustre le prophète désobéissant, est provoquée parce qu’ils sont retournés à la méthodologie du protestantisme apostat, bien qu’il leur eût été directement ordonné de ne jamais retourner à l’« assemblée des moqueurs ».</w:t>
      </w:r>
    </w:p>
    <w:p>
      <w:pPr>
        <w:pStyle w:val="ArticleBody"/>
        <w:jc w:val="left"/>
      </w:pPr>
      <w:r>
        <w:rPr>
          <w:rFonts w:ascii="Times New Roman" w:hAnsi="Times New Roman" w:eastAsia="Times New Roman" w:cs="Times New Roman"/>
        </w:rPr>
        <w:t>Ɗee maayde mum waɗii e tariika maɓɓugol teeŋtungo ɗin ɗariiji laso e nay e nay. Nde yimɓe Alla maɓɓii, malaa'ikaaji halankooɓe fuɗɗi golle mum'en. Daga 11 Setember 2001 haa to dokkal Alahade garoongal nde ɓadii, kiita ɓe wonɓe e yonki waɗetee e ekklesiya Alla, ngam kiita fuɗɗata e Urushaliima, tee fuɗɗata e worɓe mawɓe ɓen ɓe njoɓaama no ɓe ndannooɓe yimɓe, kono ɓe accii waɗde hoore mum'en e dow maɓɓe mum'en ndee hewtuure iji ɗiɗi. Ɓe ɓe njogii teeŋtungo nder saawndo ndin, kam'en woni alamaaru ndue tukkaa to leyɗe. Ɓe maɓɓetee ɗoo ko ndeen dokkal Alahade garoongal nde ɓadii, ngam laawol gooto tan ɗum woni nde horii wooɗde Alla woɗɓe waawata siinaande: ko e yi'ude worɓe e rewɓe nder caɗeele dokkal Alahade ɓe njogii teeŋtungo Alla.</w:t>
      </w:r>
    </w:p>
    <w:p>
      <w:pPr>
        <w:pStyle w:val="ArticleScripture"/>
        <w:jc w:val="left"/>
      </w:pPr>
      <w:r>
        <w:rPr>
          <w:rFonts w:ascii="Times New Roman" w:hAnsi="Times New Roman" w:eastAsia="Times New Roman" w:cs="Times New Roman"/>
        </w:rPr>
        <w:t>“L’opera dello Spirito Santo consiste nel convincere il mondo quanto al peccato, alla giustizia e al giudizio. Il mondo può essere avvertito soltanto vedendo coloro che credono la verità santificati mediante la verità, mentre agiscono in base a princìpi alti e santi, mostrando, in senso elevato e sublime, la linea di demarcazione tra coloro che osservano i comandamenti di Dio e coloro che li calpestano sotto i loro piedi. La santificazione dello Spirito segnala la differenza tra coloro che hanno il sigillo di Dio e coloro che osservano un giorno di riposo spurio. Quando verrà la prova, sarà chiaramente mostrato che cosa sia il marchio della bestia. Esso consiste nell’osservanza della domenica. Coloro che, dopo aver udito la verità, continuano a considerare santo questo giorno, recano la firma dell’uomo del peccato, il quale pensò di mutare i tempi e la legge.” Bible Training School, 1 dicembre 1903.</w:t>
      </w:r>
    </w:p>
    <w:p>
      <w:pPr>
        <w:pStyle w:val="ArticleBody"/>
        <w:jc w:val="left"/>
      </w:pPr>
      <w:r>
        <w:rPr>
          <w:rFonts w:ascii="Nirmala UI" w:hAnsi="Nirmala UI" w:eastAsia="Nirmala UI" w:cs="Nirmala UI"/>
        </w:rPr>
        <w:t>लाओदीकिया</w:t>
      </w:r>
      <w:r>
        <w:rPr>
          <w:rFonts w:ascii="Times New Roman" w:hAnsi="Times New Roman" w:eastAsia="Times New Roman" w:cs="Times New Roman"/>
        </w:rPr>
        <w:t>-</w:t>
      </w:r>
      <w:r>
        <w:rPr>
          <w:rFonts w:ascii="Nirmala UI" w:hAnsi="Nirmala UI" w:eastAsia="Nirmala UI" w:cs="Nirmala UI"/>
        </w:rPr>
        <w:t>सम्बन्धी</w:t>
      </w:r>
      <w:r>
        <w:rPr>
          <w:rFonts w:ascii="Times New Roman" w:hAnsi="Times New Roman" w:eastAsia="Times New Roman" w:cs="Times New Roman"/>
        </w:rPr>
        <w:t xml:space="preserve"> </w:t>
      </w:r>
      <w:r>
        <w:rPr>
          <w:rFonts w:ascii="Nirmala UI" w:hAnsi="Nirmala UI" w:eastAsia="Nirmala UI" w:cs="Nirmala UI"/>
        </w:rPr>
        <w:t>एडभेन्टवाद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उत्तरवर्षा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दौरान</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11 </w:t>
      </w:r>
      <w:r>
        <w:rPr>
          <w:rFonts w:ascii="Nirmala UI" w:hAnsi="Nirmala UI" w:eastAsia="Nirmala UI" w:cs="Nirmala UI"/>
        </w:rPr>
        <w:t>सितम्बर</w:t>
      </w:r>
      <w:r>
        <w:rPr>
          <w:rFonts w:ascii="Times New Roman" w:hAnsi="Times New Roman" w:eastAsia="Times New Roman" w:cs="Times New Roman"/>
        </w:rPr>
        <w:t xml:space="preserve">, 2001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छिड़कना</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निकट</w:t>
      </w:r>
      <w:r>
        <w:rPr>
          <w:rFonts w:ascii="Times New Roman" w:hAnsi="Times New Roman" w:eastAsia="Times New Roman" w:cs="Times New Roman"/>
        </w:rPr>
        <w:t xml:space="preserve"> </w:t>
      </w:r>
      <w:r>
        <w:rPr>
          <w:rFonts w:ascii="Nirmala UI" w:hAnsi="Nirmala UI" w:eastAsia="Nirmala UI" w:cs="Nirmala UI"/>
        </w:rPr>
        <w:t>आनेवाले</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माप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उंडेली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अनन्तकाल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मुद्रित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ध्वजा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स्थिर</w:t>
      </w:r>
      <w:r>
        <w:rPr>
          <w:rFonts w:ascii="Times New Roman" w:hAnsi="Times New Roman" w:eastAsia="Times New Roman" w:cs="Times New Roman"/>
        </w:rPr>
        <w:t xml:space="preserve"> </w:t>
      </w:r>
      <w:r>
        <w:rPr>
          <w:rFonts w:ascii="Nirmala UI" w:hAnsi="Nirmala UI" w:eastAsia="Nirmala UI" w:cs="Nirmala UI"/>
        </w:rPr>
        <w:t>करके</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ऊँचा</w:t>
      </w:r>
      <w:r>
        <w:rPr>
          <w:rFonts w:ascii="Times New Roman" w:hAnsi="Times New Roman" w:eastAsia="Times New Roman" w:cs="Times New Roman"/>
        </w:rPr>
        <w:t xml:space="preserve"> </w:t>
      </w:r>
      <w:r>
        <w:rPr>
          <w:rFonts w:ascii="Nirmala UI" w:hAnsi="Nirmala UI" w:eastAsia="Nirmala UI" w:cs="Nirmala UI"/>
        </w:rPr>
        <w:t>उठाता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Ku cyo gihe, abari mu Bwadivantisiti bw’i Lawodikiya barimo kwitegura, kandi bazahabwa ikimenyetso cya ya nyamaswa, bagereranywa n’abagabo makumyabiri na batanu bunamiye izuba muri Ezekiyeli igice cya munani. Abo ni bo bemeye ubutumwa bw’ibinyoma bwa Ezekiyeli bwo ngo “amahoro n’umutekano,” bugereranya igihimbano cy’ubutumwa nyakuri bw’imvura y’itumba, buri gutangazwa n’abarinzi b’ukuri muri ayo mateka. Urufatiro rw’ubwo butumwa bw’ibinyoma bw’imvura y’itumba ni ukwemeza ko “igitambo gihoraho” mu gitabo cya Daniyeli ari ikimenyetso cya Kristo, kandi mu by’ukuri ari ikimenyetso cya Satani. Iyo myizerere y’ibinyoma y’ishingiro ni yo nyigisho “abantu b’abakobanyi bategeka abantu b’i Yerusalemu” bakoresha mu kubaka urukuta rwabo rusizwe ishwagara idafatana.</w:t>
      </w:r>
    </w:p>
    <w:p>
      <w:pPr>
        <w:pStyle w:val="ArticleBody"/>
        <w:jc w:val="left"/>
      </w:pPr>
      <w:r>
        <w:rPr>
          <w:rFonts w:ascii="Times New Roman" w:hAnsi="Times New Roman" w:eastAsia="Times New Roman" w:cs="Times New Roman"/>
        </w:rPr>
        <w:t>Kuyambika “cila caku cila,” ngo cishibilo ca kwa Kristu, kwali kwashimikilwa mu mpito ya kale ku “bubeji,” mu mwaka wa 1931. Ukufuma apo ukuya pantanshi, ulubumba ulushingapondwa lwa ndalama sha bufi na mabwe ya mutengo ya bufi lwalishimikilwa. Ulo “lubumba” lwalilinganyirwe ukuwa panshi ilyo umuntu wa bulashi bwa fiko aisa pakusangulula bwino-bwino ifule lyakwe lyonse. Ukusangulula uko kukacitwa mu nshita ya buprofeti ya kale pakati ka “umpepo wa nkuntho” (indoshi ya pa September 11, 2001), na “imfula ishitilila” (nkalamo ya mutemo wa pa Mulungu uuli mu kwisa ukwabula ukutali). Muri iyo kale, umuprofeti ushatobela aleipaiwa no kuzikwa mu nshinshi ya kasesema wa bufi wa ku Bethel. Nkashi White alondolola “lubumba” lwa buprofeti nga matebeto ya kwa Lesa.</w:t>
      </w:r>
    </w:p>
    <w:p>
      <w:pPr>
        <w:pStyle w:val="ArticleScripture"/>
        <w:jc w:val="left"/>
      </w:pPr>
      <w:r>
        <w:rPr>
          <w:rFonts w:ascii="Times New Roman" w:hAnsi="Times New Roman" w:eastAsia="Times New Roman" w:cs="Times New Roman"/>
        </w:rPr>
        <w:t>“Profetul descrie aici un popor care, într-un timp de îndepărtare generală de adevăr și neprihănire, caută să restaureze principiile care sunt temelia Împărăției lui Dumnezeu. Ei sunt dregători de spărturi, ai unei breșe făcute în Legea lui Dumnezeu—zidul pe care El l-a așezat în jurul aleșilor Săi spre ocrotirea lor și de a cărui ascultare față de preceptele dreptății, adevărului și curăției trebuie să depindă neîncetat apărarea lor.”</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헷갈릴</w:t>
      </w:r>
      <w:r>
        <w:rPr>
          <w:rFonts w:ascii="Times New Roman" w:hAnsi="Times New Roman" w:eastAsia="Times New Roman" w:cs="Times New Roman"/>
        </w:rPr>
        <w:t xml:space="preserve"> </w:t>
      </w:r>
      <w:r>
        <w:rPr>
          <w:rFonts w:ascii="Malgun Gothic" w:hAnsi="Malgun Gothic" w:eastAsia="Malgun Gothic" w:cs="Malgun Gothic"/>
        </w:rPr>
        <w:t>여지가</w:t>
      </w:r>
      <w:r>
        <w:rPr>
          <w:rFonts w:ascii="Times New Roman" w:hAnsi="Times New Roman" w:eastAsia="Times New Roman" w:cs="Times New Roman"/>
        </w:rPr>
        <w:t xml:space="preserve"> </w:t>
      </w:r>
      <w:r>
        <w:rPr>
          <w:rFonts w:ascii="Malgun Gothic" w:hAnsi="Malgun Gothic" w:eastAsia="Malgun Gothic" w:cs="Malgun Gothic"/>
        </w:rPr>
        <w:t>없는</w:t>
      </w:r>
      <w:r>
        <w:rPr>
          <w:rFonts w:ascii="Times New Roman" w:hAnsi="Times New Roman" w:eastAsia="Times New Roman" w:cs="Times New Roman"/>
        </w:rPr>
        <w:t xml:space="preserve"> </w:t>
      </w:r>
      <w:r>
        <w:rPr>
          <w:rFonts w:ascii="Malgun Gothic" w:hAnsi="Malgun Gothic" w:eastAsia="Malgun Gothic" w:cs="Malgun Gothic"/>
        </w:rPr>
        <w:t>의미의</w:t>
      </w:r>
      <w:r>
        <w:rPr>
          <w:rFonts w:ascii="Times New Roman" w:hAnsi="Times New Roman" w:eastAsia="Times New Roman" w:cs="Times New Roman"/>
        </w:rPr>
        <w:t xml:space="preserve"> </w:t>
      </w:r>
      <w:r>
        <w:rPr>
          <w:rFonts w:ascii="Malgun Gothic" w:hAnsi="Malgun Gothic" w:eastAsia="Malgun Gothic" w:cs="Malgun Gothic"/>
        </w:rPr>
        <w:t>말로</w:t>
      </w:r>
      <w:r>
        <w:rPr>
          <w:rFonts w:ascii="Times New Roman" w:hAnsi="Times New Roman" w:eastAsia="Times New Roman" w:cs="Times New Roman"/>
        </w:rPr>
        <w:t xml:space="preserve"> </w:t>
      </w:r>
      <w:r>
        <w:rPr>
          <w:rFonts w:ascii="Malgun Gothic" w:hAnsi="Malgun Gothic" w:eastAsia="Malgun Gothic" w:cs="Malgun Gothic"/>
        </w:rPr>
        <w:t>선지자는</w:t>
      </w:r>
      <w:r>
        <w:rPr>
          <w:rFonts w:ascii="Times New Roman" w:hAnsi="Times New Roman" w:eastAsia="Times New Roman" w:cs="Times New Roman"/>
        </w:rPr>
        <w:t xml:space="preserve"> </w:t>
      </w:r>
      <w:r>
        <w:rPr>
          <w:rFonts w:ascii="Malgun Gothic" w:hAnsi="Malgun Gothic" w:eastAsia="Malgun Gothic" w:cs="Malgun Gothic"/>
        </w:rPr>
        <w:t>성벽을</w:t>
      </w:r>
      <w:r>
        <w:rPr>
          <w:rFonts w:ascii="Times New Roman" w:hAnsi="Times New Roman" w:eastAsia="Times New Roman" w:cs="Times New Roman"/>
        </w:rPr>
        <w:t xml:space="preserve"> </w:t>
      </w:r>
      <w:r>
        <w:rPr>
          <w:rFonts w:ascii="Malgun Gothic" w:hAnsi="Malgun Gothic" w:eastAsia="Malgun Gothic" w:cs="Malgun Gothic"/>
        </w:rPr>
        <w:t>재건하는</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남은</w:t>
      </w:r>
      <w:r>
        <w:rPr>
          <w:rFonts w:ascii="Times New Roman" w:hAnsi="Times New Roman" w:eastAsia="Times New Roman" w:cs="Times New Roman"/>
        </w:rPr>
        <w:t xml:space="preserve"> </w:t>
      </w:r>
      <w:r>
        <w:rPr>
          <w:rFonts w:ascii="Malgun Gothic" w:hAnsi="Malgun Gothic" w:eastAsia="Malgun Gothic" w:cs="Malgun Gothic"/>
        </w:rPr>
        <w:t>백성의</w:t>
      </w:r>
      <w:r>
        <w:rPr>
          <w:rFonts w:ascii="Times New Roman" w:hAnsi="Times New Roman" w:eastAsia="Times New Roman" w:cs="Times New Roman"/>
        </w:rPr>
        <w:t xml:space="preserve"> </w:t>
      </w:r>
      <w:r>
        <w:rPr>
          <w:rFonts w:ascii="Malgun Gothic" w:hAnsi="Malgun Gothic" w:eastAsia="Malgun Gothic" w:cs="Malgun Gothic"/>
        </w:rPr>
        <w:t>구체적인</w:t>
      </w:r>
      <w:r>
        <w:rPr>
          <w:rFonts w:ascii="Times New Roman" w:hAnsi="Times New Roman" w:eastAsia="Times New Roman" w:cs="Times New Roman"/>
        </w:rPr>
        <w:t xml:space="preserve"> </w:t>
      </w:r>
      <w:r>
        <w:rPr>
          <w:rFonts w:ascii="Malgun Gothic" w:hAnsi="Malgun Gothic" w:eastAsia="Malgun Gothic" w:cs="Malgun Gothic"/>
        </w:rPr>
        <w:t>사역을</w:t>
      </w:r>
      <w:r>
        <w:rPr>
          <w:rFonts w:ascii="Times New Roman" w:hAnsi="Times New Roman" w:eastAsia="Times New Roman" w:cs="Times New Roman"/>
        </w:rPr>
        <w:t xml:space="preserve"> </w:t>
      </w:r>
      <w:r>
        <w:rPr>
          <w:rFonts w:ascii="Malgun Gothic" w:hAnsi="Malgun Gothic" w:eastAsia="Malgun Gothic" w:cs="Malgun Gothic"/>
        </w:rPr>
        <w:t>지적한다</w:t>
      </w:r>
      <w:r>
        <w:rPr>
          <w:rFonts w:ascii="Times New Roman" w:hAnsi="Times New Roman" w:eastAsia="Times New Roman" w:cs="Times New Roman"/>
        </w:rPr>
        <w:t>. ‘</w:t>
      </w:r>
      <w:r>
        <w:rPr>
          <w:rFonts w:ascii="Malgun Gothic" w:hAnsi="Malgun Gothic" w:eastAsia="Malgun Gothic" w:cs="Malgun Gothic"/>
        </w:rPr>
        <w:t>만일</w:t>
      </w:r>
      <w:r>
        <w:rPr>
          <w:rFonts w:ascii="Times New Roman" w:hAnsi="Times New Roman" w:eastAsia="Times New Roman" w:cs="Times New Roman"/>
        </w:rPr>
        <w:t xml:space="preserve"> </w:t>
      </w:r>
      <w:r>
        <w:rPr>
          <w:rFonts w:ascii="Malgun Gothic" w:hAnsi="Malgun Gothic" w:eastAsia="Malgun Gothic" w:cs="Malgun Gothic"/>
        </w:rPr>
        <w:t>네가</w:t>
      </w:r>
      <w:r>
        <w:rPr>
          <w:rFonts w:ascii="Times New Roman" w:hAnsi="Times New Roman" w:eastAsia="Times New Roman" w:cs="Times New Roman"/>
        </w:rPr>
        <w:t xml:space="preserve"> </w:t>
      </w:r>
      <w:r>
        <w:rPr>
          <w:rFonts w:ascii="Malgun Gothic" w:hAnsi="Malgun Gothic" w:eastAsia="Malgun Gothic" w:cs="Malgun Gothic"/>
        </w:rPr>
        <w:t>안식일에</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발을</w:t>
      </w:r>
      <w:r>
        <w:rPr>
          <w:rFonts w:ascii="Times New Roman" w:hAnsi="Times New Roman" w:eastAsia="Times New Roman" w:cs="Times New Roman"/>
        </w:rPr>
        <w:t xml:space="preserve"> </w:t>
      </w:r>
      <w:r>
        <w:rPr>
          <w:rFonts w:ascii="Malgun Gothic" w:hAnsi="Malgun Gothic" w:eastAsia="Malgun Gothic" w:cs="Malgun Gothic"/>
        </w:rPr>
        <w:t>금하여</w:t>
      </w:r>
      <w:r>
        <w:rPr>
          <w:rFonts w:ascii="Times New Roman" w:hAnsi="Times New Roman" w:eastAsia="Times New Roman" w:cs="Times New Roman"/>
        </w:rPr>
        <w:t xml:space="preserve"> </w:t>
      </w:r>
      <w:r>
        <w:rPr>
          <w:rFonts w:ascii="Malgun Gothic" w:hAnsi="Malgun Gothic" w:eastAsia="Malgun Gothic" w:cs="Malgun Gothic"/>
        </w:rPr>
        <w:t>나의</w:t>
      </w:r>
      <w:r>
        <w:rPr>
          <w:rFonts w:ascii="Times New Roman" w:hAnsi="Times New Roman" w:eastAsia="Times New Roman" w:cs="Times New Roman"/>
        </w:rPr>
        <w:t xml:space="preserve"> </w:t>
      </w:r>
      <w:r>
        <w:rPr>
          <w:rFonts w:ascii="Malgun Gothic" w:hAnsi="Malgun Gothic" w:eastAsia="Malgun Gothic" w:cs="Malgun Gothic"/>
        </w:rPr>
        <w:t>성일에</w:t>
      </w:r>
      <w:r>
        <w:rPr>
          <w:rFonts w:ascii="Times New Roman" w:hAnsi="Times New Roman" w:eastAsia="Times New Roman" w:cs="Times New Roman"/>
        </w:rPr>
        <w:t xml:space="preserve"> </w:t>
      </w:r>
      <w:r>
        <w:rPr>
          <w:rFonts w:ascii="Malgun Gothic" w:hAnsi="Malgun Gothic" w:eastAsia="Malgun Gothic" w:cs="Malgun Gothic"/>
        </w:rPr>
        <w:t>오락을</w:t>
      </w:r>
      <w:r>
        <w:rPr>
          <w:rFonts w:ascii="Times New Roman" w:hAnsi="Times New Roman" w:eastAsia="Times New Roman" w:cs="Times New Roman"/>
        </w:rPr>
        <w:t xml:space="preserve"> </w:t>
      </w:r>
      <w:r>
        <w:rPr>
          <w:rFonts w:ascii="Malgun Gothic" w:hAnsi="Malgun Gothic" w:eastAsia="Malgun Gothic" w:cs="Malgun Gothic"/>
        </w:rPr>
        <w:t>행하지</w:t>
      </w:r>
      <w:r>
        <w:rPr>
          <w:rFonts w:ascii="Times New Roman" w:hAnsi="Times New Roman" w:eastAsia="Times New Roman" w:cs="Times New Roman"/>
        </w:rPr>
        <w:t xml:space="preserve"> </w:t>
      </w:r>
      <w:r>
        <w:rPr>
          <w:rFonts w:ascii="Malgun Gothic" w:hAnsi="Malgun Gothic" w:eastAsia="Malgun Gothic" w:cs="Malgun Gothic"/>
        </w:rPr>
        <w:t>아니하고</w:t>
      </w:r>
      <w:r>
        <w:rPr>
          <w:rFonts w:ascii="Times New Roman" w:hAnsi="Times New Roman" w:eastAsia="Times New Roman" w:cs="Times New Roman"/>
        </w:rPr>
        <w:t xml:space="preserve">, </w:t>
      </w:r>
      <w:r>
        <w:rPr>
          <w:rFonts w:ascii="Malgun Gothic" w:hAnsi="Malgun Gothic" w:eastAsia="Malgun Gothic" w:cs="Malgun Gothic"/>
        </w:rPr>
        <w:t>안식일을</w:t>
      </w:r>
      <w:r>
        <w:rPr>
          <w:rFonts w:ascii="Times New Roman" w:hAnsi="Times New Roman" w:eastAsia="Times New Roman" w:cs="Times New Roman"/>
        </w:rPr>
        <w:t xml:space="preserve"> </w:t>
      </w:r>
      <w:r>
        <w:rPr>
          <w:rFonts w:ascii="Malgun Gothic" w:hAnsi="Malgun Gothic" w:eastAsia="Malgun Gothic" w:cs="Malgun Gothic"/>
        </w:rPr>
        <w:t>일컬어</w:t>
      </w:r>
      <w:r>
        <w:rPr>
          <w:rFonts w:ascii="Times New Roman" w:hAnsi="Times New Roman" w:eastAsia="Times New Roman" w:cs="Times New Roman"/>
        </w:rPr>
        <w:t xml:space="preserve"> </w:t>
      </w:r>
      <w:r>
        <w:rPr>
          <w:rFonts w:ascii="Malgun Gothic" w:hAnsi="Malgun Gothic" w:eastAsia="Malgun Gothic" w:cs="Malgun Gothic"/>
        </w:rPr>
        <w:t>즐거운</w:t>
      </w:r>
      <w:r>
        <w:rPr>
          <w:rFonts w:ascii="Times New Roman" w:hAnsi="Times New Roman" w:eastAsia="Times New Roman" w:cs="Times New Roman"/>
        </w:rPr>
        <w:t xml:space="preserve"> </w:t>
      </w:r>
      <w:r>
        <w:rPr>
          <w:rFonts w:ascii="Malgun Gothic" w:hAnsi="Malgun Gothic" w:eastAsia="Malgun Gothic" w:cs="Malgun Gothic"/>
        </w:rPr>
        <w:t>날이라</w:t>
      </w:r>
      <w:r>
        <w:rPr>
          <w:rFonts w:ascii="Times New Roman" w:hAnsi="Times New Roman" w:eastAsia="Times New Roman" w:cs="Times New Roman"/>
        </w:rPr>
        <w:t xml:space="preserve">, </w:t>
      </w:r>
      <w:r>
        <w:rPr>
          <w:rFonts w:ascii="Malgun Gothic" w:hAnsi="Malgun Gothic" w:eastAsia="Malgun Gothic" w:cs="Malgun Gothic"/>
        </w:rPr>
        <w:t>여호와의</w:t>
      </w:r>
      <w:r>
        <w:rPr>
          <w:rFonts w:ascii="Times New Roman" w:hAnsi="Times New Roman" w:eastAsia="Times New Roman" w:cs="Times New Roman"/>
        </w:rPr>
        <w:t xml:space="preserve"> </w:t>
      </w:r>
      <w:r>
        <w:rPr>
          <w:rFonts w:ascii="Malgun Gothic" w:hAnsi="Malgun Gothic" w:eastAsia="Malgun Gothic" w:cs="Malgun Gothic"/>
        </w:rPr>
        <w:t>성일을</w:t>
      </w:r>
      <w:r>
        <w:rPr>
          <w:rFonts w:ascii="Times New Roman" w:hAnsi="Times New Roman" w:eastAsia="Times New Roman" w:cs="Times New Roman"/>
        </w:rPr>
        <w:t xml:space="preserve"> </w:t>
      </w:r>
      <w:r>
        <w:rPr>
          <w:rFonts w:ascii="Malgun Gothic" w:hAnsi="Malgun Gothic" w:eastAsia="Malgun Gothic" w:cs="Malgun Gothic"/>
        </w:rPr>
        <w:t>존귀한</w:t>
      </w:r>
      <w:r>
        <w:rPr>
          <w:rFonts w:ascii="Times New Roman" w:hAnsi="Times New Roman" w:eastAsia="Times New Roman" w:cs="Times New Roman"/>
        </w:rPr>
        <w:t xml:space="preserve"> </w:t>
      </w:r>
      <w:r>
        <w:rPr>
          <w:rFonts w:ascii="Malgun Gothic" w:hAnsi="Malgun Gothic" w:eastAsia="Malgun Gothic" w:cs="Malgun Gothic"/>
        </w:rPr>
        <w:t>날이라</w:t>
      </w:r>
      <w:r>
        <w:rPr>
          <w:rFonts w:ascii="Times New Roman" w:hAnsi="Times New Roman" w:eastAsia="Times New Roman" w:cs="Times New Roman"/>
        </w:rPr>
        <w:t xml:space="preserve"> </w:t>
      </w:r>
      <w:r>
        <w:rPr>
          <w:rFonts w:ascii="Malgun Gothic" w:hAnsi="Malgun Gothic" w:eastAsia="Malgun Gothic" w:cs="Malgun Gothic"/>
        </w:rPr>
        <w:t>하여</w:t>
      </w:r>
      <w:r>
        <w:rPr>
          <w:rFonts w:ascii="Times New Roman" w:hAnsi="Times New Roman" w:eastAsia="Times New Roman" w:cs="Times New Roman"/>
        </w:rPr>
        <w:t xml:space="preserve"> </w:t>
      </w:r>
      <w:r>
        <w:rPr>
          <w:rFonts w:ascii="Malgun Gothic" w:hAnsi="Malgun Gothic" w:eastAsia="Malgun Gothic" w:cs="Malgun Gothic"/>
        </w:rPr>
        <w:t>이를</w:t>
      </w:r>
      <w:r>
        <w:rPr>
          <w:rFonts w:ascii="Times New Roman" w:hAnsi="Times New Roman" w:eastAsia="Times New Roman" w:cs="Times New Roman"/>
        </w:rPr>
        <w:t xml:space="preserve"> </w:t>
      </w:r>
      <w:r>
        <w:rPr>
          <w:rFonts w:ascii="Malgun Gothic" w:hAnsi="Malgun Gothic" w:eastAsia="Malgun Gothic" w:cs="Malgun Gothic"/>
        </w:rPr>
        <w:t>존귀하게</w:t>
      </w:r>
      <w:r>
        <w:rPr>
          <w:rFonts w:ascii="Times New Roman" w:hAnsi="Times New Roman" w:eastAsia="Times New Roman" w:cs="Times New Roman"/>
        </w:rPr>
        <w:t xml:space="preserve"> </w:t>
      </w:r>
      <w:r>
        <w:rPr>
          <w:rFonts w:ascii="Malgun Gothic" w:hAnsi="Malgun Gothic" w:eastAsia="Malgun Gothic" w:cs="Malgun Gothic"/>
        </w:rPr>
        <w:t>여기고</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길로</w:t>
      </w:r>
      <w:r>
        <w:rPr>
          <w:rFonts w:ascii="Times New Roman" w:hAnsi="Times New Roman" w:eastAsia="Times New Roman" w:cs="Times New Roman"/>
        </w:rPr>
        <w:t xml:space="preserve"> </w:t>
      </w:r>
      <w:r>
        <w:rPr>
          <w:rFonts w:ascii="Malgun Gothic" w:hAnsi="Malgun Gothic" w:eastAsia="Malgun Gothic" w:cs="Malgun Gothic"/>
        </w:rPr>
        <w:t>행하지</w:t>
      </w:r>
      <w:r>
        <w:rPr>
          <w:rFonts w:ascii="Times New Roman" w:hAnsi="Times New Roman" w:eastAsia="Times New Roman" w:cs="Times New Roman"/>
        </w:rPr>
        <w:t xml:space="preserve"> </w:t>
      </w:r>
      <w:r>
        <w:rPr>
          <w:rFonts w:ascii="Malgun Gothic" w:hAnsi="Malgun Gothic" w:eastAsia="Malgun Gothic" w:cs="Malgun Gothic"/>
        </w:rPr>
        <w:t>아니하며</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오락을</w:t>
      </w:r>
      <w:r>
        <w:rPr>
          <w:rFonts w:ascii="Times New Roman" w:hAnsi="Times New Roman" w:eastAsia="Times New Roman" w:cs="Times New Roman"/>
        </w:rPr>
        <w:t xml:space="preserve"> </w:t>
      </w:r>
      <w:r>
        <w:rPr>
          <w:rFonts w:ascii="Malgun Gothic" w:hAnsi="Malgun Gothic" w:eastAsia="Malgun Gothic" w:cs="Malgun Gothic"/>
        </w:rPr>
        <w:t>구하지</w:t>
      </w:r>
      <w:r>
        <w:rPr>
          <w:rFonts w:ascii="Times New Roman" w:hAnsi="Times New Roman" w:eastAsia="Times New Roman" w:cs="Times New Roman"/>
        </w:rPr>
        <w:t xml:space="preserve"> </w:t>
      </w:r>
      <w:r>
        <w:rPr>
          <w:rFonts w:ascii="Malgun Gothic" w:hAnsi="Malgun Gothic" w:eastAsia="Malgun Gothic" w:cs="Malgun Gothic"/>
        </w:rPr>
        <w:t>아니하며</w:t>
      </w:r>
      <w:r>
        <w:rPr>
          <w:rFonts w:ascii="Times New Roman" w:hAnsi="Times New Roman" w:eastAsia="Times New Roman" w:cs="Times New Roman"/>
        </w:rPr>
        <w:t xml:space="preserve"> </w:t>
      </w:r>
      <w:r>
        <w:rPr>
          <w:rFonts w:ascii="Malgun Gothic" w:hAnsi="Malgun Gothic" w:eastAsia="Malgun Gothic" w:cs="Malgun Gothic"/>
        </w:rPr>
        <w:t>사사로운</w:t>
      </w:r>
      <w:r>
        <w:rPr>
          <w:rFonts w:ascii="Times New Roman" w:hAnsi="Times New Roman" w:eastAsia="Times New Roman" w:cs="Times New Roman"/>
        </w:rPr>
        <w:t xml:space="preserve"> </w:t>
      </w:r>
      <w:r>
        <w:rPr>
          <w:rFonts w:ascii="Malgun Gothic" w:hAnsi="Malgun Gothic" w:eastAsia="Malgun Gothic" w:cs="Malgun Gothic"/>
        </w:rPr>
        <w:t>말을</w:t>
      </w:r>
      <w:r>
        <w:rPr>
          <w:rFonts w:ascii="Times New Roman" w:hAnsi="Times New Roman" w:eastAsia="Times New Roman" w:cs="Times New Roman"/>
        </w:rPr>
        <w:t xml:space="preserve"> </w:t>
      </w:r>
      <w:r>
        <w:rPr>
          <w:rFonts w:ascii="Malgun Gothic" w:hAnsi="Malgun Gothic" w:eastAsia="Malgun Gothic" w:cs="Malgun Gothic"/>
        </w:rPr>
        <w:t>하지</w:t>
      </w:r>
      <w:r>
        <w:rPr>
          <w:rFonts w:ascii="Times New Roman" w:hAnsi="Times New Roman" w:eastAsia="Times New Roman" w:cs="Times New Roman"/>
        </w:rPr>
        <w:t xml:space="preserve"> </w:t>
      </w:r>
      <w:r>
        <w:rPr>
          <w:rFonts w:ascii="Malgun Gothic" w:hAnsi="Malgun Gothic" w:eastAsia="Malgun Gothic" w:cs="Malgun Gothic"/>
        </w:rPr>
        <w:t>아니하면</w:t>
      </w:r>
      <w:r>
        <w:rPr>
          <w:rFonts w:ascii="Times New Roman" w:hAnsi="Times New Roman" w:eastAsia="Times New Roman" w:cs="Times New Roman"/>
        </w:rPr>
        <w:t xml:space="preserve">, </w:t>
      </w:r>
      <w:r>
        <w:rPr>
          <w:rFonts w:ascii="Malgun Gothic" w:hAnsi="Malgun Gothic" w:eastAsia="Malgun Gothic" w:cs="Malgun Gothic"/>
        </w:rPr>
        <w:t>네가</w:t>
      </w:r>
      <w:r>
        <w:rPr>
          <w:rFonts w:ascii="Times New Roman" w:hAnsi="Times New Roman" w:eastAsia="Times New Roman" w:cs="Times New Roman"/>
        </w:rPr>
        <w:t xml:space="preserve"> </w:t>
      </w:r>
      <w:r>
        <w:rPr>
          <w:rFonts w:ascii="Malgun Gothic" w:hAnsi="Malgun Gothic" w:eastAsia="Malgun Gothic" w:cs="Malgun Gothic"/>
        </w:rPr>
        <w:t>여호와</w:t>
      </w:r>
      <w:r>
        <w:rPr>
          <w:rFonts w:ascii="Times New Roman" w:hAnsi="Times New Roman" w:eastAsia="Times New Roman" w:cs="Times New Roman"/>
        </w:rPr>
        <w:t xml:space="preserve"> </w:t>
      </w:r>
      <w:r>
        <w:rPr>
          <w:rFonts w:ascii="Malgun Gothic" w:hAnsi="Malgun Gothic" w:eastAsia="Malgun Gothic" w:cs="Malgun Gothic"/>
        </w:rPr>
        <w:t>안에서</w:t>
      </w:r>
      <w:r>
        <w:rPr>
          <w:rFonts w:ascii="Times New Roman" w:hAnsi="Times New Roman" w:eastAsia="Times New Roman" w:cs="Times New Roman"/>
        </w:rPr>
        <w:t xml:space="preserve"> </w:t>
      </w:r>
      <w:r>
        <w:rPr>
          <w:rFonts w:ascii="Malgun Gothic" w:hAnsi="Malgun Gothic" w:eastAsia="Malgun Gothic" w:cs="Malgun Gothic"/>
        </w:rPr>
        <w:t>즐거움을</w:t>
      </w:r>
      <w:r>
        <w:rPr>
          <w:rFonts w:ascii="Times New Roman" w:hAnsi="Times New Roman" w:eastAsia="Times New Roman" w:cs="Times New Roman"/>
        </w:rPr>
        <w:t xml:space="preserve"> </w:t>
      </w:r>
      <w:r>
        <w:rPr>
          <w:rFonts w:ascii="Malgun Gothic" w:hAnsi="Malgun Gothic" w:eastAsia="Malgun Gothic" w:cs="Malgun Gothic"/>
        </w:rPr>
        <w:t>얻을</w:t>
      </w:r>
      <w:r>
        <w:rPr>
          <w:rFonts w:ascii="Times New Roman" w:hAnsi="Times New Roman" w:eastAsia="Times New Roman" w:cs="Times New Roman"/>
        </w:rPr>
        <w:t xml:space="preserve"> </w:t>
      </w:r>
      <w:r>
        <w:rPr>
          <w:rFonts w:ascii="Malgun Gothic" w:hAnsi="Malgun Gothic" w:eastAsia="Malgun Gothic" w:cs="Malgun Gothic"/>
        </w:rPr>
        <w:t>것이라</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너를</w:t>
      </w:r>
      <w:r>
        <w:rPr>
          <w:rFonts w:ascii="Times New Roman" w:hAnsi="Times New Roman" w:eastAsia="Times New Roman" w:cs="Times New Roman"/>
        </w:rPr>
        <w:t xml:space="preserve"> </w:t>
      </w:r>
      <w:r>
        <w:rPr>
          <w:rFonts w:ascii="Malgun Gothic" w:hAnsi="Malgun Gothic" w:eastAsia="Malgun Gothic" w:cs="Malgun Gothic"/>
        </w:rPr>
        <w:t>땅의</w:t>
      </w:r>
      <w:r>
        <w:rPr>
          <w:rFonts w:ascii="Times New Roman" w:hAnsi="Times New Roman" w:eastAsia="Times New Roman" w:cs="Times New Roman"/>
        </w:rPr>
        <w:t xml:space="preserve"> </w:t>
      </w:r>
      <w:r>
        <w:rPr>
          <w:rFonts w:ascii="Malgun Gothic" w:hAnsi="Malgun Gothic" w:eastAsia="Malgun Gothic" w:cs="Malgun Gothic"/>
        </w:rPr>
        <w:t>높은</w:t>
      </w:r>
      <w:r>
        <w:rPr>
          <w:rFonts w:ascii="Times New Roman" w:hAnsi="Times New Roman" w:eastAsia="Times New Roman" w:cs="Times New Roman"/>
        </w:rPr>
        <w:t xml:space="preserve"> </w:t>
      </w:r>
      <w:r>
        <w:rPr>
          <w:rFonts w:ascii="Malgun Gothic" w:hAnsi="Malgun Gothic" w:eastAsia="Malgun Gothic" w:cs="Malgun Gothic"/>
        </w:rPr>
        <w:t>곳에</w:t>
      </w:r>
      <w:r>
        <w:rPr>
          <w:rFonts w:ascii="Times New Roman" w:hAnsi="Times New Roman" w:eastAsia="Times New Roman" w:cs="Times New Roman"/>
        </w:rPr>
        <w:t xml:space="preserve"> </w:t>
      </w:r>
      <w:r>
        <w:rPr>
          <w:rFonts w:ascii="Malgun Gothic" w:hAnsi="Malgun Gothic" w:eastAsia="Malgun Gothic" w:cs="Malgun Gothic"/>
        </w:rPr>
        <w:t>올리고</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조상</w:t>
      </w:r>
      <w:r>
        <w:rPr>
          <w:rFonts w:ascii="Times New Roman" w:hAnsi="Times New Roman" w:eastAsia="Times New Roman" w:cs="Times New Roman"/>
        </w:rPr>
        <w:t xml:space="preserve"> </w:t>
      </w:r>
      <w:r>
        <w:rPr>
          <w:rFonts w:ascii="Malgun Gothic" w:hAnsi="Malgun Gothic" w:eastAsia="Malgun Gothic" w:cs="Malgun Gothic"/>
        </w:rPr>
        <w:t>야곱의</w:t>
      </w:r>
      <w:r>
        <w:rPr>
          <w:rFonts w:ascii="Times New Roman" w:hAnsi="Times New Roman" w:eastAsia="Times New Roman" w:cs="Times New Roman"/>
        </w:rPr>
        <w:t xml:space="preserve"> </w:t>
      </w:r>
      <w:r>
        <w:rPr>
          <w:rFonts w:ascii="Malgun Gothic" w:hAnsi="Malgun Gothic" w:eastAsia="Malgun Gothic" w:cs="Malgun Gothic"/>
        </w:rPr>
        <w:t>유업으로</w:t>
      </w:r>
      <w:r>
        <w:rPr>
          <w:rFonts w:ascii="Times New Roman" w:hAnsi="Times New Roman" w:eastAsia="Times New Roman" w:cs="Times New Roman"/>
        </w:rPr>
        <w:t xml:space="preserve"> </w:t>
      </w:r>
      <w:r>
        <w:rPr>
          <w:rFonts w:ascii="Malgun Gothic" w:hAnsi="Malgun Gothic" w:eastAsia="Malgun Gothic" w:cs="Malgun Gothic"/>
        </w:rPr>
        <w:t>기르리라</w:t>
      </w:r>
      <w:r>
        <w:rPr>
          <w:rFonts w:ascii="Times New Roman" w:hAnsi="Times New Roman" w:eastAsia="Times New Roman" w:cs="Times New Roman"/>
        </w:rPr>
        <w:t xml:space="preserve">. </w:t>
      </w:r>
      <w:r>
        <w:rPr>
          <w:rFonts w:ascii="Malgun Gothic" w:hAnsi="Malgun Gothic" w:eastAsia="Malgun Gothic" w:cs="Malgun Gothic"/>
        </w:rPr>
        <w:t>여호와의</w:t>
      </w:r>
      <w:r>
        <w:rPr>
          <w:rFonts w:ascii="Times New Roman" w:hAnsi="Times New Roman" w:eastAsia="Times New Roman" w:cs="Times New Roman"/>
        </w:rPr>
        <w:t xml:space="preserve"> </w:t>
      </w:r>
      <w:r>
        <w:rPr>
          <w:rFonts w:ascii="Malgun Gothic" w:hAnsi="Malgun Gothic" w:eastAsia="Malgun Gothic" w:cs="Malgun Gothic"/>
        </w:rPr>
        <w:t>입의</w:t>
      </w:r>
      <w:r>
        <w:rPr>
          <w:rFonts w:ascii="Times New Roman" w:hAnsi="Times New Roman" w:eastAsia="Times New Roman" w:cs="Times New Roman"/>
        </w:rPr>
        <w:t xml:space="preserve"> </w:t>
      </w:r>
      <w:r>
        <w:rPr>
          <w:rFonts w:ascii="Malgun Gothic" w:hAnsi="Malgun Gothic" w:eastAsia="Malgun Gothic" w:cs="Malgun Gothic"/>
        </w:rPr>
        <w:t>말씀이니라</w:t>
      </w:r>
      <w:r>
        <w:rPr>
          <w:rFonts w:ascii="Times New Roman" w:hAnsi="Times New Roman" w:eastAsia="Times New Roman" w:cs="Times New Roman"/>
        </w:rPr>
        <w:t xml:space="preserve">.’ </w:t>
      </w:r>
      <w:r>
        <w:rPr>
          <w:rFonts w:ascii="Malgun Gothic" w:hAnsi="Malgun Gothic" w:eastAsia="Malgun Gothic" w:cs="Malgun Gothic"/>
        </w:rPr>
        <w:t>이사야</w:t>
      </w:r>
      <w:r>
        <w:rPr>
          <w:rFonts w:ascii="Times New Roman" w:hAnsi="Times New Roman" w:eastAsia="Times New Roman" w:cs="Times New Roman"/>
        </w:rPr>
        <w:t xml:space="preserve"> 58:13, 14.” </w:t>
      </w:r>
      <w:r>
        <w:rPr>
          <w:rFonts w:ascii="Malgun Gothic" w:hAnsi="Malgun Gothic" w:eastAsia="Malgun Gothic" w:cs="Malgun Gothic"/>
        </w:rPr>
        <w:t>선지자와</w:t>
      </w:r>
      <w:r>
        <w:rPr>
          <w:rFonts w:ascii="Times New Roman" w:hAnsi="Times New Roman" w:eastAsia="Times New Roman" w:cs="Times New Roman"/>
        </w:rPr>
        <w:t xml:space="preserve"> </w:t>
      </w:r>
      <w:r>
        <w:rPr>
          <w:rFonts w:ascii="Malgun Gothic" w:hAnsi="Malgun Gothic" w:eastAsia="Malgun Gothic" w:cs="Malgun Gothic"/>
        </w:rPr>
        <w:t>왕</w:t>
      </w:r>
      <w:r>
        <w:rPr>
          <w:rFonts w:ascii="Times New Roman" w:hAnsi="Times New Roman" w:eastAsia="Times New Roman" w:cs="Times New Roman"/>
        </w:rPr>
        <w:t>, 678.</w:t>
      </w:r>
    </w:p>
    <w:p>
      <w:pPr>
        <w:pStyle w:val="ArticleBody"/>
        <w:jc w:val="left"/>
      </w:pPr>
      <w:r>
        <w:rPr>
          <w:rFonts w:ascii="Times New Roman" w:hAnsi="Times New Roman" w:eastAsia="Times New Roman" w:cs="Times New Roman"/>
        </w:rPr>
        <w:t>Le commencement de la quatrième génération de l’adventisme est marqué par la publication d’un livre, comme le fut le commencement de la troisième génération. La troisième génération commença avec la publication de The Doctrine of Christ, de W. W. Prescott, et cette génération s’acheva avec la publication de Questions on Doctrine. The Doctrine of Christ présenta un évangile délibérément dépourvu du message prophétique millérite. Questions on Doctrine présenta un évangile qui niait l’œuvre de sanctification accomplie par le Christ. The Doctrine of Christ ôta la lumière de la vision (chazon) de l’histoire prophétique, et Questions on Doctrine ôta la lumière de la vision (Mareh) de l’« apparition » du Christ.</w:t>
      </w:r>
    </w:p>
    <w:p>
      <w:pPr>
        <w:pStyle w:val="ArticleBody"/>
        <w:jc w:val="left"/>
      </w:pPr>
      <w:r>
        <w:rPr>
          <w:rFonts w:ascii="Times New Roman" w:hAnsi="Times New Roman" w:eastAsia="Times New Roman" w:cs="Times New Roman"/>
        </w:rPr>
        <w:t>در میان آن دو کتاب، پیامِ دروغینِ بارانِ آخر که به‌وسیلهٔ «زنانی که بر تمّوز می‌گریستند» به تصویر کشیده شده است، شکل گرفت. در همان تاریخ بود که «دروغِ 1931» ترویج شد. آن نسلِ سوم (رجاست) همچنین به‌وسیلهٔ مصالحهٔ کلیسای سومِ پرغامُس نیز به تصویر کشیده شده است. نمادِ مصالحه در کلیسای سوم، کارِ جست‌وجوی اعتباربخشی از نهادهای دنیوی را مشخص می‌سازد؛ نهادهایی که قواعدی برای الهیات و قواعدی برای طب وضع می‌کردند. در نسل سوم بود که مصالحه با حقیقت به انجام رسید؛ امری که شامل وارد کردن و برجسته ساختنِ استفاده از کتاب‌مقدس‌هایی نیز می‌شد که از نسخه‌خطی‌های فاسد ترجمه شده بودند.</w:t>
      </w:r>
    </w:p>
    <w:p>
      <w:pPr>
        <w:pStyle w:val="ArticleBody"/>
        <w:jc w:val="left"/>
      </w:pPr>
      <w:r>
        <w:rPr>
          <w:rFonts w:ascii="Times New Roman" w:hAnsi="Times New Roman" w:eastAsia="Times New Roman" w:cs="Times New Roman"/>
        </w:rPr>
        <w:t>1957-ben a Questions on Doctrine című könyv a evangélium alapvető igazságának feladását jelentette. Ez az igazság pedig az, hogy Jézus azért halt meg, hogy a bűntől mentsen meg bennünket, nem pedig azért, hogy a bűnben mentsen meg. Az a katolikus és hitehagyott protestáns tanítás, mely szerint az ember nem lehet engedelmes Isten Igéjének, Sátán örök érve. Az ember képes, és köteles is engedelmeskedni Isten Igéjének, még ha Sátán azt állítja is, hogy „bizony nem haltok meg”. Az a bukott, hitehagyott protestáns nézet, hogy az emberek nem képesek legyőzni a bűnt, és ezért nem lehetnek engedelmesek Isten törvényének addig, míg Jézus második eljövetelekor varázsütésszerűen engedelmes robotokká nem változtatja őket, beépült a Questions on Doctrine tanításaiba.</w:t>
      </w:r>
    </w:p>
    <w:p>
      <w:pPr>
        <w:pStyle w:val="ArticleBody"/>
        <w:jc w:val="left"/>
      </w:pPr>
      <w:r>
        <w:rPr>
          <w:rFonts w:ascii="Times New Roman" w:hAnsi="Times New Roman" w:eastAsia="Times New Roman" w:cs="Times New Roman"/>
        </w:rPr>
        <w:t>En 1957, se inició la cuarta generación del adventismo laodicense, y su muro no recubierto (la ley) había quedado establecido, proporcionando así la lógica que permitirá a los veinticinco ancianos postrarse ante el sol al concluir el tiempo del sellamiento de los ciento cuarenta y cuatro mil. Ese muro no recubierto, que es la creencia de que es imposible guardar la ley de Dios, es barrido cuando se quita el “muro” de separación entre la Iglesia y el Estado, en la ley dominical que pronto vendrá. La ley dominical son las lluvias torrenciales o, como lo expresa Isaías, el azote desbordante; y ese diluvio comienza con la ley dominical que pronto vendrá en los Estados Unidos.</w:t>
      </w:r>
    </w:p>
    <w:p>
      <w:pPr>
        <w:pStyle w:val="ArticleBody"/>
        <w:jc w:val="left"/>
      </w:pPr>
      <w:r>
        <w:rPr>
          <w:rFonts w:ascii="Ebrima" w:hAnsi="Ebrima" w:eastAsia="Ebrima" w:cs="Ebrima"/>
        </w:rPr>
        <w:t>በዩናይትድ</w:t>
      </w:r>
      <w:r>
        <w:rPr>
          <w:rFonts w:ascii="Times New Roman" w:hAnsi="Times New Roman" w:eastAsia="Times New Roman" w:cs="Times New Roman"/>
        </w:rPr>
        <w:t xml:space="preserve"> </w:t>
      </w:r>
      <w:r>
        <w:rPr>
          <w:rFonts w:ascii="Ebrima" w:hAnsi="Ebrima" w:eastAsia="Ebrima" w:cs="Ebrima"/>
        </w:rPr>
        <w:t>ስቴትስ</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የእሁድ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ጠላት</w:t>
      </w:r>
      <w:r>
        <w:rPr>
          <w:rFonts w:ascii="Times New Roman" w:hAnsi="Times New Roman" w:eastAsia="Times New Roman" w:cs="Times New Roman"/>
        </w:rPr>
        <w:t xml:space="preserve"> (</w:t>
      </w:r>
      <w:r>
        <w:rPr>
          <w:rFonts w:ascii="Ebrima" w:hAnsi="Ebrima" w:eastAsia="Ebrima" w:cs="Ebrima"/>
        </w:rPr>
        <w:t>ጳጳሱ</w:t>
      </w:r>
      <w:r>
        <w:rPr>
          <w:rFonts w:ascii="Times New Roman" w:hAnsi="Times New Roman" w:eastAsia="Times New Roman" w:cs="Times New Roman"/>
        </w:rPr>
        <w:t>)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ጎርፍ</w:t>
      </w:r>
      <w:r>
        <w:rPr>
          <w:rFonts w:ascii="Times New Roman" w:hAnsi="Times New Roman" w:eastAsia="Times New Roman" w:cs="Times New Roman"/>
        </w:rPr>
        <w:t>” (“</w:t>
      </w:r>
      <w:r>
        <w:rPr>
          <w:rFonts w:ascii="Ebrima" w:hAnsi="Ebrima" w:eastAsia="Ebrima" w:cs="Ebrima"/>
        </w:rPr>
        <w:t>የሚያጥለቀልቅ</w:t>
      </w:r>
      <w:r>
        <w:rPr>
          <w:rFonts w:ascii="Times New Roman" w:hAnsi="Times New Roman" w:eastAsia="Times New Roman" w:cs="Times New Roman"/>
        </w:rPr>
        <w:t xml:space="preserve"> </w:t>
      </w:r>
      <w:r>
        <w:rPr>
          <w:rFonts w:ascii="Ebrima" w:hAnsi="Ebrima" w:eastAsia="Ebrima" w:cs="Ebrima"/>
        </w:rPr>
        <w:t>መቅሰፍት</w:t>
      </w:r>
      <w:r>
        <w:rPr>
          <w:rFonts w:ascii="Times New Roman" w:hAnsi="Times New Roman" w:eastAsia="Times New Roman" w:cs="Times New Roman"/>
        </w:rPr>
        <w:t xml:space="preserve">”) </w:t>
      </w:r>
      <w:r>
        <w:rPr>
          <w:rFonts w:ascii="Ebrima" w:hAnsi="Ebrima" w:eastAsia="Ebrima" w:cs="Ebrima"/>
        </w:rPr>
        <w:t>ሆኖ</w:t>
      </w:r>
      <w:r>
        <w:rPr>
          <w:rFonts w:ascii="Times New Roman" w:hAnsi="Times New Roman" w:eastAsia="Times New Roman" w:cs="Times New Roman"/>
        </w:rPr>
        <w:t xml:space="preserve"> </w:t>
      </w:r>
      <w:r>
        <w:rPr>
          <w:rFonts w:ascii="Ebrima" w:hAnsi="Ebrima" w:eastAsia="Ebrima" w:cs="Ebrima"/>
        </w:rPr>
        <w:t>ይመጣል፤</w:t>
      </w:r>
      <w:r>
        <w:rPr>
          <w:rFonts w:ascii="Times New Roman" w:hAnsi="Times New Roman" w:eastAsia="Times New Roman" w:cs="Times New Roman"/>
        </w:rPr>
        <w:t xml:space="preserve"> </w:t>
      </w:r>
      <w:r>
        <w:rPr>
          <w:rFonts w:ascii="Ebrima" w:hAnsi="Ebrima" w:eastAsia="Ebrima" w:cs="Ebrima"/>
        </w:rPr>
        <w:t>በዚያን</w:t>
      </w:r>
      <w:r>
        <w:rPr>
          <w:rFonts w:ascii="Times New Roman" w:hAnsi="Times New Roman" w:eastAsia="Times New Roman" w:cs="Times New Roman"/>
        </w:rPr>
        <w:t xml:space="preserve"> </w:t>
      </w:r>
      <w:r>
        <w:rPr>
          <w:rFonts w:ascii="Ebrima" w:hAnsi="Ebrima" w:eastAsia="Ebrima" w:cs="Ebrima"/>
        </w:rPr>
        <w:t>ጊዜም</w:t>
      </w:r>
      <w:r>
        <w:rPr>
          <w:rFonts w:ascii="Times New Roman" w:hAnsi="Times New Roman" w:eastAsia="Times New Roman" w:cs="Times New Roman"/>
        </w:rPr>
        <w:t xml:space="preserve"> “</w:t>
      </w:r>
      <w:r>
        <w:rPr>
          <w:rFonts w:ascii="Ebrima" w:hAnsi="Ebrima" w:eastAsia="Ebrima" w:cs="Ebrima"/>
        </w:rPr>
        <w:t>ሰንደቁ</w:t>
      </w:r>
      <w:r>
        <w:rPr>
          <w:rFonts w:ascii="Times New Roman" w:hAnsi="Times New Roman" w:eastAsia="Times New Roman" w:cs="Times New Roman"/>
        </w:rPr>
        <w:t xml:space="preserve">” </w:t>
      </w:r>
      <w:r>
        <w:rPr>
          <w:rFonts w:ascii="Ebrima" w:hAnsi="Ebrima" w:eastAsia="Ebrima" w:cs="Ebrima"/>
        </w:rPr>
        <w:t>በእርሱ</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ይነሣል።</w:t>
      </w:r>
      <w:r>
        <w:rPr>
          <w:rFonts w:ascii="Times New Roman" w:hAnsi="Times New Roman" w:eastAsia="Times New Roman" w:cs="Times New Roman"/>
        </w:rPr>
        <w:t xml:space="preserve"> </w:t>
      </w:r>
      <w:r>
        <w:rPr>
          <w:rFonts w:ascii="Ebrima" w:hAnsi="Ebrima" w:eastAsia="Ebrima" w:cs="Ebrima"/>
        </w:rPr>
        <w:t>በዚያን</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ላዎዴቅያዊ</w:t>
      </w:r>
      <w:r>
        <w:rPr>
          <w:rFonts w:ascii="Times New Roman" w:hAnsi="Times New Roman" w:eastAsia="Times New Roman" w:cs="Times New Roman"/>
        </w:rPr>
        <w:t xml:space="preserve"> </w:t>
      </w:r>
      <w:r>
        <w:rPr>
          <w:rFonts w:ascii="Ebrima" w:hAnsi="Ebrima" w:eastAsia="Ebrima" w:cs="Ebrima"/>
        </w:rPr>
        <w:t>አድቬንቲዝም</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የዕለቱ</w:t>
      </w:r>
      <w:r>
        <w:rPr>
          <w:rFonts w:ascii="Times New Roman" w:hAnsi="Times New Roman" w:eastAsia="Times New Roman" w:cs="Times New Roman"/>
        </w:rPr>
        <w:t xml:space="preserve">” </w:t>
      </w:r>
      <w:r>
        <w:rPr>
          <w:rFonts w:ascii="Ebrima" w:hAnsi="Ebrima" w:eastAsia="Ebrima" w:cs="Ebrima"/>
        </w:rPr>
        <w:t>የሐሰት</w:t>
      </w:r>
      <w:r>
        <w:rPr>
          <w:rFonts w:ascii="Times New Roman" w:hAnsi="Times New Roman" w:eastAsia="Times New Roman" w:cs="Times New Roman"/>
        </w:rPr>
        <w:t xml:space="preserve"> </w:t>
      </w:r>
      <w:r>
        <w:rPr>
          <w:rFonts w:ascii="Ebrima" w:hAnsi="Ebrima" w:eastAsia="Ebrima" w:cs="Ebrima"/>
        </w:rPr>
        <w:t>ተግባራዊ</w:t>
      </w:r>
      <w:r>
        <w:rPr>
          <w:rFonts w:ascii="Times New Roman" w:hAnsi="Times New Roman" w:eastAsia="Times New Roman" w:cs="Times New Roman"/>
        </w:rPr>
        <w:t xml:space="preserve"> </w:t>
      </w:r>
      <w:r>
        <w:rPr>
          <w:rFonts w:ascii="Ebrima" w:hAnsi="Ebrima" w:eastAsia="Ebrima" w:cs="Ebrima"/>
        </w:rPr>
        <w:t>አፈጻጸም</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የገነባው</w:t>
      </w:r>
      <w:r>
        <w:rPr>
          <w:rFonts w:ascii="Times New Roman" w:hAnsi="Times New Roman" w:eastAsia="Times New Roman" w:cs="Times New Roman"/>
        </w:rPr>
        <w:t xml:space="preserve"> “</w:t>
      </w:r>
      <w:r>
        <w:rPr>
          <w:rFonts w:ascii="Ebrima" w:hAnsi="Ebrima" w:eastAsia="Ebrima" w:cs="Ebrima"/>
        </w:rPr>
        <w:t>ያልተጠናከረ</w:t>
      </w:r>
      <w:r>
        <w:rPr>
          <w:rFonts w:ascii="Times New Roman" w:hAnsi="Times New Roman" w:eastAsia="Times New Roman" w:cs="Times New Roman"/>
        </w:rPr>
        <w:t xml:space="preserve"> </w:t>
      </w:r>
      <w:r>
        <w:rPr>
          <w:rFonts w:ascii="Ebrima" w:hAnsi="Ebrima" w:eastAsia="Ebrima" w:cs="Ebrima"/>
        </w:rPr>
        <w:t>ቅጥር</w:t>
      </w:r>
      <w:r>
        <w:rPr>
          <w:rFonts w:ascii="Times New Roman" w:hAnsi="Times New Roman" w:eastAsia="Times New Roman" w:cs="Times New Roman"/>
        </w:rPr>
        <w:t xml:space="preserve">” </w:t>
      </w:r>
      <w:r>
        <w:rPr>
          <w:rFonts w:ascii="Ebrima" w:hAnsi="Ebrima" w:eastAsia="Ebrima" w:cs="Ebrima"/>
        </w:rPr>
        <w:t>ይጠረገዋል።</w:t>
      </w:r>
    </w:p>
    <w:p>
      <w:pPr>
        <w:pStyle w:val="ArticleScripture"/>
        <w:jc w:val="left"/>
      </w:pPr>
      <w:r>
        <w:rPr>
          <w:rFonts w:ascii="Times New Roman" w:hAnsi="Times New Roman" w:eastAsia="Times New Roman" w:cs="Times New Roman"/>
        </w:rPr>
        <w:t>Selon leurs œuvres, ainsi il leur rendra: la fureur à ses adversaires, la rétribution à ses ennemis; aux îles il rendra la rétribution. Alors on craindra le nom de l’Éternel depuis l’occident, et sa gloire depuis le lever du soleil. Quand l’ennemi viendra comme un fleuve, l’Esprit de l’Éternel lèvera une bannière contre lui. Et le Rédempteur viendra à Sion, et vers ceux de Jacob qui se détournent de la transgression, dit l’Éternel. Quant à moi, voici mon alliance avec eux, dit l’Éternel: Mon Esprit qui repose sur toi, et mes paroles que j’ai mises dans ta bouche, ne se retireront point de ta bouche, ni de la bouche de ta postérité, ni de la bouche de la postérité de ta postérité, dit l’Éternel, dès maintenant et à toujours. Lève-toi, sois éclairée; car ta lumière arrive, et la gloire de l’Éternel se lève sur toi. Car voici, les ténèbres couvrent la terre, et une obscurité profonde les peuples; mais l’Éternel se lèvera sur toi, et sa gloire paraîtra sur toi. Et les nations marcheront à ta lumière, et les rois à la clarté de ton lever. Ésaïe 59:18–60:3.</w:t>
      </w:r>
    </w:p>
    <w:p>
      <w:pPr>
        <w:pStyle w:val="ArticleBody"/>
        <w:jc w:val="left"/>
      </w:pPr>
      <w:r>
        <w:rPr>
          <w:rFonts w:ascii="Times New Roman" w:hAnsi="Times New Roman" w:eastAsia="Times New Roman" w:cs="Times New Roman"/>
        </w:rPr>
        <w:t>Bani ya mataifa huja kwenye nuru wakati utukufu wa Mungu uko juu ya watu Wake, na jambo hili hutokea adui anapoingia kama gharika. Adui huyo anapoingia, Mungu humwinulia bendera dhidi yake. Utukufu wa Bwana ulio juu ya watu hao ambao mataifa huuitikia ni tabia Yake, na tabia Yake haitendi dhambi. Ni ujumbe wa amani na usalama wa uongo unaofundisha kwamba wanaume na wanawake hawawezi kuushinda dhambi. Ujumbe huo ni ujumbe wa uongo wa mvua ya masika, unaotangazwa wakati wa ujumbe wa kweli wa mvua ya masika, uliowasili mnamo Septemba 11, 2001. Ujumbe huo wa uongo ni ujumbe wa uongo kuhusu sheria ya Mungu, ambayo ndiyo “ukuta.” Fundisho hilo la uongo linawakilishwa katika kitabu Questions on Doctrine, kilichoashiria kuwasili kwa kizazi cha nne na cha mwisho cha Uadventista wa Laodikia.</w:t>
      </w:r>
    </w:p>
    <w:p>
      <w:pPr>
        <w:pStyle w:val="ArticleBody"/>
        <w:jc w:val="left"/>
      </w:pPr>
      <w:r>
        <w:rPr>
          <w:rFonts w:ascii="Times New Roman" w:hAnsi="Times New Roman" w:eastAsia="Times New Roman" w:cs="Times New Roman"/>
        </w:rPr>
        <w:t>Noong Setyembre 11, 2001, ang apat na paghihimagsik ng Laodiceanong Adventismo ay dumating upang subukin ang huling salinlahing iyon sa pamamagitan ng mga kasalanan ng kanilang mga ninuno. Sa petsang iyon ay pinatnubayan ng Diyos ang Kaniyang bayan na magbalik sa mga dating landas ni Jeremias, upang kanilang maunawaan at tanggapin ang saligang mensahe na kinakatawan bilang mga hiyas ni Miller. Kung kanilang gagawin iyon, kanilang masusumpungan ang huling ulan, na tinawag ni Jeremias na “kapahingahan.” Ang panawagang magbalik sa mga dating landas ay isang pag-uulit ng pagsubok na nagbunga ng paghihimagsik ng 1863.</w:t>
      </w:r>
    </w:p>
    <w:p>
      <w:pPr>
        <w:pStyle w:val="ArticleBody"/>
        <w:jc w:val="left"/>
      </w:pPr>
      <w:r>
        <w:rPr>
          <w:rFonts w:ascii="Nirmala UI" w:hAnsi="Nirmala UI" w:eastAsia="Nirmala UI" w:cs="Nirmala UI"/>
        </w:rPr>
        <w:t>फफ</w:t>
      </w:r>
      <w:r>
        <w:rPr>
          <w:rFonts w:ascii="Times New Roman" w:hAnsi="Times New Roman" w:eastAsia="Times New Roman" w:cs="Times New Roman"/>
        </w:rPr>
        <w:t xml:space="preserve"> 11 </w:t>
      </w:r>
      <w:r>
        <w:rPr>
          <w:rFonts w:ascii="Nirmala UI" w:hAnsi="Nirmala UI" w:eastAsia="Nirmala UI" w:cs="Nirmala UI"/>
        </w:rPr>
        <w:t>सितंबर</w:t>
      </w:r>
      <w:r>
        <w:rPr>
          <w:rFonts w:ascii="Times New Roman" w:hAnsi="Times New Roman" w:eastAsia="Times New Roman" w:cs="Times New Roman"/>
        </w:rPr>
        <w:t xml:space="preserve"> 2001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प्रचण्ड</w:t>
      </w:r>
      <w:r>
        <w:rPr>
          <w:rFonts w:ascii="Times New Roman" w:hAnsi="Times New Roman" w:eastAsia="Times New Roman" w:cs="Times New Roman"/>
        </w:rPr>
        <w:t xml:space="preserve"> </w:t>
      </w:r>
      <w:r>
        <w:rPr>
          <w:rFonts w:ascii="Nirmala UI" w:hAnsi="Nirmala UI" w:eastAsia="Nirmala UI" w:cs="Nirmala UI"/>
        </w:rPr>
        <w:t>पवन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गीत</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चौदह</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पंद्रह</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गीत</w:t>
      </w:r>
      <w:r>
        <w:rPr>
          <w:rFonts w:ascii="Times New Roman" w:hAnsi="Times New Roman" w:eastAsia="Times New Roman" w:cs="Times New Roman"/>
        </w:rPr>
        <w:t xml:space="preserve"> </w:t>
      </w:r>
      <w:r>
        <w:rPr>
          <w:rFonts w:ascii="Nirmala UI" w:hAnsi="Nirmala UI" w:eastAsia="Nirmala UI" w:cs="Nirmala UI"/>
        </w:rPr>
        <w:t>गाते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गीत</w:t>
      </w:r>
      <w:r>
        <w:rPr>
          <w:rFonts w:ascii="Times New Roman" w:hAnsi="Times New Roman" w:eastAsia="Times New Roman" w:cs="Times New Roman"/>
        </w:rPr>
        <w:t xml:space="preserve"> </w:t>
      </w:r>
      <w:r>
        <w:rPr>
          <w:rFonts w:ascii="Nirmala UI" w:hAnsi="Nirmala UI" w:eastAsia="Nirmala UI" w:cs="Nirmala UI"/>
        </w:rPr>
        <w:t>लौदीकिया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पूर्वकाल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चुने</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उपेक्षित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स्त्रियों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अभिप्रेत</w:t>
      </w:r>
      <w:r>
        <w:rPr>
          <w:rFonts w:ascii="Times New Roman" w:hAnsi="Times New Roman" w:eastAsia="Times New Roman" w:cs="Times New Roman"/>
        </w:rPr>
        <w:t xml:space="preserve"> </w:t>
      </w:r>
      <w:r>
        <w:rPr>
          <w:rFonts w:ascii="Nirmala UI" w:hAnsi="Nirmala UI" w:eastAsia="Nirmala UI" w:cs="Nirmala UI"/>
        </w:rPr>
        <w:t>फलों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लौदीकिया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1888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जोन्स</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वैगनर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था।</w:t>
      </w:r>
    </w:p>
    <w:p>
      <w:pPr>
        <w:pStyle w:val="ArticleBody"/>
        <w:jc w:val="left"/>
      </w:pPr>
      <w:r>
        <w:rPr>
          <w:rFonts w:ascii="Times New Roman" w:hAnsi="Times New Roman" w:eastAsia="Times New Roman" w:cs="Times New Roman"/>
        </w:rPr>
        <w:t>Musi wa 11 Khepfenya 2001, mvula ya mwisho ilianza, na katika mabishano ya Habakuki sura ya pili inatambua kundi lililowasilisha ujumbe wa yale mbao mawili, kwa maana walikuwa wamerudi katika mapito ya kale ya Yeremia na walikuwa wakipokea “raha na kuburudishwa,” ambavyo Isaya anatambulisha kuwa huletwa juu ya wale ambao mbinu yao ni “mstari juu ya mstari.” Mabishano waliyokuwa wanashiriki yalikuwa yakipingana na ujumbe wa uongo wa mvula ya mwisho, unaowakilishwa na “wanawake wakimlilia Tamuzi,” ambao uliwatia moyo watu wa Laodikia waliolala kwa ujumbe wa amani na salama.</w:t>
      </w:r>
    </w:p>
    <w:p>
      <w:pPr>
        <w:pStyle w:val="ArticleBody"/>
        <w:jc w:val="left"/>
      </w:pPr>
      <w:r>
        <w:rPr>
          <w:rFonts w:ascii="Times New Roman" w:hAnsi="Times New Roman" w:eastAsia="Times New Roman" w:cs="Times New Roman"/>
        </w:rPr>
        <w:t>Ujumbe wa amani na usalama unadai kwamba haiwezekani kwa wanaume na wanawake kutotenda dhambi, na kwa hiyo Mungu anaweza na atawahesabia haki tu “katika” dhambi zao. Watu hao wenye dharau wanadai kwamba ujumbe wao wa amani na usalama ndio ujumbe wa kweli wa kuhesabiwa haki kwa imani ambao Jones na Waggoner waliuwasilisha, lakini unaacha nje ukweli kwamba yule ambaye Mungu humhesabia haki, humtakasa pia; kwa maana Mungu hakufa kuwaokoa watu katika dhambi zao, bali kutoka katika dhambi zao.</w:t>
      </w:r>
    </w:p>
    <w:p>
      <w:pPr>
        <w:pStyle w:val="ArticleBody"/>
        <w:jc w:val="left"/>
      </w:pPr>
      <w:r>
        <w:rPr>
          <w:rFonts w:ascii="Times New Roman" w:hAnsi="Times New Roman" w:eastAsia="Times New Roman" w:cs="Times New Roman"/>
        </w:rPr>
        <w:t>Le 11 septembre 2001 a marqué le commencement de la période du scellement des cent quarante-quatre mille, laquelle s’achève avec une classe recevant le sceau de Dieu, comme le représentent ceux qui soupirent et gémissent à cause des abominations dans l’Église et dans le pays, et une autre classe qui a tourné le dos au temple, où s’accomplit l’œuvre finale du troisième ange, et qui se prosterne devant le soleil. L’histoire des millérites illustre l’histoire du mouvement du troisième ange, et, ce faisant, son point culminant concerne le message de la pluie de l’arrière-saison, et l’expérience qu’il produit chez ceux qui choisissent de manger.</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 Une répugnance à abandonner des opinions préconçues et à accepter cette vérité était à la base d’une grande part de l’opposition manifestée à Minneapolis contre le message du Seigneur transmis par les frères Waggoner et Jones. En suscitant cette opposition, Satan réussit à priver notre peuple, dans une large mesure, de la puissance spéciale du Saint-Esprit que Dieu désirait ardemment lui communiquer. L’ennemi les empêcha d’obtenir cette efficacité qui aurait pu être la leur pour porter la vérité au monde, comme les apôtres la proclamèrent après le jour de la Pentecôte. La lumière qui doit illuminer toute la terre de sa gloire fut repoussée et, par l’action de nos propres frères, a été dans une grande mesure tenue éloignée du monde. » Selected Messages, livre 1,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Nambari Themanini na Nane</dc:title>
  <dc:subject>Kufichua Mvua ya Mwisho ya Uongo: Safari ya Kinabii Tangu Septemba 11, 2001</dc:subject>
  <dc:creator>Jeff Pippenger</dc:creator>
  <cp:keywords/>
  <dc:description>Generated by ArticleDigger from daniel\88_daniel.json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