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Themanini na Tisa</w:t>
      </w:r>
    </w:p>
    <w:p>
      <w:pPr>
        <w:pStyle w:val="ArticleSubtitle"/>
        <w:jc w:val="left"/>
      </w:pPr>
      <w:r>
        <w:rPr>
          <w:rFonts w:ascii="Arial" w:hAnsi="Arial" w:eastAsia="Arial" w:cs="Arial"/>
        </w:rPr>
        <w:t>Furira Inyigisho z’Ikinyoma: Isuzuma ry’Amateka ku byerekeye “Igitambo gihoraho” mu Itorero ry’Abadivantisiti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U n artikolo osemdesát-prvním v této sérii článků o knize Daniel jsme zařadili pasáž z Manuscript Releases, svazek 20, 17–22, kde sestra Whiteová jasně uvádí, že učení, podle něhož „každodenní“ představuje Kristovu svatyni, bylo starším Prescottovi a Daniellsovi dáno „anděly, kteří byli vypuzeni z nebe“. Jejich mylnou představu o „každodenním“ ve skutečnosti výslovně neoznačuje tak, jak jsem to učinil já, avšak historický záznam je více než zřetelný v tom, že právě toto se snažili prosadit jako pravdu. Usilovali o přepsání částí knihy Uriaha Smithe Daniel and the Revelation, které podporují chápání „každodenního“, jež ona v Early Writings, strana sedmdesát čtyři, označuje za správný názor.</w:t>
      </w:r>
    </w:p>
    <w:p>
      <w:pPr>
        <w:pStyle w:val="ArticleBody"/>
        <w:jc w:val="left"/>
      </w:pPr>
      <w:r>
        <w:rPr>
          <w:rFonts w:ascii="Times New Roman" w:hAnsi="Times New Roman" w:eastAsia="Times New Roman" w:cs="Times New Roman"/>
        </w:rPr>
        <w:t>W. W. Prescott a publié une revue périodique intitulée *The Protestant*, dont le seul thème consistait à exalter la fausse conception du « continual ». Lui et le président de la Conférence générale, A. G. Daniells, devinrent la pointe de lance satanique destinée à poursuivre les efforts de Prescott en vue d’établir cette fausse doctrine comme la position orthodoxe dans l’adventisme; mais tant qu’Ellen White vécut, leur succès dans cette entreprise satanique fut tenu en échec. En 1931, Daniells rapporta que, l’année même où fut rédigé le passage tiré de *Manuscript Releases* (1910), il avait eu un entretien avec Sister White au sujet du « continual », et qu’elle l’avait amené à croire que sa position, ainsi que celle de Prescott, était correcte.</w:t>
      </w:r>
    </w:p>
    <w:p>
      <w:pPr>
        <w:pStyle w:val="ArticleBody"/>
        <w:jc w:val="left"/>
      </w:pPr>
      <w:r>
        <w:rPr>
          <w:rFonts w:ascii="Times New Roman" w:hAnsi="Times New Roman" w:eastAsia="Times New Roman" w:cs="Times New Roman"/>
        </w:rPr>
        <w:t>A fûn a importan a compronde e istore chi, parchè no semo adess começando la nòstra considerassion de l’aumento de cognossensa che l’è rivà nel 1989, cando le sacre linee de reforma e le ultime sie versète de Daniele onze i xe stai dessigilai. Par ricognòssere la luse che l’è stàta prodùta col crol del’Unión Sovietica in adempimento del versèto quaranta de Daniele onze, xe richiesto che “el continuo”, e la istore profètica rapresentàda da “el continuo”, i sia corretamente compresi, parchè chela istore la ilustra la repetission de chela istore nei versèti quaranta fin quaranta-cinque de Daniele onze. Chi versèti i identifica che el mesajo che vien dessigilà in chi versèti xe le “novità da l’oriente e dal settentrion”, che mena a la persecussion finale del pòpolo de Dio.</w:t>
      </w:r>
    </w:p>
    <w:p>
      <w:pPr>
        <w:pStyle w:val="ArticleScripture"/>
        <w:jc w:val="left"/>
      </w:pPr>
      <w:r>
        <w:rPr>
          <w:rFonts w:ascii="Times New Roman" w:hAnsi="Times New Roman" w:eastAsia="Times New Roman" w:cs="Times New Roman"/>
        </w:rPr>
        <w:t>Lakini habari zitokazo mashariki na kaskazini zitamfadhaisha; kwa hiyo atatoka kwa ghadhabu kuu ili kuharibu, na kuwaangamiza kabisa wengi. Naye ataweka hema za jumba lake la kifalme kati ya bahari katika mlima mtakatifu wenye utukufu; lakini atafikia mwisho wake, wala hatakuwa na wa kumsaidia. Danieli 11:44, 45.</w:t>
      </w:r>
    </w:p>
    <w:p>
      <w:pPr>
        <w:pStyle w:val="ArticleBody"/>
        <w:jc w:val="left"/>
      </w:pPr>
      <w:r>
        <w:rPr>
          <w:rFonts w:ascii="Times New Roman" w:hAnsi="Times New Roman" w:eastAsia="Times New Roman" w:cs="Times New Roman"/>
        </w:rPr>
        <w:t>Waamichi wa vesi ya arobaini, uliotiwa muhuri hadi kufunuliwa wakati wa kusambaratika kwa Umoja wa Kisovieti mwaka 1989, ni ujumbe wa mvua ya masika, ambao utasababisha upapa (mfalme wa kaskazini), “kuondoka kwa ghadhabu kuu ili kuangamiza, na kuwaondoa kabisa wengi.” “Habari” katika lugha ya unabii ni ujumbe.</w:t>
      </w:r>
    </w:p>
    <w:p>
      <w:pPr>
        <w:pStyle w:val="ArticleScripture"/>
        <w:jc w:val="left"/>
      </w:pPr>
      <w:r>
        <w:rPr>
          <w:rFonts w:ascii="Times New Roman" w:hAnsi="Times New Roman" w:eastAsia="Times New Roman" w:cs="Times New Roman"/>
        </w:rPr>
        <w:t>Na watahubirije, wasipotumwa? kama ilivyoandikwa, Jinsi ilivyo mizuri miguu yao wahubirio Injili ya amani, nao waletao habari njema za mema! Warumi 10:15.</w:t>
      </w:r>
    </w:p>
    <w:p>
      <w:pPr>
        <w:pStyle w:val="ArticleBody"/>
        <w:jc w:val="left"/>
      </w:pPr>
      <w:r>
        <w:rPr>
          <w:rFonts w:ascii="Times New Roman" w:hAnsi="Times New Roman" w:eastAsia="Times New Roman" w:cs="Times New Roman"/>
        </w:rPr>
        <w:t>Feau’aaki ʻo e ʻuha kimui ko e feau’aaki ia ʻoku fakahā mai ʻe he kau tangata le’o ʻo e ngaahi ʻaho fakaʻosi ʻa e ʻOtua, ʻa ia ʻoku nau hivaʻi ʻa e hiva ʻo e ngoue vaine mo e hiva ʻa Mōsese mo e Lamí.</w:t>
      </w:r>
    </w:p>
    <w:p>
      <w:pPr>
        <w:pStyle w:val="ArticleScripture"/>
        <w:jc w:val="left"/>
      </w:pPr>
      <w:r>
        <w:rPr>
          <w:rFonts w:ascii="Times New Roman" w:hAnsi="Times New Roman" w:eastAsia="Times New Roman" w:cs="Times New Roman"/>
        </w:rPr>
        <w:t>Mbi malet sa të bukura janë këmbët e atij që sjell lajme të mira, që shpall paqen; që sjell lajme të mira për të mirën, që shpall shpëtimin; që i thotë Sionit: Perëndia yt mbretëron! Rojet e tua do ta ngrenë zërin; me zë të përbashkët do të këndojnë: sepse do të shohin sy më sy, kur Zoti ta kthejë përsëri Sionin. Isaia 52:7, 8.</w:t>
      </w:r>
    </w:p>
    <w:p>
      <w:pPr>
        <w:pStyle w:val="ArticleBody"/>
        <w:jc w:val="left"/>
      </w:pPr>
      <w:r>
        <w:rPr>
          <w:rFonts w:ascii="Times New Roman" w:hAnsi="Times New Roman" w:eastAsia="Times New Roman" w:cs="Times New Roman"/>
        </w:rPr>
        <w:t>Les « nouvelles » du verset quarante-quatre de Daniel onze remplissent de fureur l’homme du péché, et le dernier bain de sang papal s’accomplit. Ce message est le message du troisième ange, qui enfle jusqu’à devenir un grand cri lors de l’imminente loi du dimanche.</w:t>
      </w:r>
    </w:p>
    <w:p>
      <w:pPr>
        <w:pStyle w:val="ArticleScripture"/>
        <w:jc w:val="left"/>
      </w:pPr>
      <w:r>
        <w:rPr>
          <w:rFonts w:ascii="Times New Roman" w:hAnsi="Times New Roman" w:eastAsia="Times New Roman" w:cs="Times New Roman"/>
        </w:rPr>
        <w:t>«Aucune personne n’est condamnée avant d’avoir reçu la lumière et d’avoir vu l’obligation du quatrième commandement. Mais lorsque paraîtra le décret imposant le faux sabbat, et que le grand cri du “troisième ange” avertira les hommes contre l’adoration de la bête et de son image, la ligne de démarcation entre le faux et le vrai sera clairement tracée. Alors ceux qui persisteront dans la transgression recevront la marque de la bête.» Signs of the Times, 8 novembre 1899.</w:t>
      </w:r>
    </w:p>
    <w:p>
      <w:pPr>
        <w:pStyle w:val="ArticleBody"/>
        <w:jc w:val="left"/>
      </w:pPr>
      <w:r>
        <w:rPr>
          <w:rFonts w:ascii="Times New Roman" w:hAnsi="Times New Roman" w:eastAsia="Times New Roman" w:cs="Times New Roman"/>
        </w:rPr>
        <w:t>Les « nouvelles de l’orient et du nord » qui irritent la papauté, qui s’amplifient jusqu’à devenir un grand cri au moment de la loi du dimanche, et ce message est le message de la pluie de l’arrière-saison qui a commencé le 11 septembre 2001. L’expression « voix forte » est un terme prophétique qui représente une puissance croissante.</w:t>
      </w:r>
    </w:p>
    <w:p>
      <w:pPr>
        <w:pStyle w:val="ArticleScripture"/>
        <w:jc w:val="left"/>
      </w:pPr>
      <w:r>
        <w:rPr>
          <w:rFonts w:ascii="Times New Roman" w:hAnsi="Times New Roman" w:eastAsia="Times New Roman" w:cs="Times New Roman"/>
        </w:rPr>
        <w:t>“Kosɔ ka wɔn de maa saa bere yi, ɔbɔfo a ɔto so abiɛsa no nkrasɛm, ɛsɛ sɛ wɔka no dennen so, a nea ɛkyerɛ ne tumi a ɛrekɔ soro bere a yɛrebɛn sɔhwɛ kɛse a etwa to no.” The 1888 Materials, 1710.</w:t>
      </w:r>
    </w:p>
    <w:p>
      <w:pPr>
        <w:pStyle w:val="ArticleBody"/>
        <w:jc w:val="left"/>
      </w:pPr>
      <w:r>
        <w:rPr>
          <w:rFonts w:ascii="Times New Roman" w:hAnsi="Times New Roman" w:eastAsia="Times New Roman" w:cs="Times New Roman"/>
        </w:rPr>
        <w:t>“Ozi ọma” nke amaokwu nke iri anọ na anọ bụ ozi nke mmiri-ozuzo ikpeazụ n’oge dị nnọọ nso tupu oge amara mmadụ emechie, mgbe Maịkel guzoro. Ọ bụ otu ozi ahụ nke mmiri-ozuzo ikpeazụ nke bịarutere na Septemba 11, 2001, ma ọ na-ebili bụrụ akwa ukwu, ma ọ bụ olu ukwu, mgbe e mechara kaa akara ndị narị puku iri anọ na anọ, ma e mesịa wụsa Mmụọ Nsọ n’enweghị atụ. Ọ bụ otu ozi ahụ nke mmiri-ozuzo ikpeazụ nke kpọrọ akara oge nke ịka akara ndị narị puku iri anọ na anọ.</w:t>
      </w:r>
    </w:p>
    <w:p>
      <w:pPr>
        <w:pStyle w:val="ArticleBody"/>
        <w:jc w:val="left"/>
      </w:pPr>
      <w:r>
        <w:rPr>
          <w:rFonts w:ascii="Times New Roman" w:hAnsi="Times New Roman" w:eastAsia="Times New Roman" w:cs="Times New Roman"/>
        </w:rPr>
        <w:t>Ni ujumbe wa mvua ya mwisho ambao umeghushiwa kwa ujumbe wa amani na usalama unaowasilishwa na Uadventista wa Laodikia tangu kuwasili kwa “punda” hata kuwasili kwa “simba”. Kipindi kati ya Septemba 11, 2001, na sheria ya Jumapili inayokuja upesi kinaashiria kitanda cha mauti ya kiroho kwa Uadventista wa Laodikia, na wale wanaohukumiwa baada ya nyumba ya Mungu (Yerusalemu) kuhukumiwa, hufa katika kaburi hilo hilo. Kitanda cha mauti kwa Uadventista wa Laodikia kiko kati ya punda na simba, na ujumbe unaokataliwa na kuleta mauti yao ni “habari zitokazo mashariki” (ishara ya Uislamu) na kaskazini (ishara ya upapa). Ni ujumbe huo huo, ambao ni ujumbe wa malaika wa tatu.</w:t>
      </w:r>
    </w:p>
    <w:p>
      <w:pPr>
        <w:pStyle w:val="ArticleBody"/>
        <w:jc w:val="left"/>
      </w:pPr>
      <w:r>
        <w:rPr>
          <w:rFonts w:ascii="Times New Roman" w:hAnsi="Times New Roman" w:eastAsia="Times New Roman" w:cs="Times New Roman"/>
        </w:rPr>
        <w:t>Ivesi sita na vhesi za Danieli kumi na moja, ambavyo vilifunguliwa muhuri wakati wa mwisho mnamo 1989, ni ujumbe wa mvua ya masika, unaotangazwa katika wakati ambapo ujumbe wa uongo wa mvua ya masika wa “amani na salama” unatangazwa. Jaribio la mvua ya masika kwanza hukikabili nyumba ya Mungu, kwa maana hapo ndipo hukumu huanza, na kisha hukikabili kundi lile jingine lililo nje ya nyumba ya Mungu. Kwa sababu hii, ni muhimu sana kuielewa “uongo” ulioingizwa katika Uadventista wa Laodikia katika kizazi cha tatu, kwa kuwa wakati Mungu anamimina Roho Wake Mtakatifu juu ya wale anaowatia muhuri, wakati huohuo anamimina upotofu wenye nguvu juu ya wale wasioipokea pendo la kweli.</w:t>
      </w:r>
    </w:p>
    <w:p>
      <w:pPr>
        <w:pStyle w:val="ArticleBody"/>
        <w:jc w:val="left"/>
      </w:pPr>
      <w:r>
        <w:rPr>
          <w:rFonts w:ascii="Nirmala UI" w:hAnsi="Nirmala UI" w:eastAsia="Nirmala UI" w:cs="Nirmala UI"/>
        </w:rPr>
        <w:t>ವಿಂಶತಮ</w:t>
      </w:r>
      <w:r>
        <w:rPr>
          <w:rFonts w:ascii="Times New Roman" w:hAnsi="Times New Roman" w:eastAsia="Times New Roman" w:cs="Times New Roman"/>
        </w:rPr>
        <w:t xml:space="preserve"> </w:t>
      </w:r>
      <w:r>
        <w:rPr>
          <w:rFonts w:ascii="Nirmala UI" w:hAnsi="Nirmala UI" w:eastAsia="Nirmala UI" w:cs="Nirmala UI"/>
        </w:rPr>
        <w:t>ಶತಮಾನದ</w:t>
      </w:r>
      <w:r>
        <w:rPr>
          <w:rFonts w:ascii="Times New Roman" w:hAnsi="Times New Roman" w:eastAsia="Times New Roman" w:cs="Times New Roman"/>
        </w:rPr>
        <w:t xml:space="preserve"> </w:t>
      </w:r>
      <w:r>
        <w:rPr>
          <w:rFonts w:ascii="Nirmala UI" w:hAnsi="Nirmala UI" w:eastAsia="Nirmala UI" w:cs="Nirmala UI"/>
        </w:rPr>
        <w:t>ಪ್ರಥಮ</w:t>
      </w:r>
      <w:r>
        <w:rPr>
          <w:rFonts w:ascii="Times New Roman" w:hAnsi="Times New Roman" w:eastAsia="Times New Roman" w:cs="Times New Roman"/>
        </w:rPr>
        <w:t xml:space="preserve"> </w:t>
      </w:r>
      <w:r>
        <w:rPr>
          <w:rFonts w:ascii="Nirmala UI" w:hAnsi="Nirmala UI" w:eastAsia="Nirmala UI" w:cs="Nirmala UI"/>
        </w:rPr>
        <w:t>ದಶಕ</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ಅರ್ಧದಲ್ಲಿ</w:t>
      </w:r>
      <w:r>
        <w:rPr>
          <w:rFonts w:ascii="Times New Roman" w:hAnsi="Times New Roman" w:eastAsia="Times New Roman" w:cs="Times New Roman"/>
        </w:rPr>
        <w:t xml:space="preserve"> “the daily” </w:t>
      </w:r>
      <w:r>
        <w:rPr>
          <w:rFonts w:ascii="Nirmala UI" w:hAnsi="Nirmala UI" w:eastAsia="Nirmala UI" w:cs="Nirmala UI"/>
        </w:rPr>
        <w:t>ಕುರಿತು</w:t>
      </w:r>
      <w:r>
        <w:rPr>
          <w:rFonts w:ascii="Times New Roman" w:hAnsi="Times New Roman" w:eastAsia="Times New Roman" w:cs="Times New Roman"/>
        </w:rPr>
        <w:t xml:space="preserve"> </w:t>
      </w:r>
      <w:r>
        <w:rPr>
          <w:rFonts w:ascii="Nirmala UI" w:hAnsi="Nirmala UI" w:eastAsia="Nirmala UI" w:cs="Nirmala UI"/>
        </w:rPr>
        <w:t>ಉದ್ಭವಿಸಿದ</w:t>
      </w:r>
      <w:r>
        <w:rPr>
          <w:rFonts w:ascii="Times New Roman" w:hAnsi="Times New Roman" w:eastAsia="Times New Roman" w:cs="Times New Roman"/>
        </w:rPr>
        <w:t xml:space="preserve"> </w:t>
      </w:r>
      <w:r>
        <w:rPr>
          <w:rFonts w:ascii="Nirmala UI" w:hAnsi="Nirmala UI" w:eastAsia="Nirmala UI" w:cs="Nirmala UI"/>
        </w:rPr>
        <w:t>ವಿವಾದದ</w:t>
      </w:r>
      <w:r>
        <w:rPr>
          <w:rFonts w:ascii="Times New Roman" w:hAnsi="Times New Roman" w:eastAsia="Times New Roman" w:cs="Times New Roman"/>
        </w:rPr>
        <w:t xml:space="preserve"> </w:t>
      </w:r>
      <w:r>
        <w:rPr>
          <w:rFonts w:ascii="Nirmala UI" w:hAnsi="Nirmala UI" w:eastAsia="Nirmala UI" w:cs="Nirmala UI"/>
        </w:rPr>
        <w:t>ಸಂದರ್ಭದಲ್ಲಿ</w:t>
      </w:r>
      <w:r>
        <w:rPr>
          <w:rFonts w:ascii="Times New Roman" w:hAnsi="Times New Roman" w:eastAsia="Times New Roman" w:cs="Times New Roman"/>
        </w:rPr>
        <w:t xml:space="preserve">, “the daily” </w:t>
      </w:r>
      <w:r>
        <w:rPr>
          <w:rFonts w:ascii="Nirmala UI" w:hAnsi="Nirmala UI" w:eastAsia="Nirmala UI" w:cs="Nirmala UI"/>
        </w:rPr>
        <w:t>ಎಂಬುದು</w:t>
      </w:r>
      <w:r>
        <w:rPr>
          <w:rFonts w:ascii="Times New Roman" w:hAnsi="Times New Roman" w:eastAsia="Times New Roman" w:cs="Times New Roman"/>
        </w:rPr>
        <w:t xml:space="preserve"> </w:t>
      </w:r>
      <w:r>
        <w:rPr>
          <w:rFonts w:ascii="Nirmala UI" w:hAnsi="Nirmala UI" w:eastAsia="Nirmala UI" w:cs="Nirmala UI"/>
        </w:rPr>
        <w:t>ಪೌರಾಣಿಕತೆಯ</w:t>
      </w:r>
      <w:r>
        <w:rPr>
          <w:rFonts w:ascii="Times New Roman" w:hAnsi="Times New Roman" w:eastAsia="Times New Roman" w:cs="Times New Roman"/>
        </w:rPr>
        <w:t xml:space="preserve"> </w:t>
      </w:r>
      <w:r>
        <w:rPr>
          <w:rFonts w:ascii="Nirmala UI" w:hAnsi="Nirmala UI" w:eastAsia="Nirmala UI" w:cs="Nirmala UI"/>
        </w:rPr>
        <w:t>ಸಂಕೇತವೆಂಬ</w:t>
      </w:r>
      <w:r>
        <w:rPr>
          <w:rFonts w:ascii="Times New Roman" w:hAnsi="Times New Roman" w:eastAsia="Times New Roman" w:cs="Times New Roman"/>
        </w:rPr>
        <w:t xml:space="preserve"> </w:t>
      </w:r>
      <w:r>
        <w:rPr>
          <w:rFonts w:ascii="Nirmala UI" w:hAnsi="Nirmala UI" w:eastAsia="Nirmala UI" w:cs="Nirmala UI"/>
        </w:rPr>
        <w:t>ಸರಿಯಾದ</w:t>
      </w:r>
      <w:r>
        <w:rPr>
          <w:rFonts w:ascii="Times New Roman" w:hAnsi="Times New Roman" w:eastAsia="Times New Roman" w:cs="Times New Roman"/>
        </w:rPr>
        <w:t xml:space="preserve"> </w:t>
      </w:r>
      <w:r>
        <w:rPr>
          <w:rFonts w:ascii="Nirmala UI" w:hAnsi="Nirmala UI" w:eastAsia="Nirmala UI" w:cs="Nirmala UI"/>
        </w:rPr>
        <w:t>ಮಿಲ್ಲರೈಟ್</w:t>
      </w:r>
      <w:r>
        <w:rPr>
          <w:rFonts w:ascii="Times New Roman" w:hAnsi="Times New Roman" w:eastAsia="Times New Roman" w:cs="Times New Roman"/>
        </w:rPr>
        <w:t xml:space="preserve"> </w:t>
      </w:r>
      <w:r>
        <w:rPr>
          <w:rFonts w:ascii="Nirmala UI" w:hAnsi="Nirmala UI" w:eastAsia="Nirmala UI" w:cs="Nirmala UI"/>
        </w:rPr>
        <w:t>ನಿಲುವನ್ನು</w:t>
      </w:r>
      <w:r>
        <w:rPr>
          <w:rFonts w:ascii="Times New Roman" w:hAnsi="Times New Roman" w:eastAsia="Times New Roman" w:cs="Times New Roman"/>
        </w:rPr>
        <w:t xml:space="preserve"> </w:t>
      </w:r>
      <w:r>
        <w:rPr>
          <w:rFonts w:ascii="Nirmala UI" w:hAnsi="Nirmala UI" w:eastAsia="Nirmala UI" w:cs="Nirmala UI"/>
        </w:rPr>
        <w:t>ಸಮರ್ಥಿಸಿದವರಲ್ಲಿ</w:t>
      </w:r>
      <w:r>
        <w:rPr>
          <w:rFonts w:ascii="Times New Roman" w:hAnsi="Times New Roman" w:eastAsia="Times New Roman" w:cs="Times New Roman"/>
        </w:rPr>
        <w:t xml:space="preserve"> </w:t>
      </w:r>
      <w:r>
        <w:rPr>
          <w:rFonts w:ascii="Nirmala UI" w:hAnsi="Nirmala UI" w:eastAsia="Nirmala UI" w:cs="Nirmala UI"/>
        </w:rPr>
        <w:t>ಒಬ್ಬನು</w:t>
      </w:r>
      <w:r>
        <w:rPr>
          <w:rFonts w:ascii="Times New Roman" w:hAnsi="Times New Roman" w:eastAsia="Times New Roman" w:cs="Times New Roman"/>
        </w:rPr>
        <w:t xml:space="preserve"> F. C. Gilbert </w:t>
      </w:r>
      <w:r>
        <w:rPr>
          <w:rFonts w:ascii="Nirmala UI" w:hAnsi="Nirmala UI" w:eastAsia="Nirmala UI" w:cs="Nirmala UI"/>
        </w:rPr>
        <w:t>ಆಗಿದ್ದನು</w:t>
      </w:r>
      <w:r>
        <w:rPr>
          <w:rFonts w:ascii="Times New Roman" w:hAnsi="Times New Roman" w:eastAsia="Times New Roman" w:cs="Times New Roman"/>
        </w:rPr>
        <w:t xml:space="preserve">. </w:t>
      </w:r>
      <w:r>
        <w:rPr>
          <w:rFonts w:ascii="Nirmala UI" w:hAnsi="Nirmala UI" w:eastAsia="Nirmala UI" w:cs="Nirmala UI"/>
        </w:rPr>
        <w:t>ಗಿಲ್ಬರ್ಟ್</w:t>
      </w:r>
      <w:r>
        <w:rPr>
          <w:rFonts w:ascii="Times New Roman" w:hAnsi="Times New Roman" w:eastAsia="Times New Roman" w:cs="Times New Roman"/>
        </w:rPr>
        <w:t xml:space="preserve"> </w:t>
      </w:r>
      <w:r>
        <w:rPr>
          <w:rFonts w:ascii="Nirmala UI" w:hAnsi="Nirmala UI" w:eastAsia="Nirmala UI" w:cs="Nirmala UI"/>
        </w:rPr>
        <w:t>ಯೆಹೂದ್ಯ</w:t>
      </w:r>
      <w:r>
        <w:rPr>
          <w:rFonts w:ascii="Times New Roman" w:hAnsi="Times New Roman" w:eastAsia="Times New Roman" w:cs="Times New Roman"/>
        </w:rPr>
        <w:t xml:space="preserve"> </w:t>
      </w:r>
      <w:r>
        <w:rPr>
          <w:rFonts w:ascii="Nirmala UI" w:hAnsi="Nirmala UI" w:eastAsia="Nirmala UI" w:cs="Nirmala UI"/>
        </w:rPr>
        <w:t>ಧರ್ಮದಿಂದ</w:t>
      </w:r>
      <w:r>
        <w:rPr>
          <w:rFonts w:ascii="Times New Roman" w:hAnsi="Times New Roman" w:eastAsia="Times New Roman" w:cs="Times New Roman"/>
        </w:rPr>
        <w:t xml:space="preserve"> </w:t>
      </w:r>
      <w:r>
        <w:rPr>
          <w:rFonts w:ascii="Nirmala UI" w:hAnsi="Nirmala UI" w:eastAsia="Nirmala UI" w:cs="Nirmala UI"/>
        </w:rPr>
        <w:t>ಮತಾಂತರಗೊಂಡವನಾಗಿದ್ದು</w:t>
      </w:r>
      <w:r>
        <w:rPr>
          <w:rFonts w:ascii="Times New Roman" w:hAnsi="Times New Roman" w:eastAsia="Times New Roman" w:cs="Times New Roman"/>
        </w:rPr>
        <w:t xml:space="preserve">, </w:t>
      </w:r>
      <w:r>
        <w:rPr>
          <w:rFonts w:ascii="Nirmala UI" w:hAnsi="Nirmala UI" w:eastAsia="Nirmala UI" w:cs="Nirmala UI"/>
        </w:rPr>
        <w:t>ಹೀಬ್ರೂ</w:t>
      </w:r>
      <w:r>
        <w:rPr>
          <w:rFonts w:ascii="Times New Roman" w:hAnsi="Times New Roman" w:eastAsia="Times New Roman" w:cs="Times New Roman"/>
        </w:rPr>
        <w:t xml:space="preserve"> </w:t>
      </w:r>
      <w:r>
        <w:rPr>
          <w:rFonts w:ascii="Nirmala UI" w:hAnsi="Nirmala UI" w:eastAsia="Nirmala UI" w:cs="Nirmala UI"/>
        </w:rPr>
        <w:t>ಭಾಷೆಯನ್ನು</w:t>
      </w:r>
      <w:r>
        <w:rPr>
          <w:rFonts w:ascii="Times New Roman" w:hAnsi="Times New Roman" w:eastAsia="Times New Roman" w:cs="Times New Roman"/>
        </w:rPr>
        <w:t xml:space="preserve"> </w:t>
      </w:r>
      <w:r>
        <w:rPr>
          <w:rFonts w:ascii="Nirmala UI" w:hAnsi="Nirmala UI" w:eastAsia="Nirmala UI" w:cs="Nirmala UI"/>
        </w:rPr>
        <w:t>ಸಂಪೂರ್ಣವಾಗಿ</w:t>
      </w:r>
      <w:r>
        <w:rPr>
          <w:rFonts w:ascii="Times New Roman" w:hAnsi="Times New Roman" w:eastAsia="Times New Roman" w:cs="Times New Roman"/>
        </w:rPr>
        <w:t xml:space="preserve"> </w:t>
      </w:r>
      <w:r>
        <w:rPr>
          <w:rFonts w:ascii="Nirmala UI" w:hAnsi="Nirmala UI" w:eastAsia="Nirmala UI" w:cs="Nirmala UI"/>
        </w:rPr>
        <w:t>ಓದಿ</w:t>
      </w:r>
      <w:r>
        <w:rPr>
          <w:rFonts w:ascii="Times New Roman" w:hAnsi="Times New Roman" w:eastAsia="Times New Roman" w:cs="Times New Roman"/>
        </w:rPr>
        <w:t xml:space="preserve"> </w:t>
      </w:r>
      <w:r>
        <w:rPr>
          <w:rFonts w:ascii="Nirmala UI" w:hAnsi="Nirmala UI" w:eastAsia="Nirmala UI" w:cs="Nirmala UI"/>
        </w:rPr>
        <w:t>ಮಾತನಾಡುತ್ತಿದ್ದನು</w:t>
      </w:r>
      <w:r>
        <w:rPr>
          <w:rFonts w:ascii="Times New Roman" w:hAnsi="Times New Roman" w:eastAsia="Times New Roman" w:cs="Times New Roman"/>
        </w:rPr>
        <w:t xml:space="preserve">. </w:t>
      </w:r>
      <w:r>
        <w:rPr>
          <w:rFonts w:ascii="Nirmala UI" w:hAnsi="Nirmala UI" w:eastAsia="Nirmala UI" w:cs="Nirmala UI"/>
        </w:rPr>
        <w:t>ಹೀಬ್ರೂ</w:t>
      </w:r>
      <w:r>
        <w:rPr>
          <w:rFonts w:ascii="Times New Roman" w:hAnsi="Times New Roman" w:eastAsia="Times New Roman" w:cs="Times New Roman"/>
        </w:rPr>
        <w:t xml:space="preserve"> </w:t>
      </w:r>
      <w:r>
        <w:rPr>
          <w:rFonts w:ascii="Nirmala UI" w:hAnsi="Nirmala UI" w:eastAsia="Nirmala UI" w:cs="Nirmala UI"/>
        </w:rPr>
        <w:t>ಭಾಷೆಯ</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ತಿಳುವಳಿಕೆಯನ್ನು</w:t>
      </w:r>
      <w:r>
        <w:rPr>
          <w:rFonts w:ascii="Times New Roman" w:hAnsi="Times New Roman" w:eastAsia="Times New Roman" w:cs="Times New Roman"/>
        </w:rPr>
        <w:t xml:space="preserve"> </w:t>
      </w:r>
      <w:r>
        <w:rPr>
          <w:rFonts w:ascii="Nirmala UI" w:hAnsi="Nirmala UI" w:eastAsia="Nirmala UI" w:cs="Nirmala UI"/>
        </w:rPr>
        <w:t>ಆಧಾರವಾಗಿ</w:t>
      </w:r>
      <w:r>
        <w:rPr>
          <w:rFonts w:ascii="Times New Roman" w:hAnsi="Times New Roman" w:eastAsia="Times New Roman" w:cs="Times New Roman"/>
        </w:rPr>
        <w:t xml:space="preserve"> </w:t>
      </w:r>
      <w:r>
        <w:rPr>
          <w:rFonts w:ascii="Nirmala UI" w:hAnsi="Nirmala UI" w:eastAsia="Nirmala UI" w:cs="Nirmala UI"/>
        </w:rPr>
        <w:t>ಮಾಡಿಕೊಂಡು</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ಪುಸ್ತಕದಲ್ಲಿರುವ</w:t>
      </w:r>
      <w:r>
        <w:rPr>
          <w:rFonts w:ascii="Times New Roman" w:hAnsi="Times New Roman" w:eastAsia="Times New Roman" w:cs="Times New Roman"/>
        </w:rPr>
        <w:t xml:space="preserve"> </w:t>
      </w:r>
      <w:r>
        <w:rPr>
          <w:rFonts w:ascii="Nirmala UI" w:hAnsi="Nirmala UI" w:eastAsia="Nirmala UI" w:cs="Nirmala UI"/>
        </w:rPr>
        <w:t>ಪಯನಿಯರ್</w:t>
      </w:r>
      <w:r>
        <w:rPr>
          <w:rFonts w:ascii="Times New Roman" w:hAnsi="Times New Roman" w:eastAsia="Times New Roman" w:cs="Times New Roman"/>
        </w:rPr>
        <w:t xml:space="preserve"> </w:t>
      </w:r>
      <w:r>
        <w:rPr>
          <w:rFonts w:ascii="Nirmala UI" w:hAnsi="Nirmala UI" w:eastAsia="Nirmala UI" w:cs="Nirmala UI"/>
        </w:rPr>
        <w:t>ನಿಲುವನ್ನು</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ಸಮರ್ಥಿಸಿದನು</w:t>
      </w:r>
      <w:r>
        <w:rPr>
          <w:rFonts w:ascii="Times New Roman" w:hAnsi="Times New Roman" w:eastAsia="Times New Roman" w:cs="Times New Roman"/>
        </w:rPr>
        <w:t>. 1910</w:t>
      </w:r>
      <w:r>
        <w:rPr>
          <w:rFonts w:ascii="Nirmala UI" w:hAnsi="Nirmala UI" w:eastAsia="Nirmala UI" w:cs="Nirmala UI"/>
        </w:rPr>
        <w:t>ರಲ್ಲಿ</w:t>
      </w:r>
      <w:r>
        <w:rPr>
          <w:rFonts w:ascii="Times New Roman" w:hAnsi="Times New Roman" w:eastAsia="Times New Roman" w:cs="Times New Roman"/>
        </w:rPr>
        <w:t>—</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ವರ್ಷದಲ್ಲಿ</w:t>
      </w:r>
      <w:r>
        <w:rPr>
          <w:rFonts w:ascii="Times New Roman" w:hAnsi="Times New Roman" w:eastAsia="Times New Roman" w:cs="Times New Roman"/>
        </w:rPr>
        <w:t xml:space="preserve"> </w:t>
      </w:r>
      <w:r>
        <w:rPr>
          <w:rFonts w:ascii="Nirmala UI" w:hAnsi="Nirmala UI" w:eastAsia="Nirmala UI" w:cs="Nirmala UI"/>
        </w:rPr>
        <w:t>ಸಹೋದರಿ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ದಶಕಗಳ</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 xml:space="preserve"> </w:t>
      </w:r>
      <w:r>
        <w:rPr>
          <w:rFonts w:ascii="Nirmala UI" w:hAnsi="Nirmala UI" w:eastAsia="Nirmala UI" w:cs="Nirmala UI"/>
        </w:rPr>
        <w:t>ಹೂಣಲ್ಪಟ್ಟು</w:t>
      </w:r>
      <w:r>
        <w:rPr>
          <w:rFonts w:ascii="Times New Roman" w:hAnsi="Times New Roman" w:eastAsia="Times New Roman" w:cs="Times New Roman"/>
        </w:rPr>
        <w:t xml:space="preserve"> </w:t>
      </w:r>
      <w:r>
        <w:rPr>
          <w:rFonts w:ascii="Nirmala UI" w:hAnsi="Nirmala UI" w:eastAsia="Nirmala UI" w:cs="Nirmala UI"/>
        </w:rPr>
        <w:t>ಉಳಿಯಲಿದ್ದ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ಹಸ್ತಪ್ರತಿಯನ್ನು</w:t>
      </w:r>
      <w:r>
        <w:rPr>
          <w:rFonts w:ascii="Times New Roman" w:hAnsi="Times New Roman" w:eastAsia="Times New Roman" w:cs="Times New Roman"/>
        </w:rPr>
        <w:t xml:space="preserve"> </w:t>
      </w:r>
      <w:r>
        <w:rPr>
          <w:rFonts w:ascii="Nirmala UI" w:hAnsi="Nirmala UI" w:eastAsia="Nirmala UI" w:cs="Nirmala UI"/>
        </w:rPr>
        <w:t>ಬರೆದರು</w:t>
      </w:r>
      <w:r>
        <w:rPr>
          <w:rFonts w:ascii="Times New Roman" w:hAnsi="Times New Roman" w:eastAsia="Times New Roman" w:cs="Times New Roman"/>
        </w:rPr>
        <w:t xml:space="preserve">; </w:t>
      </w:r>
      <w:r>
        <w:rPr>
          <w:rFonts w:ascii="Nirmala UI" w:hAnsi="Nirmala UI" w:eastAsia="Nirmala UI" w:cs="Nirmala UI"/>
        </w:rPr>
        <w:t>ಅದರಲ್ಲಿ</w:t>
      </w:r>
      <w:r>
        <w:rPr>
          <w:rFonts w:ascii="Times New Roman" w:hAnsi="Times New Roman" w:eastAsia="Times New Roman" w:cs="Times New Roman"/>
        </w:rPr>
        <w:t xml:space="preserve"> “the daily” </w:t>
      </w:r>
      <w:r>
        <w:rPr>
          <w:rFonts w:ascii="Nirmala UI" w:hAnsi="Nirmala UI" w:eastAsia="Nirmala UI" w:cs="Nirmala UI"/>
        </w:rPr>
        <w:t>ಕುರಿತು</w:t>
      </w:r>
      <w:r>
        <w:rPr>
          <w:rFonts w:ascii="Times New Roman" w:hAnsi="Times New Roman" w:eastAsia="Times New Roman" w:cs="Times New Roman"/>
        </w:rPr>
        <w:t xml:space="preserve"> Daniells </w:t>
      </w:r>
      <w:r>
        <w:rPr>
          <w:rFonts w:ascii="Nirmala UI" w:hAnsi="Nirmala UI" w:eastAsia="Nirmala UI" w:cs="Nirmala UI"/>
        </w:rPr>
        <w:t>ಮತ್ತು</w:t>
      </w:r>
      <w:r>
        <w:rPr>
          <w:rFonts w:ascii="Times New Roman" w:hAnsi="Times New Roman" w:eastAsia="Times New Roman" w:cs="Times New Roman"/>
        </w:rPr>
        <w:t xml:space="preserve"> Prescott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ದೃಷ್ಟಿಕೋಣವು</w:t>
      </w:r>
      <w:r>
        <w:rPr>
          <w:rFonts w:ascii="Times New Roman" w:hAnsi="Times New Roman" w:eastAsia="Times New Roman" w:cs="Times New Roman"/>
        </w:rPr>
        <w:t xml:space="preserve"> </w:t>
      </w:r>
      <w:r>
        <w:rPr>
          <w:rFonts w:ascii="Nirmala UI" w:hAnsi="Nirmala UI" w:eastAsia="Nirmala UI" w:cs="Nirmala UI"/>
        </w:rPr>
        <w:t>ಸೈತಾನನ</w:t>
      </w:r>
      <w:r>
        <w:rPr>
          <w:rFonts w:ascii="Times New Roman" w:hAnsi="Times New Roman" w:eastAsia="Times New Roman" w:cs="Times New Roman"/>
        </w:rPr>
        <w:t xml:space="preserve"> </w:t>
      </w:r>
      <w:r>
        <w:rPr>
          <w:rFonts w:ascii="Nirmala UI" w:hAnsi="Nirmala UI" w:eastAsia="Nirmala UI" w:cs="Nirmala UI"/>
        </w:rPr>
        <w:t>ದೂತರಿಂದ</w:t>
      </w:r>
      <w:r>
        <w:rPr>
          <w:rFonts w:ascii="Times New Roman" w:hAnsi="Times New Roman" w:eastAsia="Times New Roman" w:cs="Times New Roman"/>
        </w:rPr>
        <w:t xml:space="preserve"> </w:t>
      </w:r>
      <w:r>
        <w:rPr>
          <w:rFonts w:ascii="Nirmala UI" w:hAnsi="Nirmala UI" w:eastAsia="Nirmala UI" w:cs="Nirmala UI"/>
        </w:rPr>
        <w:t>ಬಂದದ್ದು</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ಗುರುತಿಸಲಾಯಿತು</w:t>
      </w:r>
      <w:r>
        <w:rPr>
          <w:rFonts w:ascii="Times New Roman" w:hAnsi="Times New Roman" w:eastAsia="Times New Roman" w:cs="Times New Roman"/>
        </w:rPr>
        <w:t>—</w:t>
      </w:r>
      <w:r>
        <w:rPr>
          <w:rFonts w:ascii="Nirmala UI" w:hAnsi="Nirmala UI" w:eastAsia="Nirmala UI" w:cs="Nirmala UI"/>
        </w:rPr>
        <w:t>ಗಿಲ್ಬರ್ಟ್</w:t>
      </w:r>
      <w:r>
        <w:rPr>
          <w:rFonts w:ascii="Times New Roman" w:hAnsi="Times New Roman" w:eastAsia="Times New Roman" w:cs="Times New Roman"/>
        </w:rPr>
        <w:t>‌</w:t>
      </w:r>
      <w:r>
        <w:rPr>
          <w:rFonts w:ascii="Nirmala UI" w:hAnsi="Nirmala UI" w:eastAsia="Nirmala UI" w:cs="Nirmala UI"/>
        </w:rPr>
        <w:t>ಗೆ</w:t>
      </w:r>
      <w:r>
        <w:rPr>
          <w:rFonts w:ascii="Times New Roman" w:hAnsi="Times New Roman" w:eastAsia="Times New Roman" w:cs="Times New Roman"/>
        </w:rPr>
        <w:t xml:space="preserve"> “the daily”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ವಿಷಯದ</w:t>
      </w:r>
      <w:r>
        <w:rPr>
          <w:rFonts w:ascii="Times New Roman" w:hAnsi="Times New Roman" w:eastAsia="Times New Roman" w:cs="Times New Roman"/>
        </w:rPr>
        <w:t xml:space="preserve"> </w:t>
      </w:r>
      <w:r>
        <w:rPr>
          <w:rFonts w:ascii="Nirmala UI" w:hAnsi="Nirmala UI" w:eastAsia="Nirmala UI" w:cs="Nirmala UI"/>
        </w:rPr>
        <w:t>ಕುರಿತು</w:t>
      </w:r>
      <w:r>
        <w:rPr>
          <w:rFonts w:ascii="Times New Roman" w:hAnsi="Times New Roman" w:eastAsia="Times New Roman" w:cs="Times New Roman"/>
        </w:rPr>
        <w:t xml:space="preserve"> </w:t>
      </w:r>
      <w:r>
        <w:rPr>
          <w:rFonts w:ascii="Nirmala UI" w:hAnsi="Nirmala UI" w:eastAsia="Nirmala UI" w:cs="Nirmala UI"/>
        </w:rPr>
        <w:t>ಸಹೋದರಿ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ಅವರೊಂದಿಗೆ</w:t>
      </w:r>
      <w:r>
        <w:rPr>
          <w:rFonts w:ascii="Times New Roman" w:hAnsi="Times New Roman" w:eastAsia="Times New Roman" w:cs="Times New Roman"/>
        </w:rPr>
        <w:t xml:space="preserve"> </w:t>
      </w:r>
      <w:r>
        <w:rPr>
          <w:rFonts w:ascii="Nirmala UI" w:hAnsi="Nirmala UI" w:eastAsia="Nirmala UI" w:cs="Nirmala UI"/>
        </w:rPr>
        <w:t>ವೈಯಕ್ತಿಕ</w:t>
      </w:r>
      <w:r>
        <w:rPr>
          <w:rFonts w:ascii="Times New Roman" w:hAnsi="Times New Roman" w:eastAsia="Times New Roman" w:cs="Times New Roman"/>
        </w:rPr>
        <w:t xml:space="preserve"> </w:t>
      </w:r>
      <w:r>
        <w:rPr>
          <w:rFonts w:ascii="Nirmala UI" w:hAnsi="Nirmala UI" w:eastAsia="Nirmala UI" w:cs="Nirmala UI"/>
        </w:rPr>
        <w:t>ಸಂದರ್ಶನವಾಯಿತು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Matumizi kwamba alikuwa na mahojiano, kwa maana mara moja tu (siku iliyofuata) aliandika muhtasari wa mahojiano aliyokuwa nayo na Sister White. Mwaka 1931, A. G. Daniells alitoa dai kwamba alikuwa na mahojiano na Sister White kuhusu somo la “the daily” katika mwaka huohuo—1910. Daniells alidai kwamba Sister White hakumwachia hitimisho lolote isipokuwa kwamba “the daily” ilikuwa ishara ya huduma ya Kristo katika patakatifu. Lakini dai la Daniells la kuwa na mahojiano halikuwa tu “uongo,” bali ni “uongo” wa unabii uzalishao upotevu mkuu.</w:t>
      </w:r>
    </w:p>
    <w:p>
      <w:pPr>
        <w:pStyle w:val="ArticleBody"/>
        <w:jc w:val="left"/>
      </w:pPr>
      <w:r>
        <w:rPr>
          <w:rFonts w:ascii="Times New Roman" w:hAnsi="Times New Roman" w:eastAsia="Times New Roman" w:cs="Times New Roman"/>
        </w:rPr>
        <w:t>Kwa wale ambao huenda wasiwe na fursa ya kupata chati za 1843 na 1850, ni muhimu kuelewa kwamba wakati chati ya 1843 ilipochapishwa mwaka 1842, Wamillerite bado waliamini kwamba patakatifu palipopasa kutakaswa katika utimilifu wa unabii wa miaka elfu mbili na mia tatu lilikuwa dunia. Walipochapisha chati ya 1850, ndipo walipofahamu kwamba patakatifu lililopasa kutakaswa lilikuwa patakatifu pa mbinguni. Kwa sababu hii, chati ya 1843 HAINA mchoro wowote wa patakatifu pa Mungu, lakini chati ya 1850 INA mchoro wa patakatifu pa Mungu. Hili ni jambo la muhimu, kwa maana Daniells alidai kwamba katika mahojiano yake na Sister White alimwonyesha chati ya 1843, naye akaonyesha patakatifu kwenye chati hiyo. Jambo hilo lisingewezekana, kwa maana hakuna patakatifu katika chati ya 1843. Dai lake la mahojiano lilikuwa “uongo.”</w:t>
      </w:r>
    </w:p>
    <w:p>
      <w:pPr>
        <w:pStyle w:val="ArticleBody"/>
        <w:jc w:val="left"/>
      </w:pPr>
      <w:r>
        <w:rPr>
          <w:rFonts w:ascii="Times New Roman" w:hAnsi="Times New Roman" w:eastAsia="Times New Roman" w:cs="Times New Roman"/>
        </w:rPr>
        <w:t>Khi tôi nghiên cứu lịch sử này vào năm 2009 và nhận ra rằng những người ở cả hai phía của vấn đề đều khẳng định đã có một cuộc gặp với Chị White về đề tài “the daily,” tôi đã gửi email đến Ellen White Estate và hỏi liệu họ có tiếp cận được sổ ghi chép đã ghi lại các cuộc gặp của Chị White trong năm 1910 hay không. Họ trả lời rằng họ vẫn còn lưu giữ sổ ghi chép ấy. Sau đây là email của tôi và hồi đáp từ Ellen White Estate.</w:t>
      </w:r>
    </w:p>
    <w:p>
      <w:pPr>
        <w:pStyle w:val="ArticleBody"/>
        <w:jc w:val="left"/>
      </w:pP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ஜனவரி</w:t>
      </w:r>
      <w:r>
        <w:rPr>
          <w:rFonts w:ascii="Times New Roman" w:hAnsi="Times New Roman" w:eastAsia="Times New Roman" w:cs="Times New Roman"/>
        </w:rPr>
        <w:t xml:space="preserve"> 19, 2009</w:t>
      </w:r>
    </w:p>
    <w:p>
      <w:pPr>
        <w:pStyle w:val="ArticleBody"/>
        <w:jc w:val="left"/>
      </w:pPr>
      <w:r>
        <w:rPr>
          <w:rFonts w:ascii="Times New Roman" w:hAnsi="Times New Roman" w:eastAsia="Times New Roman" w:cs="Times New Roman"/>
        </w:rPr>
        <w:t>Kwa yeyote anayehusika:</w:t>
      </w:r>
    </w:p>
    <w:p>
      <w:pPr>
        <w:pStyle w:val="ArticleBody"/>
        <w:jc w:val="left"/>
      </w:pPr>
      <w:r>
        <w:rPr>
          <w:rFonts w:ascii="Times New Roman" w:hAnsi="Times New Roman" w:eastAsia="Times New Roman" w:cs="Times New Roman"/>
        </w:rPr>
        <w:t>میں نے سنا ہے کہ ایک لاگ بُک موجود ہے جس میں یہ درج کیا گیا تھا کہ کن لوگوں نے سسٹر وائٹ سے ملاقاتیں کیں اور ان ملاقاتوں کا موضوع کیا تھا۔ میں یہ تحقیق کرنا چاہتا ہوں کہ آیا 1910 میں A. G. Daniells نے “daily” کے موضوع کے متعلق سسٹر وائٹ سے کوئی ملاقات کی تھی یا نہیں، تاکہ اس کی تصدیق یا تردید کی جا سکے۔ مجھے علم ہے کہ تاریخی شہادت موجود ہے کہ یہ ملاقات ہوئی تھی، لیکن میں یہ جاننا چاہتا ہوں کہ آیا کسی سرکاری لاگ بُک میں اس کا واقعی کوئی اندراج موجود ہے۔ اسی کے ساتھ، مجھے یہ بھی بتایا گیا ہے کہ F. C. Gilbert نے بھی 1910 میں “daily” کے موضوع پر سسٹر وائٹ سے ملاقات کی تھی، اور میں جاننا چاہتا ہوں کہ آیا اس کی تصدیق اس لاگ بُک سے کی جا سکتی ہے جو اس عرصے کے دوران ان کے عملے نے محفوظ رکھی تھی۔ ممکن ہے کہ کوئی لاگ بُک سرے سے موجود ہی نہ ہو، یا اگر موجود ہو تو شاید آپ یہ معلومات جاری نہ کرتے ہوں، یا ممکن ہے کہ اگر وہ واقعی موجود بھی ہو تو میرے لیے اس کی جانچ کرنا آپ کے اختیار یا استطاعت سے باہر ہو۔ لہٰذا، ہر صورت میں، میں یہ دریافت کرنا چاہتا تھا۔ آپ جو بھی مدد فراہم کر سکیں، وہ نہایت قابلِ قدر ہوگی۔</w:t>
      </w:r>
    </w:p>
    <w:p>
      <w:pPr>
        <w:pStyle w:val="ArticleBody"/>
        <w:jc w:val="left"/>
      </w:pPr>
      <w:r>
        <w:rPr>
          <w:rFonts w:ascii="Times New Roman" w:hAnsi="Times New Roman" w:eastAsia="Times New Roman" w:cs="Times New Roman"/>
        </w:rPr>
        <w:t>Cher Jeff,</w:t>
      </w:r>
    </w:p>
    <w:p>
      <w:pPr>
        <w:pStyle w:val="ArticleBody"/>
        <w:jc w:val="left"/>
      </w:pPr>
      <w:r>
        <w:rPr>
          <w:rFonts w:ascii="Times New Roman" w:hAnsi="Times New Roman" w:eastAsia="Times New Roman" w:cs="Times New Roman"/>
        </w:rPr>
        <w:t>Merci pour votre courriel. Nous disposons effectivement d’un récit assez complet de l’itinéraire d’Ellen White, fondé sur ses lettres, ses journaux et ses rendez-vous publiés, mais non d’un « journal de bord » à proprement parler.</w:t>
      </w:r>
    </w:p>
    <w:p>
      <w:pPr>
        <w:pStyle w:val="ArticleBody"/>
        <w:jc w:val="left"/>
      </w:pPr>
      <w:r>
        <w:rPr>
          <w:rFonts w:ascii="Times New Roman" w:hAnsi="Times New Roman" w:eastAsia="Times New Roman" w:cs="Times New Roman"/>
        </w:rPr>
        <w:t>Vous avez sans doute lu le récit de la visite de A. G. Daniells auprès d’Ellen White dans le vol. 6 de la biographie d’EGW, The Later Elmshaven Years, p. 256, 257. Nous n’avons trouvé aucun compte rendu indépendant de cet entretien. Nous possédons toutefois une lettre de l’ancien Gilbert, datée du 1er juin 1910, indiquant son projet de se trouver à St. Helena (où vivait Ellen White) du 6 au 9 juin. Telle est l’étendue de la documentation à l’appui dont j’aie connaissance.</w:t>
      </w:r>
    </w:p>
    <w:p>
      <w:pPr>
        <w:pStyle w:val="ArticleBody"/>
        <w:jc w:val="left"/>
      </w:pPr>
      <w:r>
        <w:rPr>
          <w:rFonts w:ascii="Times New Roman" w:hAnsi="Times New Roman" w:eastAsia="Times New Roman" w:cs="Times New Roman"/>
        </w:rPr>
        <w:t>خدا برکت دهد—تیم پوآریر معاون مدیر امانت‌داری الن جی. وایت</w:t>
      </w:r>
    </w:p>
    <w:p>
      <w:pPr>
        <w:pStyle w:val="ArticleBody"/>
        <w:jc w:val="left"/>
      </w:pPr>
      <w:r>
        <w:rPr>
          <w:rFonts w:ascii="Times New Roman" w:hAnsi="Times New Roman" w:eastAsia="Times New Roman" w:cs="Times New Roman"/>
        </w:rPr>
        <w:t>Nguna nali jiilol tokkure e mum nde Daniells waɗii ndaarondiral gootal dow wonande “the daily,” kono ena woodi ɗerewol ngol Gilbert innitii e mum ko ɗum woni yidde makko ko o heɓa to galle mum daga 6 haa 9 siilo 1910.</w:t>
      </w:r>
    </w:p>
    <w:p>
      <w:pPr>
        <w:pStyle w:val="ArticleBody"/>
        <w:jc w:val="left"/>
      </w:pPr>
      <w:r>
        <w:rPr>
          <w:rFonts w:ascii="Times New Roman" w:hAnsi="Times New Roman" w:eastAsia="Times New Roman" w:cs="Times New Roman"/>
        </w:rPr>
        <w:t>Dina biografi Sister White anu dirujuk ku Ellen White Estate, nalika incuna ngabahas perkara wawancara Daniells, anjeunna nyatet pernyataan Daniells ngeunaan wawancara rekaan taun 1910:</w:t>
      </w:r>
    </w:p>
    <w:p>
      <w:pPr>
        <w:pStyle w:val="ArticleScripture"/>
        <w:jc w:val="left"/>
      </w:pPr>
      <w:r>
        <w:rPr>
          <w:rFonts w:ascii="Times New Roman" w:hAnsi="Times New Roman" w:eastAsia="Times New Roman" w:cs="Times New Roman"/>
        </w:rPr>
        <w:t>« À un moment donné, un peu plus tard au cours des discussions, l’ancien Daniells, accompagné de W. C. White et de C. C. Crisler, désireux d’obtenir d’Ellen White elle-même ce qu’était précisément le sens de sa déclaration dans Early Writings, se rendit auprès d’elle et lui exposa la question. Daniells emporta avec lui Early Writings et le tableau de 1843. Il s’assit tout près d’Ellen White et la pressa de questions. Son compte rendu de cet entretien fut confirmé par W. C. White : »</w:t>
      </w:r>
    </w:p>
    <w:p>
      <w:pPr>
        <w:pStyle w:val="ArticleScripture"/>
        <w:jc w:val="left"/>
      </w:pPr>
      <w:r>
        <w:rPr>
          <w:rFonts w:ascii="Times New Roman" w:hAnsi="Times New Roman" w:eastAsia="Times New Roman" w:cs="Times New Roman"/>
        </w:rPr>
        <w:t>« Je lus d’abord à Sœur White la déclaration donnée ci-dessus dans Premiers écrits. Puis je plaçai devant elle notre tableau prophétique, utilisé par nos ministres dans l’exposé des prophéties de Daniel et de l’Apocalypse. J’attirai son attention sur l’image du sanctuaire ainsi que sur la période des 2300 ans tels qu’ils figuraient sur le tableau. »</w:t>
      </w:r>
    </w:p>
    <w:p>
      <w:pPr>
        <w:pStyle w:val="ArticleScripture"/>
        <w:jc w:val="left"/>
      </w:pPr>
      <w:r>
        <w:rPr>
          <w:rFonts w:ascii="Times New Roman" w:hAnsi="Times New Roman" w:eastAsia="Times New Roman" w:cs="Times New Roman"/>
        </w:rPr>
        <w:t>« Je lui demandai alors si elle pouvait se rappeler ce qui lui avait été montré concernant ce sujet. »</w:t>
      </w:r>
    </w:p>
    <w:p>
      <w:pPr>
        <w:pStyle w:val="ArticleScripture"/>
        <w:jc w:val="left"/>
      </w:pPr>
      <w:r>
        <w:rPr>
          <w:rFonts w:ascii="Times New Roman" w:hAnsi="Times New Roman" w:eastAsia="Times New Roman" w:cs="Times New Roman"/>
        </w:rPr>
        <w:t>« Lorsque je me remémore sa réponse, elle commença par raconter comment certains des dirigeants qui avaient pris part au mouvement de 1844 s’efforcèrent de trouver de nouvelles dates pour l’achèvement de la période des 2300 ans. Cet effort visait à fixer de nouvelles dates pour la venue du Seigneur. Cela semait de la confusion parmi ceux qui avaient fait partie du Mouvement adventiste. »</w:t>
      </w:r>
    </w:p>
    <w:p>
      <w:pPr>
        <w:pStyle w:val="ArticleScripture"/>
        <w:jc w:val="left"/>
      </w:pPr>
      <w:r>
        <w:rPr>
          <w:rFonts w:ascii="Times New Roman" w:hAnsi="Times New Roman" w:eastAsia="Times New Roman" w:cs="Times New Roman"/>
        </w:rPr>
        <w:t>«В этом смущении Господь открыл ей, сказала она, что взгляд, которого придерживались и который излагали относительно дат, был верен и что впредь никогда не должно быть ни нового установления времени, ни новой вести о времени. »</w:t>
      </w:r>
    </w:p>
    <w:p>
      <w:pPr>
        <w:pStyle w:val="ArticleScripture"/>
        <w:jc w:val="left"/>
      </w:pPr>
      <w:r>
        <w:rPr>
          <w:rFonts w:ascii="Times New Roman" w:hAnsi="Times New Roman" w:eastAsia="Times New Roman" w:cs="Times New Roman"/>
        </w:rPr>
        <w:t>« Je lui demandai alors de dire ce qui lui avait été révélé au sujet du reste du “continuel” — le Prince, l’armée, la suppression du “continuel”, et le renversement du sanctuaire. »</w:t>
      </w:r>
    </w:p>
    <w:p>
      <w:pPr>
        <w:pStyle w:val="ArticleScripture"/>
        <w:jc w:val="left"/>
      </w:pPr>
      <w:r>
        <w:rPr>
          <w:rFonts w:ascii="Times New Roman" w:hAnsi="Times New Roman" w:eastAsia="Times New Roman" w:cs="Times New Roman"/>
        </w:rPr>
        <w:t>« Elle répondit que ces aspects ne lui avaient pas été présentés en vision comme l’avait été la question du temps. Elle ne serait pas conduite à donner une explication de ces points de la prophétie. »</w:t>
      </w:r>
    </w:p>
    <w:p>
      <w:pPr>
        <w:pStyle w:val="ArticleScripture"/>
        <w:jc w:val="left"/>
      </w:pPr>
      <w:r>
        <w:rPr>
          <w:rFonts w:ascii="Times New Roman" w:hAnsi="Times New Roman" w:eastAsia="Times New Roman" w:cs="Times New Roman"/>
        </w:rPr>
        <w:t>“‘Cet entretien fit une profonde impression sur mon esprit. Sans hésitation, elle parla librement, clairement et longuement de la période des 2300 ans, mais, quant à l’autre partie de la prophétie, elle demeura silencieuse.</w:t>
      </w:r>
    </w:p>
    <w:p>
      <w:pPr>
        <w:pStyle w:val="ArticleScripture"/>
        <w:jc w:val="left"/>
      </w:pPr>
      <w:r>
        <w:rPr>
          <w:rFonts w:ascii="Times New Roman" w:hAnsi="Times New Roman" w:eastAsia="Times New Roman" w:cs="Times New Roman"/>
        </w:rPr>
        <w:t>“« La seule conclusion que je pouvais tirer de son explication spontanée au sujet du temps et de son silence quant à l’enlèvement du “perpétuel” et au renversement du sanctuaire, c’était que la vision qui lui avait été donnée concernait le temps, et qu’elle n’avait reçu aucune explication concernant les autres parties de la prophétie. — DF 201b, déclaration d’AGD, 25 sept. 1931. » Arthur White, Ellen G. White, volume 6, 257.</w:t>
      </w:r>
    </w:p>
    <w:p>
      <w:pPr>
        <w:pStyle w:val="ArticleBody"/>
        <w:jc w:val="left"/>
      </w:pPr>
      <w:r>
        <w:rPr>
          <w:rFonts w:ascii="Times New Roman" w:hAnsi="Times New Roman" w:eastAsia="Times New Roman" w:cs="Times New Roman"/>
        </w:rPr>
        <w:t>Daniells a prétendu qu’il lui avait montré le tableau de 1843 et qu’il l’avait interrogée au sujet du sanctuaire qui n’est pas représenté sur le tableau. Il a affirmé aussi qu’il avait pris le livre Early Writings et l’avait assaillie de questions sur ce qu’elle voulait dire lorsqu’elle approuvait clairement la compréhension pionnière du « continual » et que le tableau était dirigé par la main du Seigneur. Le fils d’Ellen White, qui était le père d’Arthur L. White, le biographe qui a rédigé l’aperçu de ce prétendu événement, avait accepté la conception satanique du « continual » de Daniells et de Prescott, et a attesté la prétention de Daniells quant à ce qu’il avait entendu lors de l’entretien. Ils n’ont tout simplement pas été soigneux dans leur récit fabriqué, car le tableau de 1843 ne représente pas de sanctuaire que Daniells aurait pu montrer du doigt.</w:t>
      </w:r>
    </w:p>
    <w:p>
      <w:pPr>
        <w:pStyle w:val="ArticleBody"/>
        <w:jc w:val="left"/>
      </w:pPr>
      <w:r>
        <w:rPr>
          <w:rFonts w:ascii="Times New Roman" w:hAnsi="Times New Roman" w:eastAsia="Times New Roman" w:cs="Times New Roman"/>
        </w:rPr>
        <w:t>ʻOku toe ʻi ai ha loi ʻe taha ʻoku fakafofongaʻi ʻi he fakaʻekeʻeke ko iá, ʻa ia ko e loi ko e konga tohi mei he Early Writings ko ha fakatokanga ia ʻo fekauʻaki mo e “fokotuʻu taimi.” Ko e konga tohi naʻe pehē naʻe ʻeke ki ai ʻa Daniells, ʻoku pehē ia:</w:t>
      </w:r>
    </w:p>
    <w:p>
      <w:pPr>
        <w:pStyle w:val="ArticleScripture"/>
        <w:jc w:val="left"/>
      </w:pPr>
      <w:r>
        <w:rPr>
          <w:rFonts w:ascii="Times New Roman" w:hAnsi="Times New Roman" w:eastAsia="Times New Roman" w:cs="Times New Roman"/>
        </w:rPr>
        <w:t>“Minä olen nähnyt, että vuoden 1843 taulu oli Herran käden ohjaama eikä sitä tullut muuttaa; että luvut olivat sellaiset kuin Hän tahtoi niiden olevan; että Hänen kätensä oli niiden yllä ja peitti erään erehdyksen joissakin luvuissa, niin ettei kukaan voinut sitä nähdä, ennen kuin Hänen kätensä poistettiin.”</w:t>
      </w:r>
    </w:p>
    <w:p>
      <w:pPr>
        <w:pStyle w:val="ArticleScripture"/>
        <w:jc w:val="left"/>
      </w:pPr>
      <w:r>
        <w:rPr>
          <w:rFonts w:ascii="Times New Roman" w:hAnsi="Times New Roman" w:eastAsia="Times New Roman" w:cs="Times New Roman"/>
        </w:rPr>
        <w:t>«Потом я увидела относительно „ежедневного“ (Дан. 8:12), что слово „жертва“ было внесено человеческой мудростью и не принадлежит тексту, и что Господь дал правильное понимание этого тем, кто возвещал весть о часе суда. Когда существовало единство, до 1844 года, почти все были едины в правильном понимании „ежедневного“; но в замешательстве, возникшем после 1844 года, были приняты другие взгляды, и за этим последовали тьма и смятение. Время не было испытанием с 1844 года, и оно уже никогда вновь не будет испытанием». Ранние произведения, 74, 75.</w:t>
      </w:r>
    </w:p>
    <w:p>
      <w:pPr>
        <w:pStyle w:val="ArticleBody"/>
        <w:jc w:val="left"/>
      </w:pP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दृष्टिकोण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आर्थर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साक्षात्कार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Early Writings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निर्धारण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1930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गढ़ा</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अंग</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Nous reprendrons cet argument dans le prochain article.</w:t>
      </w:r>
    </w:p>
    <w:p>
      <w:pPr>
        <w:pStyle w:val="ArticleScripture"/>
        <w:jc w:val="left"/>
      </w:pPr>
      <w:r>
        <w:rPr>
          <w:rFonts w:ascii="Times New Roman" w:hAnsi="Times New Roman" w:eastAsia="Times New Roman" w:cs="Times New Roman"/>
        </w:rPr>
        <w:t>“23 septembre, le Seigneur m’a montré qu’il avait étendu sa main une seconde fois pour recouvrer le reste de son peuple, et que les efforts devaient être redoublés en ce temps de rassemblement. Au temps de la dispersion, Israël fut frappé et déchiré; mais maintenant, au temps du rassemblement, Dieu guérira et bandera les plaies de son peuple. Durant la dispersion, les efforts faits pour répandre la vérité n’eurent que peu d’effet, n’accomplirent que peu ou rien; mais dans le rassemblement, lorsque Dieu a mis sa main à l’œuvre pour rassembler son peuple, les efforts déployés pour répandre la vérité produiront l’effet qu’ils doivent produire. Tous doivent être unis et zélés dans l’œuvre. J’ai vu que c’était une honte pour quiconque de se référer à la dispersion pour y prendre des exemples destinés à nous gouverner maintenant dans le rassemblement; car si Dieu ne faisait pas davantage pour nous maintenant qu’il ne fit alors, Israël ne serait jamais rassemblé. Il est tout aussi nécessaire que la vérité soit publiée dans un journal qu’annoncée par la prédication.</w:t>
      </w:r>
    </w:p>
    <w:p>
      <w:pPr>
        <w:pStyle w:val="ArticleScripture"/>
        <w:jc w:val="left"/>
      </w:pPr>
      <w:r>
        <w:rPr>
          <w:rFonts w:ascii="Times New Roman" w:hAnsi="Times New Roman" w:eastAsia="Times New Roman" w:cs="Times New Roman"/>
        </w:rPr>
        <w:t>«Տէրը ցոյց տուաւ ինծի, թէ 1843-ի քարտը առաջնորդուած էր իր ձեռքով, եւ թէ անոր ոչ մէկ մասը պէտք է փոփոխուի. թէ թիւերը այնպէս էին, ինչպէս ինք կ՚ուզէր։ Թէ իր ձեռքը անոր վրայ էր եւ կը ծածկէր թիւերէն ոմանց մէջ եղած մէկ սխալ, որպէսզի ոչ ոք չկարենար զայն տեսնել, մինչեւ որ իր ձեռքը վերցուեցաւ։»</w:t>
      </w:r>
    </w:p>
    <w:p>
      <w:pPr>
        <w:pStyle w:val="ArticleScripture"/>
        <w:jc w:val="left"/>
      </w:pPr>
      <w:r>
        <w:rPr>
          <w:rFonts w:ascii="Times New Roman" w:hAnsi="Times New Roman" w:eastAsia="Times New Roman" w:cs="Times New Roman"/>
        </w:rPr>
        <w:t>« Ensuite, je vis, au sujet du “Perpétuel”, que le mot “sacrifice” avait été ajouté par la sagesse de l’homme et n’appartient pas au texte ; et que le Seigneur en donna la juste compréhension à ceux qui proclamèrent le cri de l’heure du jugement. Lorsqu’il y avait union, avant 1844, presque tous étaient unis sur la juste compréhension du “Perpétuel” ; mais depuis 1844, dans la confusion, d’autres vues ont été adoptées, et les ténèbres et la confusion s’en sont suivies. » Review and Herald, 1er novembre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Themanini na Tisa</dc:title>
  <dc:subject>Furira Inyigisho z’Ikinyoma: Isuzuma ry’Amateka ku byerekeye “Igitambo gihoraho” mu Itorero ry’Abadivantisiti</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