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quatre-vingt-dix</w:t>
      </w:r>
    </w:p>
    <w:p>
      <w:pPr>
        <w:pStyle w:val="ArticleSubtitle"/>
        <w:jc w:val="left"/>
      </w:pPr>
      <w:r>
        <w:rPr>
          <w:rFonts w:ascii="Arial" w:hAnsi="Arial" w:eastAsia="Arial" w:cs="Arial"/>
        </w:rPr>
        <w:t>Défaire l’Énigme du « Continuel » : examen historique des controverses et des contradictions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Si vous avez examiné attentivement le dernier passage de l’article précédent, vous aurez vu la source originale du passage que l’on trouve dans le livre Early Writings, qu’A. G. Daniells affirme avoir emporté avec lui lors de son entretien, en 1910, avec Sister White au sujet du « continual ». Ceux qui travaillaient à établir le « mensonge » selon lequel « le continual » représenterait le ministère de Christ dans le sanctuaire devaient saper l’approbation directe et claire que Sister White donnait à la juste compréhension présentée par ceux qui avaient proclamé le cri de l’heure du jugement. Le « mensonge » qu’ils inventèrent était que le seul avertissement au sujet duquel Sister White se montrait précise était l’avertissement contre la fixation de dates. C’est ce qu’Arthur White s’efforce d’établir dans sa biographie, et c’est ce que son père, le fils d’Ellen White, ainsi que Daniells, cherchaient à prouver au moyen de cet entretien inventé.</w:t>
      </w:r>
    </w:p>
    <w:p>
      <w:pPr>
        <w:pStyle w:val="ArticleBody"/>
        <w:jc w:val="left"/>
      </w:pPr>
      <w:r>
        <w:rPr>
          <w:rFonts w:ascii="Times New Roman" w:hAnsi="Times New Roman" w:eastAsia="Times New Roman" w:cs="Times New Roman"/>
        </w:rPr>
        <w:t>Comme il a déjà été noté, il n’existe aucun compte rendu d’un quelconque entretien entre Sœur White et Daniells au sujet du « perpétuel ». Le prétendu entretien fut avancé en 1931. Si Sœur White avait approuvé, lors d’un entretien en 1910, la conception déchue de Daniells concernant « le perpétuel », pourquoi aurait-il, lui que Sœur White avait désigné comme zélé à promouvoir son point de vue, gardé le silence sur son approbation pendant vingt et un ans ? Ce n’était pas un entretien, c’était une invention.</w:t>
      </w:r>
    </w:p>
    <w:p>
      <w:pPr>
        <w:pStyle w:val="ArticleBody"/>
        <w:jc w:val="left"/>
      </w:pPr>
      <w:r>
        <w:rPr>
          <w:rFonts w:ascii="Times New Roman" w:hAnsi="Times New Roman" w:eastAsia="Times New Roman" w:cs="Times New Roman"/>
        </w:rPr>
        <w:t>Le fait d’inventer l’entretien visait à présenter le contexte de sa déclaration au sujet du « continuel » comme s’il s’agissait de quelque chose d’accessoire à son avertissement contre la fixation de dates, et Arthur White a apposé ses empreintes sur ce mensonge par la manière dont il a présenté l’histoire de 1931. En tant que chrétien, il aurait dû simplement rapporter l’histoire et laisser le révisionnisme historique hors de l’affaire. Nous avons terminé le dernier article avec le passage de 1850 dont est tiré le passage des Early Writings. Cette déclaration parut d’abord en 1850, dans la Review, puis de nouveau dans le livre Experience and Views. La troisième fois qu’elle apparaît, c’est dans le livre Early Writings, mais, dans son évolution jusqu’au livre Early Writings, certains changements sont intervenus. Toutefois, nous ne dirions pas que beaucoup d’écrits de l’Esprit de prophétie ont été modifiés, comme certains le prétendent dans leur effort pour discréditer son œuvre.</w:t>
      </w:r>
    </w:p>
    <w:p>
      <w:pPr>
        <w:pStyle w:val="ArticleScripture"/>
        <w:jc w:val="left"/>
      </w:pPr>
      <w:r>
        <w:rPr>
          <w:rFonts w:ascii="Times New Roman" w:hAnsi="Times New Roman" w:eastAsia="Times New Roman" w:cs="Times New Roman"/>
        </w:rPr>
        <w:t>“Seigneur la in soemaotem mi se chart blong 1843 i bin stap long daereksen blong han blong Hem, mo se i no gat wan pat long hem we i mas jenis; se ol figia oli stret olsem we Hem i wantem. Se han blong Hem i stap antap long, mo i haedem wan rong long sam long ol figia, blong i no gat man i save luk hem, kasem taem we han blong Hem i bin kamaot.”</w:t>
      </w:r>
    </w:p>
    <w:p>
      <w:pPr>
        <w:pStyle w:val="ArticleScripture"/>
        <w:jc w:val="left"/>
      </w:pPr>
      <w:r>
        <w:rPr>
          <w:rFonts w:ascii="Times New Roman" w:hAnsi="Times New Roman" w:eastAsia="Times New Roman" w:cs="Times New Roman"/>
        </w:rPr>
        <w:t>«Puis je vis, au sujet du “Perpétuel”, que le mot “sacrifice” a été ajouté par la sagesse humaine et n’appartient pas au texte; et que le Seigneur en a donné la juste compréhension à ceux qui ont proclamé le cri de l’heure du jugement. Lorsqu’il y avait union, avant 1844, presque tous étaient unis sur la juste compréhension du “Perpétuel”; mais depuis 1844, dans la confusion, d’autres vues ont été adoptées, et les ténèbres et la confusion s’en sont suivies.» Review and Herald, 1er novembre 1850.</w:t>
      </w:r>
    </w:p>
    <w:p>
      <w:pPr>
        <w:pStyle w:val="ArticleBody"/>
        <w:jc w:val="left"/>
      </w:pPr>
      <w:r>
        <w:rPr>
          <w:rFonts w:ascii="Times New Roman" w:hAnsi="Times New Roman" w:eastAsia="Times New Roman" w:cs="Times New Roman"/>
        </w:rPr>
        <w:t>Ce passage parut à l’origine dans la publication intitulée *The Present Truth* en 1849, mais il fut imprimé dans la *Review and Herald* en novembre 1850. Dans le manuscrit original, Sœur White déclare directement qu’elle met par écrit plusieurs choses que le Seigneur lui avait récemment montrées, et, à la lecture de l’article entier, vous verrez que de nombreux sujets y sont abordés. Il y a environ vingt sujets différents qui lui furent montrés. L’essentiel est que, dans l’article original, le sujet du « continual », et le sujet de la « fixation de dates » étaient deux révélations distinctes parmi les choses qui lui furent montrées.</w:t>
      </w:r>
    </w:p>
    <w:p>
      <w:pPr>
        <w:pStyle w:val="ArticleBody"/>
        <w:jc w:val="left"/>
      </w:pPr>
      <w:r>
        <w:rPr>
          <w:rFonts w:ascii="Times New Roman" w:hAnsi="Times New Roman" w:eastAsia="Times New Roman" w:cs="Times New Roman"/>
        </w:rPr>
        <w:t>Nafkanya ha mesaume akɔsɔ wɔn wɔ nkyekyɛmu ahorow mu. Bere a wɔsan tintim saa fa no wɔ *Experience and Views* mu no, adwumayɛfo no de nkyekyɛmu a mu Sister White gyina akwampaefo no adwene a ɛfa “the daily” ho no akyi, kaa nkyekyɛmu a edi hɔ a ɛbɔ kɔkɔ tia berehyɛ mu. Bere a worekenkan mfitiase nkyerɛwee no, hyɛ no nsow sɛ wɔde Nkyerɛwde Akɛse asi nsɛm binom so dua. Wɔ nkyekyɛmu a mu ɔde ne pene to akwampaefo no adwene a ɛfa “the daily” ho no so no, ɔde akɛse kyerɛw asɛmfua *Daily*, na nkyekyɛmu a edi hɔ no mu nso ɔde akɛse kyerɛw asɛmfua *Time*, na saa kwan yi so na ɔdaa nsonsonoe tẽẽ a ɛda nsɛm abien a wɔde kyerɛɛ no no ntam adi.</w:t>
      </w:r>
    </w:p>
    <w:p>
      <w:pPr>
        <w:pStyle w:val="ArticleScripture"/>
        <w:jc w:val="left"/>
      </w:pPr>
      <w:r>
        <w:rPr>
          <w:rFonts w:ascii="Times New Roman" w:hAnsi="Times New Roman" w:eastAsia="Times New Roman" w:cs="Times New Roman"/>
        </w:rPr>
        <w:t>“Chers Frères et Sœurs,</w:t>
      </w:r>
    </w:p>
    <w:p>
      <w:pPr>
        <w:pStyle w:val="ArticleScripture"/>
        <w:jc w:val="left"/>
      </w:pPr>
      <w:r>
        <w:rPr>
          <w:rFonts w:ascii="Times New Roman" w:hAnsi="Times New Roman" w:eastAsia="Times New Roman" w:cs="Times New Roman"/>
        </w:rPr>
        <w:t>«من می‌خواهم طرحی کوتاه از آنچه خداوند اخیراً در رؤیا به من نشان داده است به شما بدهم. زیبایی و دل‌انگیزیِ عیسی و محبتی را که فرشتگان نسبت به یکدیگر دارند، به من نشان داده شد. فرشته گفت: آیا نمی‌توانید محبت ایشان را ببینید؟—از آن پیروی کنید. قوم خدا نیز باید درست به همین‌سان یکدیگر را محبت کنند. بهتر آن است که ملامت بر خودت وارد آید تا بر برادری. دیدم که پیامِ «آنچه دارید بفروشید و صدقه دهید» از سوی بعضی در روشنیِ آشکارِ آن داده نشده بود؛ و اینکه مقصود حقیقیِ سخنان منجیِ ما به‌وضوح عرضه نشده بود. دیدم که مقصود از فروختن این نبود که به کسانی داده شود که قادرند کار کنند و معاش خود را فراهم آورند؛ بلکه برای گسترش حقیقت بود. حمایت کردن و نازپروردنِ کسانی که قادر به کارند، در بطالت، گناه است. بعضی در حضور در همهٔ اجتماعات غیرتمند بوده‌اند؛ نه برای تمجید خدا، بلکه برای «نان‌ها و ماهی‌ها». چنین کسانی بسیار بهتر است که در خانه مانده، با دستان خود به «آنچه نیکوست» مشغول کار شوند، تا نیازهای خانواده‌های خود را فراهم کنند و چیزی نیز داشته باشند که برای حمایت از آرمانِ گرانبهای حقیقتِ حاضر بدهند.»</w:t>
      </w:r>
    </w:p>
    <w:p>
      <w:pPr>
        <w:pStyle w:val="ArticleScripture"/>
        <w:jc w:val="left"/>
      </w:pPr>
      <w:r>
        <w:rPr>
          <w:rFonts w:ascii="Times New Roman" w:hAnsi="Times New Roman" w:eastAsia="Times New Roman" w:cs="Times New Roman"/>
        </w:rPr>
        <w:t>“Waaru kaan iyyay, ayyi qaar ka mid ahi ku qaldameen inay u tukadaan kuwa buka in la bogsiiyo iyadoo ay hortooda joogaan kuwa aan rumaysnayn. Haddii uu jiro qof innaga mid ah oo buka, oo u yeedha waayeellada kiniisadda si ay ugu tukadaan dushiisa, sida ku qoran Yacquub 5:14, 15, waa inaynu raacnaa tusaalihii Ciise. Isagu wuxuu kuwii aan rumaysnayn ka saaray qolka, dabadeedna wuu bogsiiyey bukaankii; sidaas oo kalena innaguna waa inaynu doonno in laynaga sooco rumaysadla’aanta kuwa aan iimaanka lahayn, markaynu u tukanayno kuwa buka ee innaga dhex jooga.”</w:t>
      </w:r>
    </w:p>
    <w:p>
      <w:pPr>
        <w:pStyle w:val="ArticleScripture"/>
        <w:jc w:val="left"/>
      </w:pPr>
      <w:r>
        <w:rPr>
          <w:rFonts w:ascii="Times New Roman" w:hAnsi="Times New Roman" w:eastAsia="Times New Roman" w:cs="Times New Roman"/>
        </w:rPr>
        <w:t>«Puis mon attention fut ramenée au moment où Jésus emmena ses disciples à l’écart, dans une chambre haute, et leur lava d’abord les pieds, puis leur donna à manger du pain rompu, pour représenter son corps brisé, et du fruit de la vigne, pour représenter son sang versé. Je vis que tous devaient agir avec intelligence et suivre en ces choses l’exemple de Jésus, et que, lorsqu’ils participaient à ces ordonnances, ils devaient être autant que possible séparés des incroyants. »</w:t>
      </w:r>
    </w:p>
    <w:p>
      <w:pPr>
        <w:pStyle w:val="ArticleScripture"/>
        <w:jc w:val="left"/>
      </w:pPr>
      <w:r>
        <w:rPr>
          <w:rFonts w:ascii="Times New Roman" w:hAnsi="Times New Roman" w:eastAsia="Times New Roman" w:cs="Times New Roman"/>
        </w:rPr>
        <w:t>«Puis il me fut montré que les sept dernières plaies seront déversées, après que Jésus aura quitté le Sanctuaire. L’ange dit : C’est la colère de Dieu et de l’Agneau qui cause la destruction ou la mort des méchants. À la voix de Dieu, les saints seront puissants et terribles comme une armée sous ses bannières ; mais alors ils n’exécuteront pas le jugement écrit. L’exécution du jugement aura lieu à la fin des mille ans.»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រាប់តាំងពីពួកបរិសុទ្ធត្រូវបានផ្លាស់ប្តូរទៅជាអមតភាព</w:t>
      </w:r>
      <w:r>
        <w:rPr>
          <w:rFonts w:ascii="Times New Roman" w:hAnsi="Times New Roman" w:eastAsia="Times New Roman" w:cs="Times New Roman"/>
        </w:rPr>
        <w:t xml:space="preserve"> </w:t>
      </w:r>
      <w:r>
        <w:rPr>
          <w:rFonts w:ascii="Leelawadee UI" w:hAnsi="Leelawadee UI" w:eastAsia="Leelawadee UI" w:cs="Leelawadee UI"/>
        </w:rPr>
        <w:t>ហើយត្រូវបានលើកឡើងទៅជាមួយគ្នា</w:t>
      </w:r>
      <w:r>
        <w:rPr>
          <w:rFonts w:ascii="Times New Roman" w:hAnsi="Times New Roman" w:eastAsia="Times New Roman" w:cs="Times New Roman"/>
        </w:rPr>
        <w:t xml:space="preserve"> </w:t>
      </w:r>
      <w:r>
        <w:rPr>
          <w:rFonts w:ascii="Leelawadee UI" w:hAnsi="Leelawadee UI" w:eastAsia="Leelawadee UI" w:cs="Leelawadee UI"/>
        </w:rPr>
        <w:t>ទទួលពិណ</w:t>
      </w:r>
      <w:r>
        <w:rPr>
          <w:rFonts w:ascii="Times New Roman" w:hAnsi="Times New Roman" w:eastAsia="Times New Roman" w:cs="Times New Roman"/>
        </w:rPr>
        <w:t xml:space="preserve"> </w:t>
      </w:r>
      <w:r>
        <w:rPr>
          <w:rFonts w:ascii="Leelawadee UI" w:hAnsi="Leelawadee UI" w:eastAsia="Leelawadee UI" w:cs="Leelawadee UI"/>
        </w:rPr>
        <w:t>ទទួលមកុដ</w:t>
      </w:r>
      <w:r>
        <w:rPr>
          <w:rFonts w:ascii="Times New Roman" w:hAnsi="Times New Roman" w:eastAsia="Times New Roman" w:cs="Times New Roman"/>
        </w:rPr>
        <w:t xml:space="preserve"> </w:t>
      </w:r>
      <w:r>
        <w:rPr>
          <w:rFonts w:ascii="Leelawadee UI" w:hAnsi="Leelawadee UI" w:eastAsia="Leelawadee UI" w:cs="Leelawadee UI"/>
        </w:rPr>
        <w:t>ជាដើម</w:t>
      </w:r>
      <w:r>
        <w:rPr>
          <w:rFonts w:ascii="Times New Roman" w:hAnsi="Times New Roman" w:eastAsia="Times New Roman" w:cs="Times New Roman"/>
        </w:rPr>
        <w:t xml:space="preserve"> </w:t>
      </w:r>
      <w:r>
        <w:rPr>
          <w:rFonts w:ascii="Leelawadee UI" w:hAnsi="Leelawadee UI" w:eastAsia="Leelawadee UI" w:cs="Leelawadee UI"/>
        </w:rPr>
        <w:t>ហើយចូលទៅក្នុងទីក្រុងបរិសុទ្ធ</w:t>
      </w:r>
      <w:r>
        <w:rPr>
          <w:rFonts w:ascii="Times New Roman" w:hAnsi="Times New Roman" w:eastAsia="Times New Roman" w:cs="Times New Roman"/>
        </w:rPr>
        <w:t xml:space="preserve"> </w:t>
      </w:r>
      <w:r>
        <w:rPr>
          <w:rFonts w:ascii="Leelawadee UI" w:hAnsi="Leelawadee UI" w:eastAsia="Leelawadee UI" w:cs="Leelawadee UI"/>
        </w:rPr>
        <w:t>នោះព្រះយេស៊ូវ</w:t>
      </w:r>
      <w:r>
        <w:rPr>
          <w:rFonts w:ascii="Times New Roman" w:hAnsi="Times New Roman" w:eastAsia="Times New Roman" w:cs="Times New Roman"/>
        </w:rPr>
        <w:t xml:space="preserve"> </w:t>
      </w:r>
      <w:r>
        <w:rPr>
          <w:rFonts w:ascii="Leelawadee UI" w:hAnsi="Leelawadee UI" w:eastAsia="Leelawadee UI" w:cs="Leelawadee UI"/>
        </w:rPr>
        <w:t>និងពួកបរិសុទ្ធក៏អង្គុយកាត់ក្តី។</w:t>
      </w:r>
      <w:r>
        <w:rPr>
          <w:rFonts w:ascii="Times New Roman" w:hAnsi="Times New Roman" w:eastAsia="Times New Roman" w:cs="Times New Roman"/>
        </w:rPr>
        <w:t xml:space="preserve"> </w:t>
      </w:r>
      <w:r>
        <w:rPr>
          <w:rFonts w:ascii="Leelawadee UI" w:hAnsi="Leelawadee UI" w:eastAsia="Leelawadee UI" w:cs="Leelawadee UI"/>
        </w:rPr>
        <w:t>សៀវភៅទាំងឡាយត្រូវបានបើកឡើង</w:t>
      </w:r>
      <w:r>
        <w:rPr>
          <w:rFonts w:ascii="Times New Roman" w:hAnsi="Times New Roman" w:eastAsia="Times New Roman" w:cs="Times New Roman"/>
        </w:rPr>
        <w:t xml:space="preserve"> </w:t>
      </w:r>
      <w:r>
        <w:rPr>
          <w:rFonts w:ascii="Leelawadee UI" w:hAnsi="Leelawadee UI" w:eastAsia="Leelawadee UI" w:cs="Leelawadee UI"/>
        </w:rPr>
        <w:t>គឺសៀវភៅជីវិត</w:t>
      </w:r>
      <w:r>
        <w:rPr>
          <w:rFonts w:ascii="Times New Roman" w:hAnsi="Times New Roman" w:eastAsia="Times New Roman" w:cs="Times New Roman"/>
        </w:rPr>
        <w:t xml:space="preserve"> </w:t>
      </w:r>
      <w:r>
        <w:rPr>
          <w:rFonts w:ascii="Leelawadee UI" w:hAnsi="Leelawadee UI" w:eastAsia="Leelawadee UI" w:cs="Leelawadee UI"/>
        </w:rPr>
        <w:t>និងសៀវភៅមរណៈ</w:t>
      </w:r>
      <w:r>
        <w:rPr>
          <w:rFonts w:ascii="Times New Roman" w:hAnsi="Times New Roman" w:eastAsia="Times New Roman" w:cs="Times New Roman"/>
        </w:rPr>
        <w:t xml:space="preserve">; </w:t>
      </w:r>
      <w:r>
        <w:rPr>
          <w:rFonts w:ascii="Leelawadee UI" w:hAnsi="Leelawadee UI" w:eastAsia="Leelawadee UI" w:cs="Leelawadee UI"/>
        </w:rPr>
        <w:t>សៀវភៅជីវិតមានកិច្ចការល្អរបស់ពួកបរិសុទ្ធ</w:t>
      </w:r>
      <w:r>
        <w:rPr>
          <w:rFonts w:ascii="Times New Roman" w:hAnsi="Times New Roman" w:eastAsia="Times New Roman" w:cs="Times New Roman"/>
        </w:rPr>
        <w:t xml:space="preserve"> </w:t>
      </w:r>
      <w:r>
        <w:rPr>
          <w:rFonts w:ascii="Leelawadee UI" w:hAnsi="Leelawadee UI" w:eastAsia="Leelawadee UI" w:cs="Leelawadee UI"/>
        </w:rPr>
        <w:t>ហើយសៀវភៅមរណៈមានកិច្ចការអាក្រក់របស់មនុស្សអាក្រក់។</w:t>
      </w:r>
      <w:r>
        <w:rPr>
          <w:rFonts w:ascii="Times New Roman" w:hAnsi="Times New Roman" w:eastAsia="Times New Roman" w:cs="Times New Roman"/>
        </w:rPr>
        <w:t xml:space="preserve"> </w:t>
      </w:r>
      <w:r>
        <w:rPr>
          <w:rFonts w:ascii="Leelawadee UI" w:hAnsi="Leelawadee UI" w:eastAsia="Leelawadee UI" w:cs="Leelawadee UI"/>
        </w:rPr>
        <w:t>សៀវភៅទាំងនេះត្រូវបានប្រៀបធៀបនឹងសៀវភៅក្រឹត្យវិន័យ</w:t>
      </w:r>
      <w:r>
        <w:rPr>
          <w:rFonts w:ascii="Times New Roman" w:hAnsi="Times New Roman" w:eastAsia="Times New Roman" w:cs="Times New Roman"/>
        </w:rPr>
        <w:t xml:space="preserve"> </w:t>
      </w:r>
      <w:r>
        <w:rPr>
          <w:rFonts w:ascii="Leelawadee UI" w:hAnsi="Leelawadee UI" w:eastAsia="Leelawadee UI" w:cs="Leelawadee UI"/>
        </w:rPr>
        <w:t>គឺព្រះគម្ពីរ</w:t>
      </w:r>
      <w:r>
        <w:rPr>
          <w:rFonts w:ascii="Times New Roman" w:hAnsi="Times New Roman" w:eastAsia="Times New Roman" w:cs="Times New Roman"/>
        </w:rPr>
        <w:t xml:space="preserve"> </w:t>
      </w:r>
      <w:r>
        <w:rPr>
          <w:rFonts w:ascii="Leelawadee UI" w:hAnsi="Leelawadee UI" w:eastAsia="Leelawadee UI" w:cs="Leelawadee UI"/>
        </w:rPr>
        <w:t>ហើយតាមសៀវភៅនោះ</w:t>
      </w:r>
      <w:r>
        <w:rPr>
          <w:rFonts w:ascii="Times New Roman" w:hAnsi="Times New Roman" w:eastAsia="Times New Roman" w:cs="Times New Roman"/>
        </w:rPr>
        <w:t xml:space="preserve"> </w:t>
      </w:r>
      <w:r>
        <w:rPr>
          <w:rFonts w:ascii="Leelawadee UI" w:hAnsi="Leelawadee UI" w:eastAsia="Leelawadee UI" w:cs="Leelawadee UI"/>
        </w:rPr>
        <w:t>ពួកគេត្រូវបានវិនិច្ឆ័យ។</w:t>
      </w:r>
      <w:r>
        <w:rPr>
          <w:rFonts w:ascii="Times New Roman" w:hAnsi="Times New Roman" w:eastAsia="Times New Roman" w:cs="Times New Roman"/>
        </w:rPr>
        <w:t xml:space="preserve"> </w:t>
      </w:r>
      <w:r>
        <w:rPr>
          <w:rFonts w:ascii="Leelawadee UI" w:hAnsi="Leelawadee UI" w:eastAsia="Leelawadee UI" w:cs="Leelawadee UI"/>
        </w:rPr>
        <w:t>ពួកបរិសុទ្ធ</w:t>
      </w:r>
      <w:r>
        <w:rPr>
          <w:rFonts w:ascii="Times New Roman" w:hAnsi="Times New Roman" w:eastAsia="Times New Roman" w:cs="Times New Roman"/>
        </w:rPr>
        <w:t xml:space="preserve"> </w:t>
      </w:r>
      <w:r>
        <w:rPr>
          <w:rFonts w:ascii="Leelawadee UI" w:hAnsi="Leelawadee UI" w:eastAsia="Leelawadee UI" w:cs="Leelawadee UI"/>
        </w:rPr>
        <w:t>ដោយសាមគ្គីជាមួយព្រះយេស៊ូវ</w:t>
      </w:r>
      <w:r>
        <w:rPr>
          <w:rFonts w:ascii="Times New Roman" w:hAnsi="Times New Roman" w:eastAsia="Times New Roman" w:cs="Times New Roman"/>
        </w:rPr>
        <w:t xml:space="preserve"> </w:t>
      </w:r>
      <w:r>
        <w:rPr>
          <w:rFonts w:ascii="Leelawadee UI" w:hAnsi="Leelawadee UI" w:eastAsia="Leelawadee UI" w:cs="Leelawadee UI"/>
        </w:rPr>
        <w:t>ប្រកាសសេចក្តីវិនិច្ឆ័យលើមនុស្សអាក្រក់ដែលស្លាប់ទៅហើយ។</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ទេវតាបាននិយាយថា</w:t>
      </w:r>
      <w:r>
        <w:rPr>
          <w:rFonts w:ascii="Times New Roman" w:hAnsi="Times New Roman" w:eastAsia="Times New Roman" w:cs="Times New Roman"/>
        </w:rPr>
        <w:t xml:space="preserve"> </w:t>
      </w:r>
      <w:r>
        <w:rPr>
          <w:rFonts w:ascii="Leelawadee UI" w:hAnsi="Leelawadee UI" w:eastAsia="Leelawadee UI" w:cs="Leelawadee UI"/>
        </w:rPr>
        <w:t>ពួកបរិសុទ្ធអង្គុយកាត់ក្តី</w:t>
      </w:r>
      <w:r>
        <w:rPr>
          <w:rFonts w:ascii="Times New Roman" w:hAnsi="Times New Roman" w:eastAsia="Times New Roman" w:cs="Times New Roman"/>
        </w:rPr>
        <w:t xml:space="preserve"> </w:t>
      </w:r>
      <w:r>
        <w:rPr>
          <w:rFonts w:ascii="Leelawadee UI" w:hAnsi="Leelawadee UI" w:eastAsia="Leelawadee UI" w:cs="Leelawadee UI"/>
        </w:rPr>
        <w:t>ដោយសាមគ្គីជាមួយព្រះយេស៊ូវ</w:t>
      </w:r>
      <w:r>
        <w:rPr>
          <w:rFonts w:ascii="Times New Roman" w:hAnsi="Times New Roman" w:eastAsia="Times New Roman" w:cs="Times New Roman"/>
        </w:rPr>
        <w:t xml:space="preserve"> </w:t>
      </w:r>
      <w:r>
        <w:rPr>
          <w:rFonts w:ascii="Leelawadee UI" w:hAnsi="Leelawadee UI" w:eastAsia="Leelawadee UI" w:cs="Leelawadee UI"/>
        </w:rPr>
        <w:t>ហើយកំណត់ដល់មនុស្សអាក្រក់ម្នាក់ៗតាមអំពើដែលបានប្រព្រឹត្តក្នុងរូបកាយ</w:t>
      </w:r>
      <w:r>
        <w:rPr>
          <w:rFonts w:ascii="Times New Roman" w:hAnsi="Times New Roman" w:eastAsia="Times New Roman" w:cs="Times New Roman"/>
        </w:rPr>
        <w:t xml:space="preserve"> </w:t>
      </w:r>
      <w:r>
        <w:rPr>
          <w:rFonts w:ascii="Leelawadee UI" w:hAnsi="Leelawadee UI" w:eastAsia="Leelawadee UI" w:cs="Leelawadee UI"/>
        </w:rPr>
        <w:t>ហើយអ្វីដែលពួកគេត្រូវទទួលនៅពេលអនុវត្តសេចក្តីវិនិច្ឆ័យ</w:t>
      </w:r>
      <w:r>
        <w:rPr>
          <w:rFonts w:ascii="Times New Roman" w:hAnsi="Times New Roman" w:eastAsia="Times New Roman" w:cs="Times New Roman"/>
        </w:rPr>
        <w:t xml:space="preserve"> </w:t>
      </w:r>
      <w:r>
        <w:rPr>
          <w:rFonts w:ascii="Leelawadee UI" w:hAnsi="Leelawadee UI" w:eastAsia="Leelawadee UI" w:cs="Leelawadee UI"/>
        </w:rPr>
        <w:t>ត្រូវបានកត់ទុកទល់នឹងឈ្មោះរបស់ពួកគេ។</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នេះជាកិច្ចការរបស់ពួកបរិសុទ្ធជាមួយព្រះយេស៊ូវ</w:t>
      </w:r>
      <w:r>
        <w:rPr>
          <w:rFonts w:ascii="Times New Roman" w:hAnsi="Times New Roman" w:eastAsia="Times New Roman" w:cs="Times New Roman"/>
        </w:rPr>
        <w:t xml:space="preserve"> </w:t>
      </w:r>
      <w:r>
        <w:rPr>
          <w:rFonts w:ascii="Leelawadee UI" w:hAnsi="Leelawadee UI" w:eastAsia="Leelawadee UI" w:cs="Leelawadee UI"/>
        </w:rPr>
        <w:t>នៅក្នុងទីក្រុងបរិសុទ្ធ</w:t>
      </w:r>
      <w:r>
        <w:rPr>
          <w:rFonts w:ascii="Times New Roman" w:hAnsi="Times New Roman" w:eastAsia="Times New Roman" w:cs="Times New Roman"/>
        </w:rPr>
        <w:t xml:space="preserve"> </w:t>
      </w:r>
      <w:r>
        <w:rPr>
          <w:rFonts w:ascii="Leelawadee UI" w:hAnsi="Leelawadee UI" w:eastAsia="Leelawadee UI" w:cs="Leelawadee UI"/>
        </w:rPr>
        <w:t>មុនពេលទីក្រុងនោះចុះមកលើផែនដី</w:t>
      </w:r>
      <w:r>
        <w:rPr>
          <w:rFonts w:ascii="Times New Roman" w:hAnsi="Times New Roman" w:eastAsia="Times New Roman" w:cs="Times New Roman"/>
        </w:rPr>
        <w:t xml:space="preserve"> </w:t>
      </w:r>
      <w:r>
        <w:rPr>
          <w:rFonts w:ascii="Leelawadee UI" w:hAnsi="Leelawadee UI" w:eastAsia="Leelawadee UI" w:cs="Leelawadee UI"/>
        </w:rPr>
        <w:t>ក្នុងអំឡុងពេល</w:t>
      </w:r>
      <w:r>
        <w:rPr>
          <w:rFonts w:ascii="Times New Roman" w:hAnsi="Times New Roman" w:eastAsia="Times New Roman" w:cs="Times New Roman"/>
        </w:rPr>
        <w:t xml:space="preserve"> 1000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នៅចុងបញ្ចប់នៃ</w:t>
      </w:r>
      <w:r>
        <w:rPr>
          <w:rFonts w:ascii="Times New Roman" w:hAnsi="Times New Roman" w:eastAsia="Times New Roman" w:cs="Times New Roman"/>
        </w:rPr>
        <w:t xml:space="preserve"> 1000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ព្រះយេស៊ូវ</w:t>
      </w:r>
      <w:r>
        <w:rPr>
          <w:rFonts w:ascii="Times New Roman" w:hAnsi="Times New Roman" w:eastAsia="Times New Roman" w:cs="Times New Roman"/>
        </w:rPr>
        <w:t xml:space="preserve"> </w:t>
      </w:r>
      <w:r>
        <w:rPr>
          <w:rFonts w:ascii="Leelawadee UI" w:hAnsi="Leelawadee UI" w:eastAsia="Leelawadee UI" w:cs="Leelawadee UI"/>
        </w:rPr>
        <w:t>ពួកទេវតា</w:t>
      </w:r>
      <w:r>
        <w:rPr>
          <w:rFonts w:ascii="Times New Roman" w:hAnsi="Times New Roman" w:eastAsia="Times New Roman" w:cs="Times New Roman"/>
        </w:rPr>
        <w:t xml:space="preserve"> </w:t>
      </w:r>
      <w:r>
        <w:rPr>
          <w:rFonts w:ascii="Leelawadee UI" w:hAnsi="Leelawadee UI" w:eastAsia="Leelawadee UI" w:cs="Leelawadee UI"/>
        </w:rPr>
        <w:t>និងពួកបរិសុទ្ធទាំងអស់ដែលនៅជាមួយទ្រង់</w:t>
      </w:r>
      <w:r>
        <w:rPr>
          <w:rFonts w:ascii="Times New Roman" w:hAnsi="Times New Roman" w:eastAsia="Times New Roman" w:cs="Times New Roman"/>
        </w:rPr>
        <w:t xml:space="preserve"> </w:t>
      </w:r>
      <w:r>
        <w:rPr>
          <w:rFonts w:ascii="Leelawadee UI" w:hAnsi="Leelawadee UI" w:eastAsia="Leelawadee UI" w:cs="Leelawadee UI"/>
        </w:rPr>
        <w:t>ចាកចេញពីទីក្រុងបរិសុទ្ធ</w:t>
      </w:r>
      <w:r>
        <w:rPr>
          <w:rFonts w:ascii="Times New Roman" w:hAnsi="Times New Roman" w:eastAsia="Times New Roman" w:cs="Times New Roman"/>
        </w:rPr>
        <w:t xml:space="preserve"> </w:t>
      </w:r>
      <w:r>
        <w:rPr>
          <w:rFonts w:ascii="Leelawadee UI" w:hAnsi="Leelawadee UI" w:eastAsia="Leelawadee UI" w:cs="Leelawadee UI"/>
        </w:rPr>
        <w:t>ហើយខណៈដែលទ្រង់កំពុងចុះមកផែនដីជាមួយពួកគេ</w:t>
      </w:r>
      <w:r>
        <w:rPr>
          <w:rFonts w:ascii="Times New Roman" w:hAnsi="Times New Roman" w:eastAsia="Times New Roman" w:cs="Times New Roman"/>
        </w:rPr>
        <w:t xml:space="preserve"> </w:t>
      </w:r>
      <w:r>
        <w:rPr>
          <w:rFonts w:ascii="Leelawadee UI" w:hAnsi="Leelawadee UI" w:eastAsia="Leelawadee UI" w:cs="Leelawadee UI"/>
        </w:rPr>
        <w:t>មនុស្សអាក្រក់ដែលស្លាប់ទៅហើយត្រូវបានប្រោសឲ្យរស់ឡើងវិញ</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មនុស្សដដែលដែលបាន</w:t>
      </w:r>
      <w:r>
        <w:rPr>
          <w:rFonts w:ascii="Times New Roman" w:hAnsi="Times New Roman" w:eastAsia="Times New Roman" w:cs="Times New Roman"/>
        </w:rPr>
        <w:t xml:space="preserve"> ‘</w:t>
      </w:r>
      <w:r>
        <w:rPr>
          <w:rFonts w:ascii="Leelawadee UI" w:hAnsi="Leelawadee UI" w:eastAsia="Leelawadee UI" w:cs="Leelawadee UI"/>
        </w:rPr>
        <w:t>ចាក់ទ្រង់</w:t>
      </w:r>
      <w:r>
        <w:rPr>
          <w:rFonts w:ascii="Times New Roman" w:hAnsi="Times New Roman" w:eastAsia="Times New Roman" w:cs="Times New Roman"/>
        </w:rPr>
        <w:t xml:space="preserve">’ </w:t>
      </w:r>
      <w:r>
        <w:rPr>
          <w:rFonts w:ascii="Leelawadee UI" w:hAnsi="Leelawadee UI" w:eastAsia="Leelawadee UI" w:cs="Leelawadee UI"/>
        </w:rPr>
        <w:t>ពេលត្រូវបានប្រោសឲ្យរស់ឡើងវិញ</w:t>
      </w:r>
      <w:r>
        <w:rPr>
          <w:rFonts w:ascii="Times New Roman" w:hAnsi="Times New Roman" w:eastAsia="Times New Roman" w:cs="Times New Roman"/>
        </w:rPr>
        <w:t xml:space="preserve"> </w:t>
      </w:r>
      <w:r>
        <w:rPr>
          <w:rFonts w:ascii="Leelawadee UI" w:hAnsi="Leelawadee UI" w:eastAsia="Leelawadee UI" w:cs="Leelawadee UI"/>
        </w:rPr>
        <w:t>នឹងឃើញទ្រង់ពីចម្ងាយក្នុងសិរីល្អទាំងអស់របស់ទ្រង់</w:t>
      </w:r>
      <w:r>
        <w:rPr>
          <w:rFonts w:ascii="Times New Roman" w:hAnsi="Times New Roman" w:eastAsia="Times New Roman" w:cs="Times New Roman"/>
        </w:rPr>
        <w:t xml:space="preserve"> </w:t>
      </w:r>
      <w:r>
        <w:rPr>
          <w:rFonts w:ascii="Leelawadee UI" w:hAnsi="Leelawadee UI" w:eastAsia="Leelawadee UI" w:cs="Leelawadee UI"/>
        </w:rPr>
        <w:t>ដោយមានទេវតា</w:t>
      </w:r>
      <w:r>
        <w:rPr>
          <w:rFonts w:ascii="Times New Roman" w:hAnsi="Times New Roman" w:eastAsia="Times New Roman" w:cs="Times New Roman"/>
        </w:rPr>
        <w:t xml:space="preserve"> </w:t>
      </w:r>
      <w:r>
        <w:rPr>
          <w:rFonts w:ascii="Leelawadee UI" w:hAnsi="Leelawadee UI" w:eastAsia="Leelawadee UI" w:cs="Leelawadee UI"/>
        </w:rPr>
        <w:t>និងពួកបរិសុទ្ធនៅជាមួយទ្រង់</w:t>
      </w:r>
      <w:r>
        <w:rPr>
          <w:rFonts w:ascii="Times New Roman" w:hAnsi="Times New Roman" w:eastAsia="Times New Roman" w:cs="Times New Roman"/>
        </w:rPr>
        <w:t xml:space="preserve"> </w:t>
      </w:r>
      <w:r>
        <w:rPr>
          <w:rFonts w:ascii="Leelawadee UI" w:hAnsi="Leelawadee UI" w:eastAsia="Leelawadee UI" w:cs="Leelawadee UI"/>
        </w:rPr>
        <w:t>ហើយពួកគេនឹងយំសោកដោយព្រោះទ្រង់។</w:t>
      </w:r>
      <w:r>
        <w:rPr>
          <w:rFonts w:ascii="Times New Roman" w:hAnsi="Times New Roman" w:eastAsia="Times New Roman" w:cs="Times New Roman"/>
        </w:rPr>
        <w:t xml:space="preserve"> </w:t>
      </w:r>
      <w:r>
        <w:rPr>
          <w:rFonts w:ascii="Leelawadee UI" w:hAnsi="Leelawadee UI" w:eastAsia="Leelawadee UI" w:cs="Leelawadee UI"/>
        </w:rPr>
        <w:t>ពួកគេនឹងឃើញស្នាមដែកគោលនៅលើព្រះហស្តរបស់ទ្រង់</w:t>
      </w:r>
      <w:r>
        <w:rPr>
          <w:rFonts w:ascii="Times New Roman" w:hAnsi="Times New Roman" w:eastAsia="Times New Roman" w:cs="Times New Roman"/>
        </w:rPr>
        <w:t xml:space="preserve"> </w:t>
      </w:r>
      <w:r>
        <w:rPr>
          <w:rFonts w:ascii="Leelawadee UI" w:hAnsi="Leelawadee UI" w:eastAsia="Leelawadee UI" w:cs="Leelawadee UI"/>
        </w:rPr>
        <w:t>និងនៅលើព្រះបាទរបស់ទ្រង់</w:t>
      </w:r>
      <w:r>
        <w:rPr>
          <w:rFonts w:ascii="Times New Roman" w:hAnsi="Times New Roman" w:eastAsia="Times New Roman" w:cs="Times New Roman"/>
        </w:rPr>
        <w:t xml:space="preserve"> </w:t>
      </w:r>
      <w:r>
        <w:rPr>
          <w:rFonts w:ascii="Leelawadee UI" w:hAnsi="Leelawadee UI" w:eastAsia="Leelawadee UI" w:cs="Leelawadee UI"/>
        </w:rPr>
        <w:t>ព្រមទាំងកន្លែងដែលពួកគេបានចាក់លំពែងចូលទៅក្នុងចំហៀងរបស់ទ្រង់។</w:t>
      </w:r>
      <w:r>
        <w:rPr>
          <w:rFonts w:ascii="Times New Roman" w:hAnsi="Times New Roman" w:eastAsia="Times New Roman" w:cs="Times New Roman"/>
        </w:rPr>
        <w:t xml:space="preserve"> </w:t>
      </w:r>
      <w:r>
        <w:rPr>
          <w:rFonts w:ascii="Leelawadee UI" w:hAnsi="Leelawadee UI" w:eastAsia="Leelawadee UI" w:cs="Leelawadee UI"/>
        </w:rPr>
        <w:t>ស្នាមដែកគោល</w:t>
      </w:r>
      <w:r>
        <w:rPr>
          <w:rFonts w:ascii="Times New Roman" w:hAnsi="Times New Roman" w:eastAsia="Times New Roman" w:cs="Times New Roman"/>
        </w:rPr>
        <w:t xml:space="preserve"> </w:t>
      </w:r>
      <w:r>
        <w:rPr>
          <w:rFonts w:ascii="Leelawadee UI" w:hAnsi="Leelawadee UI" w:eastAsia="Leelawadee UI" w:cs="Leelawadee UI"/>
        </w:rPr>
        <w:t>និងស្នាមលំពែងនោះ</w:t>
      </w:r>
      <w:r>
        <w:rPr>
          <w:rFonts w:ascii="Times New Roman" w:hAnsi="Times New Roman" w:eastAsia="Times New Roman" w:cs="Times New Roman"/>
        </w:rPr>
        <w:t xml:space="preserve"> </w:t>
      </w:r>
      <w:r>
        <w:rPr>
          <w:rFonts w:ascii="Leelawadee UI" w:hAnsi="Leelawadee UI" w:eastAsia="Leelawadee UI" w:cs="Leelawadee UI"/>
        </w:rPr>
        <w:t>នឹងក្លាយជាសិរីល្អរបស់ទ្រង់នៅពេលនោះ។</w:t>
      </w:r>
      <w:r>
        <w:rPr>
          <w:rFonts w:ascii="Times New Roman" w:hAnsi="Times New Roman" w:eastAsia="Times New Roman" w:cs="Times New Roman"/>
        </w:rPr>
        <w:t xml:space="preserve"> </w:t>
      </w:r>
      <w:r>
        <w:rPr>
          <w:rFonts w:ascii="Leelawadee UI" w:hAnsi="Leelawadee UI" w:eastAsia="Leelawadee UI" w:cs="Leelawadee UI"/>
        </w:rPr>
        <w:t>នៅចុងបញ្ចប់នៃ</w:t>
      </w:r>
      <w:r>
        <w:rPr>
          <w:rFonts w:ascii="Times New Roman" w:hAnsi="Times New Roman" w:eastAsia="Times New Roman" w:cs="Times New Roman"/>
        </w:rPr>
        <w:t xml:space="preserve"> 1000 </w:t>
      </w:r>
      <w:r>
        <w:rPr>
          <w:rFonts w:ascii="Leelawadee UI" w:hAnsi="Leelawadee UI" w:eastAsia="Leelawadee UI" w:cs="Leelawadee UI"/>
        </w:rPr>
        <w:t>ឆ្នាំនេះហើយ</w:t>
      </w:r>
      <w:r>
        <w:rPr>
          <w:rFonts w:ascii="Times New Roman" w:hAnsi="Times New Roman" w:eastAsia="Times New Roman" w:cs="Times New Roman"/>
        </w:rPr>
        <w:t xml:space="preserve"> </w:t>
      </w:r>
      <w:r>
        <w:rPr>
          <w:rFonts w:ascii="Leelawadee UI" w:hAnsi="Leelawadee UI" w:eastAsia="Leelawadee UI" w:cs="Leelawadee UI"/>
        </w:rPr>
        <w:t>ដែលព្រះយេស៊ូវឈរនៅលើភ្នំអូលីវ</w:t>
      </w:r>
      <w:r>
        <w:rPr>
          <w:rFonts w:ascii="Times New Roman" w:hAnsi="Times New Roman" w:eastAsia="Times New Roman" w:cs="Times New Roman"/>
        </w:rPr>
        <w:t xml:space="preserve"> </w:t>
      </w:r>
      <w:r>
        <w:rPr>
          <w:rFonts w:ascii="Leelawadee UI" w:hAnsi="Leelawadee UI" w:eastAsia="Leelawadee UI" w:cs="Leelawadee UI"/>
        </w:rPr>
        <w:t>ហើយភ្នំនោះបែកចេញពីគ្នា</w:t>
      </w:r>
      <w:r>
        <w:rPr>
          <w:rFonts w:ascii="Times New Roman" w:hAnsi="Times New Roman" w:eastAsia="Times New Roman" w:cs="Times New Roman"/>
        </w:rPr>
        <w:t xml:space="preserve"> </w:t>
      </w:r>
      <w:r>
        <w:rPr>
          <w:rFonts w:ascii="Leelawadee UI" w:hAnsi="Leelawadee UI" w:eastAsia="Leelawadee UI" w:cs="Leelawadee UI"/>
        </w:rPr>
        <w:t>ក្លាយទៅជាទីរាបធំមួយ</w:t>
      </w:r>
      <w:r>
        <w:rPr>
          <w:rFonts w:ascii="Times New Roman" w:hAnsi="Times New Roman" w:eastAsia="Times New Roman" w:cs="Times New Roman"/>
        </w:rPr>
        <w:t xml:space="preserve"> </w:t>
      </w:r>
      <w:r>
        <w:rPr>
          <w:rFonts w:ascii="Leelawadee UI" w:hAnsi="Leelawadee UI" w:eastAsia="Leelawadee UI" w:cs="Leelawadee UI"/>
        </w:rPr>
        <w:t>ហើយអ្នកដែលរត់គេចនៅពេលនោះ</w:t>
      </w:r>
      <w:r>
        <w:rPr>
          <w:rFonts w:ascii="Times New Roman" w:hAnsi="Times New Roman" w:eastAsia="Times New Roman" w:cs="Times New Roman"/>
        </w:rPr>
        <w:t xml:space="preserve"> </w:t>
      </w:r>
      <w:r>
        <w:rPr>
          <w:rFonts w:ascii="Leelawadee UI" w:hAnsi="Leelawadee UI" w:eastAsia="Leelawadee UI" w:cs="Leelawadee UI"/>
        </w:rPr>
        <w:t>គឺមនុស្សអាក្រក់ដែលទើបតែត្រូវបានប្រោសឲ្យរស់ឡើងវិញ។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ទីក្រុងបរិសុទ្ធក៏ចុះមក</w:t>
      </w:r>
      <w:r>
        <w:rPr>
          <w:rFonts w:ascii="Times New Roman" w:hAnsi="Times New Roman" w:eastAsia="Times New Roman" w:cs="Times New Roman"/>
        </w:rPr>
        <w:t xml:space="preserve"> </w:t>
      </w:r>
      <w:r>
        <w:rPr>
          <w:rFonts w:ascii="Leelawadee UI" w:hAnsi="Leelawadee UI" w:eastAsia="Leelawadee UI" w:cs="Leelawadee UI"/>
        </w:rPr>
        <w:t>ហើយស្ថិតនៅលើទីរាបនោះ។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“Alors Satan remplit de son esprit les méchants qui ont été ressuscités. Il leur fait croire, par ses flatteries, que l’armée dans la Ville est peu nombreuse, tandis que la sienne est grande, et qu’ils peuvent vaincre les saints et s’emparer de la Ville. Tandis que Satan rassemblait son armée, les saints étaient dans la Ville, contemplant la beauté et la gloire du Paradis de Dieu. Jésus était à leur tête et les conduisait. Tout à coup, le doux Sauveur disparut du milieu de nous; mais bientôt nous entendîmes sa douce voix, disant: ‘Venez, vous qui êtes bénis de mon Père; héritez du royaume qui vous a été préparé dès la fondation du monde.’ Nous nous rassemblâmes autour de Jésus, et au moment même où il ferma les portes de la Ville, la malédiction fut prononcée contre les méchants. Les portes furent fermées. Alors les saints se servirent de leurs ailes et montèrent au sommet de la muraille de la Ville. Jésus était aussi avec eux; sa couronne paraissait brillante et glorieuse. C’était une couronne dans une couronne, au nombre de sept. Les couronnes des saints étaient d’un or très pur, ornées d’étoiles. Leurs visages resplendissaient de gloire, car ils portaient l’image expresse de Jésus; et lorsqu’ils s’élevèrent et se déplacèrent tous ensemble vers le sommet de la Ville, je fus ravi par ce spectacle.”</w:t>
      </w:r>
    </w:p>
    <w:p>
      <w:pPr>
        <w:pStyle w:val="ArticleScripture"/>
        <w:jc w:val="left"/>
      </w:pPr>
      <w:r>
        <w:rPr>
          <w:rFonts w:ascii="Times New Roman" w:hAnsi="Times New Roman" w:eastAsia="Times New Roman" w:cs="Times New Roman"/>
        </w:rPr>
        <w:t>“Poi i malvagi videro ciò che avevano perduto; e un fuoco procedente da Dio fu mandato su di loro e li consumò. Questa fu l’Esecuzione del Giudizio. Allora i malvagi ricevettero secondo quanto i santi, all’unisono con Gesù, avevano loro commisurato durante i 1000 anni. Lo stesso fuoco di Dio che consumò i malvagi purificò tutta la terra. Le montagne frantumate e scoscese si sciolsero per il calore ardente; anche l’atmosfera, e tutta la stoppia fu consumata. Allora la nostra eredità si aprì davanti a noi, gloriosa e bella, e noi ereditammo tutta la terra resa nuova. Tutti noi gridammo ad alta voce: Gloria, Alleluia.”</w:t>
      </w:r>
    </w:p>
    <w:p>
      <w:pPr>
        <w:pStyle w:val="ArticleScripture"/>
        <w:jc w:val="left"/>
      </w:pPr>
      <w:r>
        <w:rPr>
          <w:rFonts w:ascii="Times New Roman" w:hAnsi="Times New Roman" w:eastAsia="Times New Roman" w:cs="Times New Roman"/>
        </w:rPr>
        <w:t>“Mi ankaŭ vidis, ke la paŝtistoj devas konsiliĝi kun tiuj, al kiuj ili havas kialon fidi, kun tiuj, kiuj estis en ĉiuj mesaĝoj kaj estas firmaj en la tuta nuna vero, antaŭ ol ili subtenos ian novan gravan punkton, pri kiu ili eble pensas, ke la Biblio ĝin subtenas. Tiam la paŝtistoj estos plene unuiĝintaj, kaj la unueco de la paŝtistoj estos sentata de la eklezio. Tia vojo, mi vidis, malhelpus malfeliĉajn dividojn, kaj tiam ne estus danĝero, ke la altvalora grego estu dividita, kaj la ŝafoj disĵetitaj, sen paŝtisto.”</w:t>
      </w:r>
    </w:p>
    <w:p>
      <w:pPr>
        <w:pStyle w:val="ArticleScripture"/>
        <w:jc w:val="left"/>
      </w:pPr>
      <w:r>
        <w:rPr>
          <w:rFonts w:ascii="Times New Roman" w:hAnsi="Times New Roman" w:eastAsia="Times New Roman" w:cs="Times New Roman"/>
        </w:rPr>
        <w:t>«Le 23 septembre, le Seigneur me montra qu’il avait étendu sa main une seconde fois pour recouvrer le reste de son peuple, et que les efforts devaient être redoublés en ce temps de rassemblement. Au temps de la dispersion, Israël fut frappé et déchiré; mais maintenant, au temps du rassemblement, Dieu guérira et bandera les plaies de son peuple. Durant la dispersion, les efforts faits pour répandre la vérité n’eurent que peu d’effet, n’accomplirent que peu ou rien; mais dans le rassemblement, lorsque Dieu a mis sa main à rassembler son peuple, les efforts pour répandre la vérité auront l’effet qui leur est assigné. Tous doivent être unis et zélés dans l’œuvre. Je vis que c’était une honte pour quiconque de se référer à la dispersion comme à des exemples devant nous gouverner maintenant dans le rassemblement; car si Dieu ne faisait pas davantage pour nous maintenant qu’il ne fit alors, Israël ne serait jamais rassemblé. Il est aussi nécessaire que la vérité soit publiée dans un journal qu’annoncée par la prédication. »</w:t>
      </w:r>
    </w:p>
    <w:p>
      <w:pPr>
        <w:pStyle w:val="ArticleScripture"/>
        <w:jc w:val="left"/>
      </w:pPr>
      <w:r>
        <w:rPr>
          <w:rFonts w:ascii="Times New Roman" w:hAnsi="Times New Roman" w:eastAsia="Times New Roman" w:cs="Times New Roman"/>
        </w:rPr>
        <w:t>“Le Seigneur m’a montré que le tableau de 1843 avait été dirigé par sa main, et qu’aucune partie n’en devait être modifiée; que les chiffres étaient tels qu’il les voulait. Que sa main était au-dessus de lui et cachait une erreur dans certains des chiffres, de sorte que nul ne pouvait la voir, jusqu’à ce que sa main fût retirée.</w:t>
      </w:r>
    </w:p>
    <w:p>
      <w:pPr>
        <w:pStyle w:val="ArticleScripture"/>
        <w:jc w:val="left"/>
      </w:pPr>
      <w:r>
        <w:rPr>
          <w:rFonts w:ascii="Times New Roman" w:hAnsi="Times New Roman" w:eastAsia="Times New Roman" w:cs="Times New Roman"/>
        </w:rPr>
        <w:t>« Puis je vis, au sujet du « perpétuel », que le mot « sacrifice » a été ajouté par la sagesse humaine et n’appartient pas au texte ; et que le Seigneur en donna la juste compréhension à ceux qui proclamèrent le cri de l’heure du jugement. Lorsque l’union existait, avant 1844, presque tous étaient unis quant à la juste compréhension du « perpétuel » ; mais depuis 1844, dans la confusion, d’autres vues ont été adoptées, et les ténèbres et la confusion ont suivi. »</w:t>
      </w:r>
    </w:p>
    <w:p>
      <w:pPr>
        <w:pStyle w:val="ArticleScripture"/>
        <w:jc w:val="left"/>
      </w:pPr>
      <w:r>
        <w:rPr>
          <w:rFonts w:ascii="Times New Roman" w:hAnsi="Times New Roman" w:eastAsia="Times New Roman" w:cs="Times New Roman"/>
        </w:rPr>
        <w:t>“Le Seigneur m’a montré que le temps n’avait pas été une épreuve depuis 1844, et que le temps ne sera plus jamais une épreuve. »</w:t>
      </w:r>
    </w:p>
    <w:p>
      <w:pPr>
        <w:pStyle w:val="ArticleScripture"/>
        <w:jc w:val="left"/>
      </w:pPr>
      <w:r>
        <w:rPr>
          <w:rFonts w:ascii="Times New Roman" w:hAnsi="Times New Roman" w:eastAsia="Times New Roman" w:cs="Times New Roman"/>
        </w:rPr>
        <w:t>«Тогда мне было указано на некоторых, находящихся в великом заблуждении, будто святые ещё должны отправиться в древний Иерусалим и т. п. прежде пришествия Господа. Такой взгляд способен отвлечь ум и интерес от нынешнего дела Божия, совершаемого под вестью третьего ангела; ибо если нам надлежит идти в Иерусалим, то наши мысли естественно будут устремлены туда, и наши средства будут удерживаться от иного употребления, чтобы доставить святых в Иерусалим. Я увидела, что причина, по которой они были оставлены впасть в это великое заблуждение, состоит в том, что они не исповедали и не оставили своих заблуждений, в которых пребывали на протяжении ряда прошедших лет». Review and Herald, November 1, 1850.</w:t>
      </w:r>
    </w:p>
    <w:p>
      <w:pPr>
        <w:pStyle w:val="ArticleBody"/>
        <w:jc w:val="left"/>
      </w:pPr>
      <w:r>
        <w:rPr>
          <w:rFonts w:ascii="Times New Roman" w:hAnsi="Times New Roman" w:eastAsia="Times New Roman" w:cs="Times New Roman"/>
        </w:rPr>
        <w:t>Ang sipi ay nagsisimula sa pagsasabing, “Nais kong ibigay sa inyo ang isang maikling paglalarawan ng ipinakita kamakailan sa akin ng Panginoon sa pangitain.” Ilang paksa ang iniharap, at hindi niya pinagsama ang talatang tumatalakay sa “the daily” sa kasunod na talata. Ginawa iyon nang maglaon ng mga patnugot na naglagay ng sipi sa Experience and Views, at pagkatapos ay sa Early Writings. Sa Experience and Views, inalis ng mga patnugot ang unang walong talata, at pinagsama ang mga talatang tumatalakay sa ipinakita sa kanya tungkol sa “the daily” at sa pagtatakda ng panahon. Ang Experience and Views ay inilathala noong 1851, at pagkaraan ay inilathala ang Early Writings noong 1882.</w:t>
      </w:r>
    </w:p>
    <w:p>
      <w:pPr>
        <w:pStyle w:val="ArticleBody"/>
        <w:jc w:val="left"/>
      </w:pPr>
      <w:r>
        <w:rPr>
          <w:rFonts w:ascii="Times New Roman" w:hAnsi="Times New Roman" w:eastAsia="Times New Roman" w:cs="Times New Roman"/>
        </w:rPr>
        <w:t>Einsii təxmirəkk, «Early Writings» əsasən «Experience and Views» əsərində yer almış eyni dörd abzasdan ibarət idi, lakin bir mühüm istisna ilə. «Experience and Views»da vaxtın müəyyənləşdirilməsindən bəhs edən bir cümləlik abzas “the daily” mövzusuna toxunan əvvəlki abzasla birləşdirilmişdi. Sonra isə, əslində vaxtın müəyyənləşdirilməsindən bəhs edən abzasın ardınca gələn abzas da daxil edilmişdi. «Early Writings»da isə «Experience and Views»un başqa bir hissəsindən götürülmüş bir abzas, indi həm “the daily”, həm də vaxtın müəyyənləşdirilməsi məsələsinə toxunan abzasla, əvvəlcə vaxtın müəyyənləşdirilməsi barədə olan abzasın ardınca gəlib köhnə Yerusəlimə ziyarətlər etməyin nə üçün yanlış olduğunu göstərən abzasın arasına yerləşdirilmişdi.</w:t>
      </w:r>
    </w:p>
    <w:p>
      <w:pPr>
        <w:pStyle w:val="ArticleBody"/>
        <w:jc w:val="left"/>
      </w:pPr>
      <w:r>
        <w:rPr>
          <w:rFonts w:ascii="Times New Roman" w:hAnsi="Times New Roman" w:eastAsia="Times New Roman" w:cs="Times New Roman"/>
        </w:rPr>
        <w:t>Le paragraphe qui fut retiré d’une autre page d’Experience and Views, puis inséré dans le passage d’Early Writings, n’a fait qu’ajouter à la confusion au sujet du « continuel » qui avait commencé depuis 1844. Ce paragraphe ne se trouvait pas dans le récit original de la vision de Sister White.</w:t>
      </w:r>
    </w:p>
    <w:p>
      <w:pPr>
        <w:pStyle w:val="ArticleScripture"/>
        <w:jc w:val="left"/>
      </w:pPr>
      <w:r>
        <w:rPr>
          <w:rFonts w:ascii="Times New Roman" w:hAnsi="Times New Roman" w:eastAsia="Times New Roman" w:cs="Times New Roman"/>
        </w:rPr>
        <w:t>« Le Seigneur m’a montré que le message du troisième ange doit aller de l’avant et être proclamé aux enfants dispersés du Seigneur, et qu’il ne doit pas être suspendu au temps; car le temps ne sera plus jamais une épreuve. J’ai vu que quelques-uns s’abandonnaient à une fausse exaltation suscitée par la prédication du temps; que le message du troisième ange était plus fort que le temps ne peut l’être. J’ai vu que ce message peut subsister sur son propre fondement, qu’il n’a pas besoin du temps pour être affermi, qu’il avancera avec une puissance éclatante, accomplira son œuvre, et sera abrégé dans la justice. » Experience and Views, 48.</w:t>
      </w:r>
    </w:p>
    <w:p>
      <w:pPr>
        <w:pStyle w:val="ArticleBody"/>
        <w:jc w:val="left"/>
      </w:pPr>
      <w:r>
        <w:rPr>
          <w:rFonts w:ascii="Times New Roman" w:hAnsi="Times New Roman" w:eastAsia="Times New Roman" w:cs="Times New Roman"/>
        </w:rPr>
        <w:t>Le paragraphe de la page quarante-huit de Experience and Views a été inséré après le paragraphe d’Early Writings qui avait été constitué par la fusion de deux paragraphes distincts, et il a mis l’accent sur la fixation de dates, accent qui n’existait pas dans le récit original.</w:t>
      </w:r>
    </w:p>
    <w:p>
      <w:pPr>
        <w:pStyle w:val="ArticleBody"/>
        <w:jc w:val="left"/>
      </w:pPr>
      <w:r>
        <w:rPr>
          <w:rFonts w:ascii="Times New Roman" w:hAnsi="Times New Roman" w:eastAsia="Times New Roman" w:cs="Times New Roman"/>
        </w:rPr>
        <w:t>En 1931, los ancianos que gobernaban al pueblo de Jerusalén inventaron una historia según la cual Daniells había entrevistado a la hermana White en 1910, y en el testimonio que Daniells aporta él se refiere al cuadro de 1843, y dice que señaló el santuario inexistente en el cuadro mientras entrevistaba a la hermana White. Supuestamente llevaba consigo el libro Primeros Escritos y, al preguntarle qué quería decir, y basándose en sus respuestas, solo pudo concluir que el pasaje de Primeros Escritos que respalda la opinión pionera acerca de “el continuo” era en realidad una advertencia contra el establecimiento de fechas. Veintiún años después de la entrevista inventada y dieciséis años después de la muerte de las personas supuestamente entrevistadas, Daniells sitúa el testimonio dentro de la historia de la tercera generación.</w:t>
      </w:r>
    </w:p>
    <w:p>
      <w:pPr>
        <w:pStyle w:val="ArticleBody"/>
        <w:jc w:val="left"/>
      </w:pPr>
      <w:r>
        <w:rPr>
          <w:rFonts w:ascii="Times New Roman" w:hAnsi="Times New Roman" w:eastAsia="Times New Roman" w:cs="Times New Roman"/>
        </w:rPr>
        <w:t>F. C. Gilbert fooree ekah Hebrew scholar, anii ekah no joost support the correct view bilong “the daily” as Paganism bikos the pioneers anii Ellen White sei hem so. Hem defend hem base upon ekah understanding bilong the Hebrew text fooree Daniel the prophet had employ hem. Hem fooree the prominent Adventist Hebrew scholar during that time period. As the controversy abaot “the daily” dat Daniells anii Prescott were pushing continue fooree grow, Gilbert fooree one bilong the prominent scholars hu stand in defense bilong the pioneer position. Hem had ekah interview wit Ellen White on June 8, 1910, anii hem later record wetin hem anii Sister White discuss. Daniells’ testimony fooree completely contrary fooree F. C. Gilbert’s.</w:t>
      </w:r>
    </w:p>
    <w:p>
      <w:pPr>
        <w:pStyle w:val="ArticleBody"/>
        <w:jc w:val="left"/>
      </w:pPr>
      <w:r>
        <w:rPr>
          <w:rFonts w:ascii="Times New Roman" w:hAnsi="Times New Roman" w:eastAsia="Times New Roman" w:cs="Times New Roman"/>
        </w:rPr>
        <w:t>Ni mu gitabo cya makumyabiri, ku mapaji ya cumi n’indwi kugeza kuri makumyabiri na kabiri, cya *Manuscript Releases*, aho Mushiki wa White avugira ku mwanya wa Daniells na Prescott ku byerekeye “iby’iteka” (*the “daily”*). Amagambo musanga mu raporo ya F. C. Gilbert yerekeye ikiganiro yagiranye na Ellen White asa hafi cyane n’ayo Mushiki wa White ubwe yavuze muri icyo gice cya *Manuscript Releases*. Bityo rero, imyaka myinshi mbere y’uko *Manuscript Releases* bitangazwa kandi bishyirwa ahagaragara, nta buhamya bufatika bwahumetswe bwariho bwo guhakana cyangwa gushyigikira ibyo Daniells yavugaga ku byerekeye ibikubiye muri cya kiganiro avuga ko yagiranye na Mushiki wa White. Icy’ingenzi kurushaho, nta kwemezwa kwahumetswe kwariho gushyigikira imyumvire ye ikocamye ku byerekeye “iby’iteka”. Ikirushijeho kuba ingenzi, ubu noneho ko *Manuscript Releases* ziboneka—haracyari nta kwemezwa kwahumetswe gushyigikira imyumvire ye ikocamye ku byerekeye “iby’iteka”!</w:t>
      </w:r>
    </w:p>
    <w:p>
      <w:pPr>
        <w:pStyle w:val="ArticleBody"/>
        <w:jc w:val="left"/>
      </w:pPr>
      <w:r>
        <w:rPr>
          <w:rFonts w:ascii="Times New Roman" w:hAnsi="Times New Roman" w:eastAsia="Times New Roman" w:cs="Times New Roman"/>
        </w:rPr>
        <w:t>Et pourtant, aujourd’hui, on enseigne à l’adventisme laodicéen que Sœur White n’a aucune position sur le « continuel », sinon que ce n’est pas une « question-test » et que nous devrions « garder le silence sur ce sujet ». Quelque chose est renversé aujourd’hui, et ce qui est renversé, c’est que la véritable position sur « le continuel » se trouve maintenant dans l’opinion minoritaire parmi le peuple de Dieu. En 1910, l’opinion minoritaire était celle de Conradi, que Daniells et Prescott cherchaient à imposer, tandis que l’opinion majoritaire était la position des pionniers.</w:t>
      </w:r>
    </w:p>
    <w:p>
      <w:pPr>
        <w:pStyle w:val="ArticleBody"/>
        <w:jc w:val="left"/>
      </w:pPr>
      <w:r>
        <w:rPr>
          <w:rFonts w:ascii="Times New Roman" w:hAnsi="Times New Roman" w:eastAsia="Times New Roman" w:cs="Times New Roman"/>
        </w:rPr>
        <w:t>Ku byakurikiye ni amagambo ya F. C. Gilbert yerekeye ikiganiro yagiranye na Sister White, akwiriye kugereranywa na Manuscript Releases, yashyizwe uko yakabaye kose mu ngingo ya mirongo inani n’imwe y’uru rukurikirane The Book of Daniel.</w:t>
      </w:r>
    </w:p>
    <w:p>
      <w:pPr>
        <w:pStyle w:val="ArticleScripture"/>
        <w:jc w:val="left"/>
      </w:pPr>
      <w:r>
        <w:rPr>
          <w:rFonts w:ascii="Times New Roman" w:hAnsi="Times New Roman" w:eastAsia="Times New Roman" w:cs="Times New Roman"/>
        </w:rPr>
        <w:t>“Daniells og Prescott ... vildu ikki geva teimum eldru brøðrunum í verkinum nakran møguleika at siga nakað .... Daniells var her fyri at hitta meg, og eg vildi ikki hitta hann .... Eg vildi einki hava at siga við hann um nakað sum helst. Um tað ‘dagliga’, sum teir royna at arbeiða upp, so er einki í tí .... Tá ið eg var í Washington, tyktist tað vera okkurt, sum beinleiðis hevði innikrókað hug teirra, og mær tóktist ikki at kunna náa teimum. Vit skulu einki hava við hetta evnið um tað ‘dagliga’ at gera ... Eg visti, at teir fóru at arbeiða ímóti boðskapi mínum, og tá fór fólkið ikki at halda, at nakað var í boðskapi mínum. Eg havi skrivað til hansara og sagt honum, at hann vísti seg sjálvan at vera óskikkaðan til at vera forseti fyri Aðalfundin .... ikki maðurin at varðveita forsetaembætið.</w:t>
      </w:r>
    </w:p>
    <w:p>
      <w:pPr>
        <w:pStyle w:val="ArticleScripture"/>
        <w:jc w:val="left"/>
      </w:pPr>
      <w:r>
        <w:rPr>
          <w:rFonts w:ascii="Times New Roman" w:hAnsi="Times New Roman" w:eastAsia="Times New Roman" w:cs="Times New Roman"/>
        </w:rPr>
        <w:t>“Kung ang mensaheng ito tungkol sa ‘araw-araw’ ay isang mensaheng pansubok, ipinakita na sana ito sa akin ng Panginoon. Hindi nakikita ng mga taong ito ang wakas mula sa pasimula sa bagay na ito....Lubusan akong tumatangging makita ang sinuman sa kanila na nasasangkot sa gawaing ito.</w:t>
      </w:r>
    </w:p>
    <w:p>
      <w:pPr>
        <w:pStyle w:val="ArticleScripture"/>
        <w:jc w:val="left"/>
      </w:pPr>
      <w:r>
        <w:rPr>
          <w:rFonts w:ascii="Times New Roman" w:hAnsi="Times New Roman" w:eastAsia="Times New Roman" w:cs="Times New Roman"/>
        </w:rPr>
        <w:t>«Dieu m’a donné cette lumière: le frère Daniells est resté assez longtemps à la Présidence.... et il m’a été dit de ne plus avoir aucune conversation avec lui au sujet d’aucune de ces choses. Je n’irais pas voir Daniells à ce sujet, et je n’aurais pas un mot avec lui. Ils m’ont suppliée de lui accorder un entretien, mais je ne l’ai pas voulu.... Il m’a été dit d’avertir notre peuple de n’avoir rien à faire avec cette chose qu’ils enseignent.... Le Seigneur m’a défendu de l’écouter. Je me suis exprimée en disant que je n’y avais pas la moindre parcelle de confiance.... Toute cette affaire qu’ils mènent est un stratagème du diable.» Rapport de F. C. Gilbert sur un entretien que lui accorda Ellen White le 8 juin 1910.</w:t>
      </w:r>
    </w:p>
    <w:p>
      <w:pPr>
        <w:pStyle w:val="ArticleBody"/>
        <w:jc w:val="left"/>
      </w:pPr>
      <w:r>
        <w:rPr>
          <w:rFonts w:ascii="Times New Roman" w:hAnsi="Times New Roman" w:eastAsia="Times New Roman" w:cs="Times New Roman"/>
        </w:rPr>
        <w:t>Më këtë temë do të vazhdojmë në artikullin e ardhshëm.</w:t>
      </w:r>
    </w:p>
    <w:p>
      <w:pPr>
        <w:pStyle w:val="ArticleScripture"/>
        <w:jc w:val="left"/>
      </w:pPr>
      <w:r>
        <w:rPr>
          <w:rFonts w:ascii="Times New Roman" w:hAnsi="Times New Roman" w:eastAsia="Times New Roman" w:cs="Times New Roman"/>
        </w:rPr>
        <w:t>“Ang Nakakakita sa ilalim ng ibabaw, na sumasaliksik sa mga puso ng lahat ng tao, ay nagsasabi tungkol sa mga nagkaroon ng dakilang liwanag: ‘Hindi sila nagdadalamhati at namamangha dahil sa kanilang kalagayang moral at espirituwal.’ ‘Oo, kanilang pinili ang kanilang sariling mga lakad, at ang kanilang kaluluwa ay nalulugod sa kanilang mga karumal-dumal na bagay. Ako naman ay pipili ng kanilang mga kadayaan, at aking dadalhin sa kanila ang kanilang mga kinatatakutan; sapagkat nang ako’y tumawag, walang sumagot; nang ako’y magsalita, hindi sila nakinig: kundi sila’y gumawa ng masama sa harap ng Aking mga mata, at pinili yaong hindi Ko kinalugdan.’ ‘Susuguin sila ng Diyos ng isang makapangyarihang pagkalinlang, upang sila’y magsisampalataya sa kasinungalingan,’ sapagkat hindi nila tinanggap ang pag-ibig sa katotohanan, upang sila’y mangaligtas,’ ‘kundi nangagpakaligaya sa kalikuan.’ Isaias 66:3, 4; 2 Tesalonica 2:11, 10, 12.</w:t>
      </w:r>
    </w:p>
    <w:p>
      <w:pPr>
        <w:pStyle w:val="ArticleScripture"/>
        <w:jc w:val="left"/>
      </w:pPr>
      <w:r>
        <w:rPr>
          <w:rFonts w:ascii="Times New Roman" w:hAnsi="Times New Roman" w:eastAsia="Times New Roman" w:cs="Times New Roman"/>
        </w:rPr>
        <w:t>„Тэнгэрлэг Багш ийн асуув: ‘Та нар зөв суурин дээр барьж байна, мөн Бурхан та нарын үйлсийг хүлээн зөвшөөрч байна гэсэн дүр үзүүлэлтээс илүүгээр оюун санааг төөрөгдүүлж чадах ямар хүчтэй мэхлэл байж болох вэ? Гэтэл бодит байдал дээр та нар олон зүйлийг ертөнцийн бодлогоор үйлдэж, Иеховагийн эсрэг нүгэл үйлдэж байна. Ай, энэ бол агуу хууран мэхлэлт, сэтгэл татам төөрөгдөл мөн. Нэгэн цагт үнэнийг мэдэж байсан хүмүүс сүсэг бишрэлийн хэлбэрийг түүний Сүнс ба хүчнээс андуурч, өөрсдийгөө баян, эд хөрөнгөөр арвижсан, юугаар ч дутахгүй хэмээн боддог атал, үнэндээ тэд бүх зүйлээр гачигдаж байдаг үед энэ нь оюун санааг эзэмддэг.’”</w:t>
      </w:r>
    </w:p>
    <w:p>
      <w:pPr>
        <w:pStyle w:val="ArticleScripture"/>
        <w:jc w:val="left"/>
      </w:pPr>
      <w:r>
        <w:rPr>
          <w:rFonts w:ascii="Times New Roman" w:hAnsi="Times New Roman" w:eastAsia="Times New Roman" w:cs="Times New Roman"/>
        </w:rPr>
        <w:t>«Құдай Өз киімдерін дақсыз сақтап жүрген адал қызметшілеріне деген қатынасын өзгерткен жоқ. Бірақ көпшілігі: “Бейбітшілік пен қауіпсіздік”, — деп айқайлап жатыр, ал олардың үстіне кенеттен жойылу келіп жатыр. Егер жан-жақты тәубе болмаса, егер адамдар мойындау арқылы жүректерін кішірейтіп, ақиқатты Исада қалай болса, солай қабылдамаса, олар ешқашан көкке кірмейді. Біздің қатарымызда тазару жүзеге асқанда, біз енді бай екенімізді, дүние-мүлкіміз көбейгенін, ешнәрсеге мұқтаж еместігімізді мақтанышпен айтып, бейқам тыныштықта жатпайтын боламыз.</w:t>
      </w:r>
    </w:p>
    <w:p>
      <w:pPr>
        <w:pStyle w:val="ArticleScripture"/>
        <w:jc w:val="left"/>
      </w:pPr>
      <w:r>
        <w:rPr>
          <w:rFonts w:ascii="Times New Roman" w:hAnsi="Times New Roman" w:eastAsia="Times New Roman" w:cs="Times New Roman"/>
        </w:rPr>
        <w:t>“ווער קען מיט אמת זאָגן: ‘אונדזער גאָלד איז געפּרוּווט אין פֿײַער; אונדזערע בגדים זײַנען ניט באַפֿלעקט פֿון דער וועלט’? איך האָב געזען ווי אונדזער מדריך האָט געוויזן אויף די בגדים פֿון דער אַזוי־גערופענער גערעכטיקייט. זיי אָפּשטריפּנדיק, האָט ער אַנטבלויזט די טומאה וואָס ליגט אונטער זיי. דאַן האָט ער צו מיר געזאָגט: ‘זעסטו דען ניט, ווי זיי האָבן מיט גאווהדיקן שײַן פֿאַרדעקט זייער טומאה און די פֿאַרפוילטקייט פֿון כאַראַקטער? “ווי איז די געטרײַע שטאָט געוואָרן אַ זוֹנה!” מײַן פֿאָטערס הויז איז געמאַכט געוואָרן אַ הויז פֿון מסחר, אַ אָרט, פֿון וואַנען די גאָטלעכע בײַזײַן און כבוד זײַנען אַוועקגעגאַנגען! צוליב דעם איז דאָ שוואַכקייט, און כּוח פֿעלט.’”</w:t>
      </w:r>
    </w:p>
    <w:p>
      <w:pPr>
        <w:pStyle w:val="ArticleScripture"/>
        <w:jc w:val="left"/>
      </w:pPr>
      <w:r>
        <w:rPr>
          <w:rFonts w:ascii="Times New Roman" w:hAnsi="Times New Roman" w:eastAsia="Times New Roman" w:cs="Times New Roman"/>
        </w:rPr>
        <w:t>"Ba chumas an eaglais, a tha a-nis ga taois-ghortachadh le a cùl-sleamhnachadh fhèin, aithreachas a dhèanamh agus a bhith air a h-iompachadh, ithidh i de thoradh a gnìomha fhèin, gus an gabh i gràin dhith fhèin. Nuair a chuireas i an aghaidh an uilc agus a thaghas i am math, nuair a dh’iarras i Dia leis gach uile irioslachd agus a ruigeas i a h-àrd-ghairm ann an Crìosd, na seasamh air àrd-ùrlar na fìrinn shìorraidh agus le creideamh a’ glacadh nan coileanaidhean a chaidh ullachadh dhi, slànaichear i. Nochdaidh i na sìmplidheachd agus na glainead a thug Dia dhi, air a dealachadh o cheanglaichean talmhaidh, a’ nochdadh gun do rinn an fhìrinn saor i gu deimhinn. An uair sin bidh a buill gu deimhinn nan daoine taghte Dhè, nan riochdairean aige." Testimonies, leabhar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quatre-vingt-dix</dc:title>
  <dc:subject>Défaire l’Énigme du « Continuel » : examen historique des controverses et des contradictions</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