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ya Danieli - Namba Tisini na Nne</w:t>
      </w:r>
    </w:p>
    <w:p>
      <w:pPr>
        <w:pStyle w:val="ArticleSubtitle"/>
        <w:jc w:val="left"/>
      </w:pPr>
      <w:r>
        <w:rPr>
          <w:rFonts w:ascii="Arial" w:hAnsi="Arial" w:eastAsia="Arial" w:cs="Arial"/>
        </w:rPr>
        <w:t>Dévoilement du cadre prophétique : comprendre les trois puissances conduisant à Armageddon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2024-02-27</w:t>
      </w:r>
    </w:p>
    <w:p>
      <w:pPr>
        <w:pStyle w:val="ArticleBody"/>
        <w:jc w:val="left"/>
      </w:pPr>
      <w:r>
        <w:rPr>
          <w:rFonts w:ascii="Times New Roman" w:hAnsi="Times New Roman" w:eastAsia="Times New Roman" w:cs="Times New Roman"/>
        </w:rPr>
        <w:t>Ang balangkas na panghula na inilapat ni William Miller ay ang kayarian ng dalawang kapangyarihang mapanira: ang paganong Roma na sinundan ng papal na Roma. Ang balangkas na panghula na inilapat ng Future for America ay ang kayarian ng tatlong kapangyarihang mapanira: ang paganong Roma na sinundan ng papal na Roma at pagkatapos ay ang tumalikod na Protestantismo. Ang tatlong pagpapakita ng Roma ay yaong tatlong kapangyarihang mapanira ng dragon, ng hayop, at ng bulaang propeta. Ang balangkas na iyon ay kinilala sa malaking bahagi sa pamamagitan ng pagsalungat na iniharap laban sa liwanag ng huling anim na talata ng Daniel kabanata labing-isa, na binuksan nang ang wakas ng panahon ay dumating noong 1989.</w:t>
      </w:r>
    </w:p>
    <w:p>
      <w:pPr>
        <w:pStyle w:val="ArticleBody"/>
        <w:jc w:val="left"/>
      </w:pPr>
      <w:r>
        <w:rPr>
          <w:rFonts w:ascii="Times New Roman" w:hAnsi="Times New Roman" w:eastAsia="Times New Roman" w:cs="Times New Roman"/>
        </w:rPr>
        <w:t>Awọn ifarahan méjì àkọ́kọ́ ti Róòmù ń ṣàfihàn àkópọ̀ àsọtẹ́lẹ̀ ti Róòmù òde-òní, ìyẹn ifarahan kẹta àti ìkẹyìn ti Róòmù. Róòmù òde-òní ń ṣàfihàn ìṣètò agbára inúnibíni mẹ́ta-lẹ́ta ìkẹyìn ti àwọn ọjọ́ ìkẹyìn. Ní ìbátan tímọ́tímọ́, ṣùgbọ́n pẹ̀lú ìyàtọ̀ kedere, ni àwọn ifarahan mẹ́ta ti Bábílónì. Èkíní ni Bébélì ti Nimrodu. Èkejì ni Bábílónì ti Nebukadinésárì àti Belṣásárì. Ní àpapọ̀, àwọn ẹlẹ́rìí àsọtẹ́lẹ̀ méjèèjì wọ̀nyí ń ṣàfihàn àwọn àbùdá àsọtẹ́lẹ̀ ti Bábílónì òde-òní. Bí ó tilẹ̀ jẹ́ pé ní ìpele kan Róòmù òde-òní àti Bábílónì òde-òní jẹ́ ẹ̀dá kan náà, àwọn ifarahan mẹ́ta ti Bábílónì ń tọ́ka sí ìṣubú ìkẹyìn ti Bábílónì, àti ìgbéraga ọkùnrin ẹ̀ṣẹ̀.</w:t>
      </w:r>
    </w:p>
    <w:p>
      <w:pPr>
        <w:pStyle w:val="ArticleBody"/>
        <w:jc w:val="left"/>
      </w:pPr>
      <w:r>
        <w:rPr>
          <w:rFonts w:ascii="Times New Roman" w:hAnsi="Times New Roman" w:eastAsia="Times New Roman" w:cs="Times New Roman"/>
        </w:rPr>
        <w:t>La chute de Babylone est un sujet vaste et précis dans la prophétie biblique, tout comme l’arrogance du pape de Rome. Au chapitre dix-sept de l’Apocalypse, l’un des anges qui versent les sept dernières plaies vient désigner expressément le jugement de Babylone, ce qui constitue une autre expression de sa chute.</w:t>
      </w:r>
    </w:p>
    <w:p>
      <w:pPr>
        <w:pStyle w:val="ArticleScripture"/>
        <w:jc w:val="left"/>
      </w:pPr>
      <w:r>
        <w:rPr>
          <w:rFonts w:ascii="Times New Roman" w:hAnsi="Times New Roman" w:eastAsia="Times New Roman" w:cs="Times New Roman"/>
        </w:rPr>
        <w:t>Nuko haza umwe wo muri ba bamarayika barindwi bafite za nzabya ndwi, arambwira ati: Ngwino hano; ndakwereka urubanza rw’iyo maraya ikomeye yicaye ku mazi menshi; iyo abami bo mu isi basambanije na yo, kandi abatuye isi bagasindishwa n’umuvinyo w’ubusambanyi bwayo. Nuko anjyana mu buryo bw’Umwuka anjyana mu butayu; mbona umugore yicaye ku nyamaswa itukura, yuzuye amazina yo gutuka Imana, ifite imitwe irindwi n’amahembe icumi. Ibyahishuwe 17:1–3.</w:t>
      </w:r>
    </w:p>
    <w:p>
      <w:pPr>
        <w:pStyle w:val="ArticleBody"/>
        <w:jc w:val="left"/>
      </w:pPr>
      <w:r>
        <w:rPr>
          <w:rFonts w:ascii="Times New Roman" w:hAnsi="Times New Roman" w:eastAsia="Times New Roman" w:cs="Times New Roman"/>
        </w:rPr>
        <w:t>Le ministère de l’ange est de montrer à Jean le jugement de la femme qui porte écrit sur son front : « MYSTÈRE, BABYLONE ».</w:t>
      </w:r>
    </w:p>
    <w:p>
      <w:pPr>
        <w:pStyle w:val="ArticleScripture"/>
        <w:jc w:val="left"/>
      </w:pPr>
      <w:r>
        <w:rPr>
          <w:rFonts w:ascii="Times New Roman" w:hAnsi="Times New Roman" w:eastAsia="Times New Roman" w:cs="Times New Roman"/>
        </w:rPr>
        <w:t>Et la femme était vêtue de pourpre et d’écarlate, et parée d’or, de pierres précieuses et de perles, tenant dans sa main une coupe d’or, pleine des abominations et des impuretés de sa fornication. Et sur son front était écrit un nom : MYSTÈRE, BABYLONE LA GRANDE, LA MÈRE DES PROSTITUÉES ET DES ABOMINATIONS DE LA TERRE. Et je vis cette femme ivre du sang des saints et du sang des martyrs de Jésus ; et, quand je la vis, je fus saisi d’un grand étonnement. Apocalypse 17:4–6.</w:t>
      </w:r>
    </w:p>
    <w:p>
      <w:pPr>
        <w:pStyle w:val="ArticleBody"/>
        <w:jc w:val="left"/>
      </w:pPr>
      <w:r>
        <w:rPr>
          <w:rFonts w:ascii="Times New Roman" w:hAnsi="Times New Roman" w:eastAsia="Times New Roman" w:cs="Times New Roman"/>
        </w:rPr>
        <w:t>Bộ máy địa chính trị mà giáo hoàng quyền sử dụng trong những ngày sau rốt để bức hại những kẻ mà nó cho là dị giáo được tượng trưng bởi “một con thú sắc đỏ điều, đầy những danh hiệu phạm thượng, có bảy đầu và mười sừng.” Việc nó cưỡi trên con thú cho thấy rằng nó kiểm soát con thú ấy, như kẻ cưỡi kiểm soát con ngựa.</w:t>
      </w:r>
    </w:p>
    <w:p>
      <w:pPr>
        <w:pStyle w:val="ArticleScripture"/>
        <w:jc w:val="left"/>
      </w:pPr>
      <w:r>
        <w:rPr>
          <w:rFonts w:ascii="Times New Roman" w:hAnsi="Times New Roman" w:eastAsia="Times New Roman" w:cs="Times New Roman"/>
        </w:rPr>
        <w:t>Et la femme que tu as vue, c’est la grande ville qui règne sur les rois de la terre. Apocalypse 17:8.</w:t>
      </w:r>
    </w:p>
    <w:p>
      <w:pPr>
        <w:pStyle w:val="ArticleBody"/>
        <w:jc w:val="left"/>
      </w:pPr>
      <w:r>
        <w:rPr>
          <w:rFonts w:ascii="Times New Roman" w:hAnsi="Times New Roman" w:eastAsia="Times New Roman" w:cs="Times New Roman"/>
        </w:rPr>
        <w:t>La « bête écarlate, ayant sept têtes et dix cornes », c’est la Rome moderne, et elle représente la structure géopolitique dont la femme se sert lorsqu’elle persécute les fidèles de Dieu dans les derniers jours. La femme, c’est la Babylone moderne, la grande ville qui se prostitue et qui règne sur les rois de la terre. Les deux premières manifestations de Babylone, représentées par Babel au chapitre onze de la Genèse, et par Babylone aux chapitres quatre et cinq de Daniel, décrivent l’arrogance et la chute de la Babylone moderne dans les derniers jours. La femme qui est jugée au chapitre dix-sept de l’Apocalypse, c’est la Babylone moderne, et la bête sur laquelle elle règne, c’est la Rome moderne. Elle s’est prostituée avec les rois, et ensemble ils sont une seule chair.</w:t>
      </w:r>
    </w:p>
    <w:p>
      <w:pPr>
        <w:pStyle w:val="ArticleScripture"/>
        <w:jc w:val="left"/>
      </w:pPr>
      <w:r>
        <w:rPr>
          <w:rFonts w:ascii="Times New Roman" w:hAnsi="Times New Roman" w:eastAsia="Times New Roman" w:cs="Times New Roman"/>
        </w:rPr>
        <w:t>C’est pourquoi l’homme quittera son père et sa mère, et s’attachera à sa femme; et ils deviendront une seule chair. Genèse 2:24.</w:t>
      </w:r>
    </w:p>
    <w:p>
      <w:pPr>
        <w:pStyle w:val="ArticleBody"/>
        <w:jc w:val="left"/>
      </w:pPr>
      <w:r>
        <w:rPr>
          <w:rFonts w:ascii="Times New Roman" w:hAnsi="Times New Roman" w:eastAsia="Times New Roman" w:cs="Times New Roman"/>
        </w:rPr>
        <w:t>Хотя они составляют одно целое, в Слове Божьем выделены некоторые пророческие особенности современного Рима и современного Вавилона. История современного Вавилона, утверждённая двумя свидетелями — Вавелем и Вавилоном, — повествует о его надменности и его окончательном падении. В последних шести стихах одиннадцатой главы книги Даниила царь северный используется как образ папства. Папа римский — земной представитель сатаны.</w:t>
      </w:r>
    </w:p>
    <w:p>
      <w:pPr>
        <w:pStyle w:val="ArticleScripture"/>
        <w:jc w:val="left"/>
      </w:pPr>
      <w:r>
        <w:rPr>
          <w:rFonts w:ascii="Times New Roman" w:hAnsi="Times New Roman" w:eastAsia="Times New Roman" w:cs="Times New Roman"/>
        </w:rPr>
        <w:t>«Для здобуття земних прибутків і почестей церкву спонукали шукати прихильності та підтримки великих світу цього; і, відкинувши таким чином Христа, вона була приведена до того, щоб підкоритися представникові сатани — єпископу Риму». Велика боротьба, 50.</w:t>
      </w:r>
    </w:p>
    <w:p>
      <w:pPr>
        <w:pStyle w:val="ArticleBody"/>
        <w:jc w:val="left"/>
      </w:pPr>
      <w:r>
        <w:rPr>
          <w:rFonts w:ascii="Times New Roman" w:hAnsi="Times New Roman" w:eastAsia="Times New Roman" w:cs="Times New Roman"/>
        </w:rPr>
        <w:t>Shaitani alitaka kuwa Mungu, na shauku yake ilikuwa kuyatwaa viti vya enzi vya Mungu vya kisiasa na vya kidini.</w:t>
      </w:r>
    </w:p>
    <w:p>
      <w:pPr>
        <w:pStyle w:val="ArticleScripture"/>
        <w:jc w:val="left"/>
      </w:pPr>
      <w:r>
        <w:rPr>
          <w:rFonts w:ascii="Times New Roman" w:hAnsi="Times New Roman" w:eastAsia="Times New Roman" w:cs="Times New Roman"/>
        </w:rPr>
        <w:t>Comment es-tu tombé du ciel, ô Lucifer, fils de l’aurore ! Comment as-tu été abattu à terre, toi qui affaiblissais les nations ! Car tu disais en ton cœur : Je monterai au ciel, j’élèverai mon trône au-dessus des étoiles de Dieu ; je siégerai aussi sur la montagne de l’assemblée, aux extrémités du septentrion ; je monterai au-dessus des hauteurs des nuées ; je serai semblable au Très-Haut. Ésaïe 14:12–14.</w:t>
      </w:r>
    </w:p>
    <w:p>
      <w:pPr>
        <w:pStyle w:val="ArticleBody"/>
        <w:jc w:val="left"/>
      </w:pPr>
      <w:r>
        <w:rPr>
          <w:rFonts w:ascii="Times New Roman" w:hAnsi="Times New Roman" w:eastAsia="Times New Roman" w:cs="Times New Roman"/>
        </w:rPr>
        <w:t>Satan berkeinginan untuk meninggikan takhtanya (yang merupakan lambang pemerintahan kerajaan), “di atas bintang-bintang Allah.” Bintang-bintang Allah adalah para malaikat, dan melambangkan perangkat pemerintahan Allah. Satan juga berkeinginan untuk duduk “di atas gunung perkumpulan, di sebelah utara.” Perkumpulan itu adalah Jemaat, dan terletak di Yerusalem, yang berada di sebelah utara. Duduk di atas takhta di “sebelah utara” berarti menjadi raja di utara. Kristus adalah Raja Utara yang sejati, yang juga adalah Raja atas pemerintahan Allah. Satan berkeinginan untuk “menjadi seperti Yang Mahatinggi.”</w:t>
      </w:r>
    </w:p>
    <w:p>
      <w:pPr>
        <w:pStyle w:val="ArticleScripture"/>
        <w:jc w:val="left"/>
      </w:pPr>
      <w:r>
        <w:rPr>
          <w:rFonts w:ascii="Times New Roman" w:hAnsi="Times New Roman" w:eastAsia="Times New Roman" w:cs="Times New Roman"/>
        </w:rPr>
        <w:t>Zabur na Wimbo kwa wana wa Kora. Bwana ni mkuu, naye anastahili kusifiwa sana katika mji wa Mungu wetu, katika mlima wa utakatifu wake. Ni mzuri kwa hali yake, furaha ya dunia yote, ndio mlima Sayuni, pande za kaskazini, mji wa Mfalme mkuu. Mungu anajulikana katika majumba yake ya kifalme kuwa kimbilio. Zaburi 48:1–3.</w:t>
      </w:r>
    </w:p>
    <w:p>
      <w:pPr>
        <w:pStyle w:val="ArticleBody"/>
        <w:jc w:val="left"/>
      </w:pPr>
      <w:r>
        <w:rPr>
          <w:rFonts w:ascii="Times New Roman" w:hAnsi="Times New Roman" w:eastAsia="Times New Roman" w:cs="Times New Roman"/>
        </w:rPr>
        <w:t>Rêveberdara erdî ya Şeytanê episkopê Romayê ye (pap). Di şeş ayetên dawîn ên Daniel yanzdehan de, rabûn û ketina dawîn a papê Romayê tê nîşandan, û li wir pap wek padîşahê bakur tê temsîlkirin. Ew serokê Dêra Katolîk e, û peyva “katolîk” maneya gerdûnî dide. Ji bo ku Şeytan du textên Mesîh (siyasî û olî) sexte bike, Şeytan Dêra Katolîk afirand da ku pergala olî ya cîhanî hebe gava ku ew di rojên dawîn de dest bi xweşandanê xwe ya Mesîh dike.</w:t>
      </w:r>
    </w:p>
    <w:p>
      <w:pPr>
        <w:pStyle w:val="ArticleScripture"/>
        <w:jc w:val="left"/>
      </w:pPr>
      <w:r>
        <w:rPr>
          <w:rFonts w:ascii="Times New Roman" w:hAnsi="Times New Roman" w:eastAsia="Times New Roman" w:cs="Times New Roman"/>
        </w:rPr>
        <w:t>« Cette compromission entre le paganisme et le christianisme aboutit au développement de “l’homme de péché”, annoncé dans la prophétie comme s’opposant à Dieu et s’élevant au-dessus de lui. Ce gigantesque système de fausse religion est un chef-d’œuvre de la puissance de Satan — un monument de ses efforts pour s’asseoir sur le trône afin de gouverner la terre selon sa volonté. » The Great Controversy, 50.</w:t>
      </w:r>
    </w:p>
    <w:p>
      <w:pPr>
        <w:pStyle w:val="ArticleBody"/>
        <w:jc w:val="left"/>
      </w:pPr>
      <w:r>
        <w:rPr>
          <w:rFonts w:ascii="Times New Roman" w:hAnsi="Times New Roman" w:eastAsia="Times New Roman" w:cs="Times New Roman"/>
        </w:rPr>
        <w:t>Satan a bâti un système religieux mondial ainsi qu’une structure politique mondiale, dans le but de contrefaire les deux trônes d’autorité sur lesquels siège le véritable roi du Nord. Les dix rois d’Apocalypse dix-sept, avec lesquels la prostituée se livre à la fornication et sur lesquels elle règne dans les derniers jours, représentent la bête à sept têtes et dix cornes, sur laquelle règne la femme qui porte écrit sur son front BABYLONE. Au chapitre dix-sept, les dix rois « haïront la prostituée, la rendront désolée et nue, mangeront ses chairs, et la consumeront par le feu ». Ainsi, son jugement est dépeint. Les trois manifestations de Babylone identifient la chute finale de Babylone. Les trois manifestations de Rome identifient la structure politique sur laquelle elle règne.</w:t>
      </w:r>
    </w:p>
    <w:p>
      <w:pPr>
        <w:pStyle w:val="ArticleBody"/>
        <w:jc w:val="left"/>
      </w:pP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चौदह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आधुनिक</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संबोधित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पैंतालीस</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उल्लेख</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सत्रह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विशिष्ट</w:t>
      </w:r>
      <w:r>
        <w:rPr>
          <w:rFonts w:ascii="Times New Roman" w:hAnsi="Times New Roman" w:eastAsia="Times New Roman" w:cs="Times New Roman"/>
        </w:rPr>
        <w:t xml:space="preserve"> </w:t>
      </w:r>
      <w:r>
        <w:rPr>
          <w:rFonts w:ascii="Nirmala UI" w:hAnsi="Nirmala UI" w:eastAsia="Nirmala UI" w:cs="Nirmala UI"/>
        </w:rPr>
        <w:t>विवरण</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अठारह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आधुनिक</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चित्रण</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चौदह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दृष्टांत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सत्रह</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अठारह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वर्णन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पंक्ति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पंक्ति</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आधुनिक</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सहायता</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मिलती।</w:t>
      </w:r>
    </w:p>
    <w:p>
      <w:pPr>
        <w:pStyle w:val="ArticleScripture"/>
        <w:jc w:val="left"/>
      </w:pPr>
      <w:r>
        <w:rPr>
          <w:rFonts w:ascii="Times New Roman" w:hAnsi="Times New Roman" w:eastAsia="Times New Roman" w:cs="Times New Roman"/>
        </w:rPr>
        <w:t>Και θέλει φυτεύσει τας σκηνάς του ανακτόρου αυτού μεταξύ των θαλασσών εν τω ενδόξω αγίω όρει· πλην θέλει έλθει εις το τέλος αυτού, και ουδείς θέλει βοηθήσει αυτόν. Δανιήλ 11:45.</w:t>
      </w:r>
    </w:p>
    <w:p>
      <w:pPr>
        <w:pStyle w:val="ArticleBody"/>
        <w:jc w:val="left"/>
      </w:pPr>
      <w:r>
        <w:rPr>
          <w:rFonts w:ascii="Times New Roman" w:hAnsi="Times New Roman" w:eastAsia="Times New Roman" w:cs="Times New Roman"/>
        </w:rPr>
        <w:t>Kha nga chang taah Michael a ding lang a, mihingte’ hun tawpna hong tung hi. Taang in, “Huaicih hun ah” ci-in a kipan hi. Tulai Babylon a puk ciangin, mihingte’ hun tawpna a khum a, amah inkuan in a si hi. Vantung sawmthumna pa in hun tawpna hong theisak hi; banghang hiam cihleh leitung mite pen mi phaknih in a kikhen zo hi: gamsa’ melchik nei mite leh Pasian’ seal nei mite. Huaicih hun ah, Pasian’ thangsiatna pen tulai Babylon tungah leh ama’ thuneihna melchik sangte tungah a buak hi.</w:t>
      </w:r>
    </w:p>
    <w:p>
      <w:pPr>
        <w:pStyle w:val="ArticleScripture"/>
        <w:jc w:val="left"/>
      </w:pPr>
      <w:r>
        <w:rPr>
          <w:rFonts w:ascii="Times New Roman" w:hAnsi="Times New Roman" w:eastAsia="Times New Roman" w:cs="Times New Roman"/>
        </w:rPr>
        <w:t>Y el tercer ángel los siguió, diciendo a gran voz: Si alguno adora a la bestia y a su imagen, y recibe su marca en la frente o en la mano, él también beberá del vino de la ira de Dios, vertido puro en la copa de su indignación; y será atormentado con fuego y azufre delante de los santos ángeles y delante del Cordero. Y el humo de su tormento sube por los siglos de los siglos; y no tienen reposo ni de día ni de noche los que adoran a la bestia y a su imagen, y cualquiera que reciba la marca de su nombre. Aquí está la paciencia de los santos; aquí están los que guardan los mandamientos de Dios y la fe de Jesús. Apocalipsis 14:9–12.</w:t>
      </w:r>
    </w:p>
    <w:p>
      <w:pPr>
        <w:pStyle w:val="ArticleBody"/>
        <w:jc w:val="left"/>
      </w:pPr>
      <w:r>
        <w:rPr>
          <w:rFonts w:ascii="Times New Roman" w:hAnsi="Times New Roman" w:eastAsia="Times New Roman" w:cs="Times New Roman"/>
        </w:rPr>
        <w:t>Dans le chapitre dix-huit de l’Apocalypse, le jugement de la grande prostituée est présenté comme un jugement progressif qui commence lors de la loi dominicale imminente, lorsque la seconde voix appelle l’autre troupeau de Dieu à sortir de Babylone. Au verset vingt et un, la fin du temps de grâce est marquée, identifiant ainsi une période allant de la loi dominicale imminente aux États-Unis jusqu’au moment où Michel se lèvera, période durant laquelle le jugement de la Babylone moderne s’accomplit, au sein d’un temps de grande persécution.</w:t>
      </w:r>
    </w:p>
    <w:p>
      <w:pPr>
        <w:pStyle w:val="ArticleScripture"/>
        <w:jc w:val="left"/>
      </w:pPr>
      <w:r>
        <w:rPr>
          <w:rFonts w:ascii="Times New Roman" w:hAnsi="Times New Roman" w:eastAsia="Times New Roman" w:cs="Times New Roman"/>
        </w:rPr>
        <w:t>Ndipo mngelo wamphamvu anatenga mwala wofanana ndi mphero yayikulu, nakuponyera m’nyanja, nati, Motero ndi chiwawa mudzaponyeledwa pansi mzinda waukuluwo, Babulo, ndipo sudzapezekanso konse. Ndipo mawu a oyimba azeze, ndi a oyimba nyimbo, ndi a oyimba zitoliro, ndi a oyimba malipenga, sadzamvekanso konse mwa iwe; ndipo waluso aliyense, wa luso lililonse limene ali nalo, sadzapezekanso mwa iwe; ndipo phokoso la mphero silidzamvekanso konse mwa iwe; Ndipo kuwala kwa nyali sikudzaunikanso konse mwa iwe; ndipo mawu a mkwati ndi a mkwatibwi sadzamvekanso konse mwa iwe: pakuti amalonda ako anali akuluakulu a dziko lapansi; pakuti mwa ufiti wako mitundu yonse ya anthu inanyengedwa. Ndipo mwa iye munapezedwa mwazi wa aneneri, ndi wa oyera mtima, ndi wa onse amene anaphedwa pa dziko lapansi. Chivumbulutso 18:21–24.</w:t>
      </w:r>
    </w:p>
    <w:p>
      <w:pPr>
        <w:pStyle w:val="ArticleBody"/>
        <w:jc w:val="left"/>
      </w:pPr>
      <w:r>
        <w:rPr>
          <w:rFonts w:ascii="Leelawadee UI" w:hAnsi="Leelawadee UI" w:eastAsia="Leelawadee UI" w:cs="Leelawadee UI"/>
        </w:rPr>
        <w:t>ការបោះទម្លាក់ថ្មចុះ</w:t>
      </w:r>
      <w:r>
        <w:rPr>
          <w:rFonts w:ascii="Times New Roman" w:hAnsi="Times New Roman" w:eastAsia="Times New Roman" w:cs="Times New Roman"/>
        </w:rPr>
        <w:t xml:space="preserve"> </w:t>
      </w:r>
      <w:r>
        <w:rPr>
          <w:rFonts w:ascii="Leelawadee UI" w:hAnsi="Leelawadee UI" w:eastAsia="Leelawadee UI" w:cs="Leelawadee UI"/>
        </w:rPr>
        <w:t>ការធ្វើឲ្យស្ងប់សំឡេងរបស់អ្នកភ្លេង</w:t>
      </w:r>
      <w:r>
        <w:rPr>
          <w:rFonts w:ascii="Times New Roman" w:hAnsi="Times New Roman" w:eastAsia="Times New Roman" w:cs="Times New Roman"/>
        </w:rPr>
        <w:t xml:space="preserve"> </w:t>
      </w:r>
      <w:r>
        <w:rPr>
          <w:rFonts w:ascii="Leelawadee UI" w:hAnsi="Leelawadee UI" w:eastAsia="Leelawadee UI" w:cs="Leelawadee UI"/>
        </w:rPr>
        <w:t>និងកម្មករ</w:t>
      </w:r>
      <w:r>
        <w:rPr>
          <w:rFonts w:ascii="Times New Roman" w:hAnsi="Times New Roman" w:eastAsia="Times New Roman" w:cs="Times New Roman"/>
        </w:rPr>
        <w:t xml:space="preserve"> </w:t>
      </w:r>
      <w:r>
        <w:rPr>
          <w:rFonts w:ascii="Leelawadee UI" w:hAnsi="Leelawadee UI" w:eastAsia="Leelawadee UI" w:cs="Leelawadee UI"/>
        </w:rPr>
        <w:t>ការពន្លត់ទៀន</w:t>
      </w:r>
      <w:r>
        <w:rPr>
          <w:rFonts w:ascii="Times New Roman" w:hAnsi="Times New Roman" w:eastAsia="Times New Roman" w:cs="Times New Roman"/>
        </w:rPr>
        <w:t xml:space="preserve"> </w:t>
      </w:r>
      <w:r>
        <w:rPr>
          <w:rFonts w:ascii="Leelawadee UI" w:hAnsi="Leelawadee UI" w:eastAsia="Leelawadee UI" w:cs="Leelawadee UI"/>
        </w:rPr>
        <w:t>និងការធ្វើឲ្យស្ងប់សំឡេងរបស់កូនក្រមុំ</w:t>
      </w:r>
      <w:r>
        <w:rPr>
          <w:rFonts w:ascii="Times New Roman" w:hAnsi="Times New Roman" w:eastAsia="Times New Roman" w:cs="Times New Roman"/>
        </w:rPr>
        <w:t xml:space="preserve"> </w:t>
      </w:r>
      <w:r>
        <w:rPr>
          <w:rFonts w:ascii="Leelawadee UI" w:hAnsi="Leelawadee UI" w:eastAsia="Leelawadee UI" w:cs="Leelawadee UI"/>
        </w:rPr>
        <w:t>និងកូនកំលោះ</w:t>
      </w:r>
      <w:r>
        <w:rPr>
          <w:rFonts w:ascii="Times New Roman" w:hAnsi="Times New Roman" w:eastAsia="Times New Roman" w:cs="Times New Roman"/>
        </w:rPr>
        <w:t xml:space="preserve"> </w:t>
      </w:r>
      <w:r>
        <w:rPr>
          <w:rFonts w:ascii="Leelawadee UI" w:hAnsi="Leelawadee UI" w:eastAsia="Leelawadee UI" w:cs="Leelawadee UI"/>
        </w:rPr>
        <w:t>ទាំងអស់នេះជាពាក្យប្រៀបប្រដូចដែលយកមកពីព្រះគម្ពីរសញ្ញាចាស់</w:t>
      </w:r>
      <w:r>
        <w:rPr>
          <w:rFonts w:ascii="Times New Roman" w:hAnsi="Times New Roman" w:eastAsia="Times New Roman" w:cs="Times New Roman"/>
        </w:rPr>
        <w:t xml:space="preserve"> </w:t>
      </w:r>
      <w:r>
        <w:rPr>
          <w:rFonts w:ascii="Leelawadee UI" w:hAnsi="Leelawadee UI" w:eastAsia="Leelawadee UI" w:cs="Leelawadee UI"/>
        </w:rPr>
        <w:t>ដើម្បីតំណាងឲ្យការបិទបញ្ចប់នៃរយៈពេលសាកល្បង។</w:t>
      </w:r>
    </w:p>
    <w:p>
      <w:pPr>
        <w:pStyle w:val="ArticleBody"/>
        <w:jc w:val="left"/>
      </w:pPr>
      <w:r>
        <w:rPr>
          <w:rFonts w:ascii="Times New Roman" w:hAnsi="Times New Roman" w:eastAsia="Times New Roman" w:cs="Times New Roman"/>
        </w:rPr>
        <w:t>Lorsque le chapitre onze de Daniel est appliqué, d’un point de vue prophétique, aux chapitres treize et quatorze de l’Apocalypse, puis que ces deux passages sont appliqués aux chapitres dix-sept et dix-huit de l’Apocalypse, nous trouvons trois lignes de prophétie qui, parmi d’autres vérités, représentent la chute finale de Babylone moderne. Chacune de ces trois lignes représente l’une des trois puissances triples qui conduisent le monde à Armageddon. Le chapitre onze de Daniel identifie la bête (la papauté). Les chapitres treize et quatorze de l’Apocalypse présentent la même histoire, mais du point de vue du faux prophète (les États-Unis). Les chapitres dix-sept et dix-huit de l’Apocalypse identifient la même ligne prophétique, mais l’histoire qui y est représentée est centrée sur le dragon (les Nations unies).</w:t>
      </w:r>
    </w:p>
    <w:p>
      <w:pPr>
        <w:pStyle w:val="ArticleBody"/>
        <w:jc w:val="left"/>
      </w:pPr>
      <w:r>
        <w:rPr>
          <w:rFonts w:ascii="Times New Roman" w:hAnsi="Times New Roman" w:eastAsia="Times New Roman" w:cs="Times New Roman"/>
        </w:rPr>
        <w:t>هر یک از این سه خط در زمانِ آخر در سال ۱۷۹۸ آغاز می‌شود. آیهٔ چهلم از فصل یازدهم دانیال با این عبارت آغاز می‌شود: «و در زمانِ آخر». «زمانِ آخر» در آغازِ آیه، سال ۱۷۹۸ است، و هنگامی که این آیه در سال ۱۹۸۹ تحقق یافت، آن نیز «زمانِ آخر» بود؛ زیرا عیسی، هرگاه بخواهد امضای خود را بر حقیقتی مهم بنهد، پایان را با آغاز به تصویر می‌کشد. خواهر وایت به ما اطلاع می‌دهد که فصل سیزدهم مکاشفه نیز در سال ۱۷۹۸ آغاز می‌شود.</w:t>
      </w:r>
    </w:p>
    <w:p>
      <w:pPr>
        <w:pStyle w:val="ArticleScripture"/>
        <w:jc w:val="left"/>
      </w:pPr>
      <w:r>
        <w:rPr>
          <w:rFonts w:ascii="Times New Roman" w:hAnsi="Times New Roman" w:eastAsia="Times New Roman" w:cs="Times New Roman"/>
        </w:rPr>
        <w:t>«Na mgbe ọchịchị Pope, e wepụrụ ya ike ya, ma manye ya ịkwụsị mkpagbu, Jọn hụrụ ike ọhụrụ ka ọ na-apụta iji kwughachi olu dragọn ahụ, ma gaa n’ihu n’ọrụ ahụ otu a nke obi ọjọọ na nkwulu Chineke. Ike a, nke ikpeazụ ga-alụ ọgụ megide nzukọ Kraịst na iwu Chineke, e gosiri ya n’akara site n’anụ ọhịa nwere mpi dịka nke nwa atụrụ.» Signs of the Times, November 1, 1899.</w:t>
      </w:r>
    </w:p>
    <w:p>
      <w:pPr>
        <w:pStyle w:val="ArticleBody"/>
        <w:jc w:val="left"/>
      </w:pPr>
      <w:r>
        <w:rPr>
          <w:rFonts w:ascii="Nirmala UI" w:hAnsi="Nirmala UI" w:eastAsia="Nirmala UI" w:cs="Nirmala UI"/>
        </w:rPr>
        <w:t>లైన్</w:t>
      </w:r>
      <w:r>
        <w:rPr>
          <w:rFonts w:ascii="Times New Roman" w:hAnsi="Times New Roman" w:eastAsia="Times New Roman" w:cs="Times New Roman"/>
        </w:rPr>
        <w:t xml:space="preserve"> </w:t>
      </w:r>
      <w:r>
        <w:rPr>
          <w:rFonts w:ascii="Nirmala UI" w:hAnsi="Nirmala UI" w:eastAsia="Nirmala UI" w:cs="Nirmala UI"/>
        </w:rPr>
        <w:t>ఆఫ్</w:t>
      </w:r>
      <w:r>
        <w:rPr>
          <w:rFonts w:ascii="Times New Roman" w:hAnsi="Times New Roman" w:eastAsia="Times New Roman" w:cs="Times New Roman"/>
        </w:rPr>
        <w:t xml:space="preserve"> </w:t>
      </w:r>
      <w:r>
        <w:rPr>
          <w:rFonts w:ascii="Nirmala UI" w:hAnsi="Nirmala UI" w:eastAsia="Nirmala UI" w:cs="Nirmala UI"/>
        </w:rPr>
        <w:t>ప్రాఫెసీ</w:t>
      </w:r>
      <w:r>
        <w:rPr>
          <w:rFonts w:ascii="Times New Roman" w:hAnsi="Times New Roman" w:eastAsia="Times New Roman" w:cs="Times New Roman"/>
        </w:rPr>
        <w:t xml:space="preserve"> </w:t>
      </w:r>
      <w:r>
        <w:rPr>
          <w:rFonts w:ascii="Nirmala UI" w:hAnsi="Nirmala UI" w:eastAsia="Nirmala UI" w:cs="Nirmala UI"/>
        </w:rPr>
        <w:t>దానియేలు</w:t>
      </w:r>
      <w:r>
        <w:rPr>
          <w:rFonts w:ascii="Times New Roman" w:hAnsi="Times New Roman" w:eastAsia="Times New Roman" w:cs="Times New Roman"/>
        </w:rPr>
        <w:t xml:space="preserve"> </w:t>
      </w:r>
      <w:r>
        <w:rPr>
          <w:rFonts w:ascii="Nirmala UI" w:hAnsi="Nirmala UI" w:eastAsia="Nirmala UI" w:cs="Nirmala UI"/>
        </w:rPr>
        <w:t>పదకొండవ</w:t>
      </w:r>
      <w:r>
        <w:rPr>
          <w:rFonts w:ascii="Times New Roman" w:hAnsi="Times New Roman" w:eastAsia="Times New Roman" w:cs="Times New Roman"/>
        </w:rPr>
        <w:t xml:space="preserve"> </w:t>
      </w:r>
      <w:r>
        <w:rPr>
          <w:rFonts w:ascii="Nirmala UI" w:hAnsi="Nirmala UI" w:eastAsia="Nirmala UI" w:cs="Nirmala UI"/>
        </w:rPr>
        <w:t>అధ్యాయంలోని</w:t>
      </w:r>
      <w:r>
        <w:rPr>
          <w:rFonts w:ascii="Times New Roman" w:hAnsi="Times New Roman" w:eastAsia="Times New Roman" w:cs="Times New Roman"/>
        </w:rPr>
        <w:t xml:space="preserve"> </w:t>
      </w:r>
      <w:r>
        <w:rPr>
          <w:rFonts w:ascii="Nirmala UI" w:hAnsi="Nirmala UI" w:eastAsia="Nirmala UI" w:cs="Nirmala UI"/>
        </w:rPr>
        <w:t>నలభయ్యవ</w:t>
      </w:r>
      <w:r>
        <w:rPr>
          <w:rFonts w:ascii="Times New Roman" w:hAnsi="Times New Roman" w:eastAsia="Times New Roman" w:cs="Times New Roman"/>
        </w:rPr>
        <w:t xml:space="preserve"> </w:t>
      </w:r>
      <w:r>
        <w:rPr>
          <w:rFonts w:ascii="Nirmala UI" w:hAnsi="Nirmala UI" w:eastAsia="Nirmala UI" w:cs="Nirmala UI"/>
        </w:rPr>
        <w:t>వచనంలో</w:t>
      </w:r>
      <w:r>
        <w:rPr>
          <w:rFonts w:ascii="Times New Roman" w:hAnsi="Times New Roman" w:eastAsia="Times New Roman" w:cs="Times New Roman"/>
        </w:rPr>
        <w:t xml:space="preserve"> 1798 </w:t>
      </w:r>
      <w:r>
        <w:rPr>
          <w:rFonts w:ascii="Nirmala UI" w:hAnsi="Nirmala UI" w:eastAsia="Nirmala UI" w:cs="Nirmala UI"/>
        </w:rPr>
        <w:t>సంవత్సరంలో</w:t>
      </w:r>
      <w:r>
        <w:rPr>
          <w:rFonts w:ascii="Times New Roman" w:hAnsi="Times New Roman" w:eastAsia="Times New Roman" w:cs="Times New Roman"/>
        </w:rPr>
        <w:t xml:space="preserve"> </w:t>
      </w:r>
      <w:r>
        <w:rPr>
          <w:rFonts w:ascii="Nirmala UI" w:hAnsi="Nirmala UI" w:eastAsia="Nirmala UI" w:cs="Nirmala UI"/>
        </w:rPr>
        <w:t>ఆరంభమై</w:t>
      </w:r>
      <w:r>
        <w:rPr>
          <w:rFonts w:ascii="Times New Roman" w:hAnsi="Times New Roman" w:eastAsia="Times New Roman" w:cs="Times New Roman"/>
        </w:rPr>
        <w:t xml:space="preserve">, </w:t>
      </w:r>
      <w:r>
        <w:rPr>
          <w:rFonts w:ascii="Nirmala UI" w:hAnsi="Nirmala UI" w:eastAsia="Nirmala UI" w:cs="Nirmala UI"/>
        </w:rPr>
        <w:t>మీకాయేలు</w:t>
      </w:r>
      <w:r>
        <w:rPr>
          <w:rFonts w:ascii="Times New Roman" w:hAnsi="Times New Roman" w:eastAsia="Times New Roman" w:cs="Times New Roman"/>
        </w:rPr>
        <w:t xml:space="preserve"> </w:t>
      </w:r>
      <w:r>
        <w:rPr>
          <w:rFonts w:ascii="Nirmala UI" w:hAnsi="Nirmala UI" w:eastAsia="Nirmala UI" w:cs="Nirmala UI"/>
        </w:rPr>
        <w:t>లేచినప్పుడు</w:t>
      </w:r>
      <w:r>
        <w:rPr>
          <w:rFonts w:ascii="Times New Roman" w:hAnsi="Times New Roman" w:eastAsia="Times New Roman" w:cs="Times New Roman"/>
        </w:rPr>
        <w:t xml:space="preserve"> </w:t>
      </w:r>
      <w:r>
        <w:rPr>
          <w:rFonts w:ascii="Nirmala UI" w:hAnsi="Nirmala UI" w:eastAsia="Nirmala UI" w:cs="Nirmala UI"/>
        </w:rPr>
        <w:t>మానవ</w:t>
      </w:r>
      <w:r>
        <w:rPr>
          <w:rFonts w:ascii="Times New Roman" w:hAnsi="Times New Roman" w:eastAsia="Times New Roman" w:cs="Times New Roman"/>
        </w:rPr>
        <w:t xml:space="preserve"> </w:t>
      </w:r>
      <w:r>
        <w:rPr>
          <w:rFonts w:ascii="Nirmala UI" w:hAnsi="Nirmala UI" w:eastAsia="Nirmala UI" w:cs="Nirmala UI"/>
        </w:rPr>
        <w:t>కృపాకాలము</w:t>
      </w:r>
      <w:r>
        <w:rPr>
          <w:rFonts w:ascii="Times New Roman" w:hAnsi="Times New Roman" w:eastAsia="Times New Roman" w:cs="Times New Roman"/>
        </w:rPr>
        <w:t xml:space="preserve"> </w:t>
      </w:r>
      <w:r>
        <w:rPr>
          <w:rFonts w:ascii="Nirmala UI" w:hAnsi="Nirmala UI" w:eastAsia="Nirmala UI" w:cs="Nirmala UI"/>
        </w:rPr>
        <w:t>ముగిసే</w:t>
      </w:r>
      <w:r>
        <w:rPr>
          <w:rFonts w:ascii="Times New Roman" w:hAnsi="Times New Roman" w:eastAsia="Times New Roman" w:cs="Times New Roman"/>
        </w:rPr>
        <w:t xml:space="preserve"> </w:t>
      </w:r>
      <w:r>
        <w:rPr>
          <w:rFonts w:ascii="Nirmala UI" w:hAnsi="Nirmala UI" w:eastAsia="Nirmala UI" w:cs="Nirmala UI"/>
        </w:rPr>
        <w:t>వరకు</w:t>
      </w:r>
      <w:r>
        <w:rPr>
          <w:rFonts w:ascii="Times New Roman" w:hAnsi="Times New Roman" w:eastAsia="Times New Roman" w:cs="Times New Roman"/>
        </w:rPr>
        <w:t xml:space="preserve"> </w:t>
      </w:r>
      <w:r>
        <w:rPr>
          <w:rFonts w:ascii="Nirmala UI" w:hAnsi="Nirmala UI" w:eastAsia="Nirmala UI" w:cs="Nirmala UI"/>
        </w:rPr>
        <w:t>కొనసాగుతుంది</w:t>
      </w:r>
      <w:r>
        <w:rPr>
          <w:rFonts w:ascii="Times New Roman" w:hAnsi="Times New Roman" w:eastAsia="Times New Roman" w:cs="Times New Roman"/>
        </w:rPr>
        <w:t>. 1798</w:t>
      </w:r>
      <w:r>
        <w:rPr>
          <w:rFonts w:ascii="Nirmala UI" w:hAnsi="Nirmala UI" w:eastAsia="Nirmala UI" w:cs="Nirmala UI"/>
        </w:rPr>
        <w:t>లో</w:t>
      </w:r>
      <w:r>
        <w:rPr>
          <w:rFonts w:ascii="Times New Roman" w:hAnsi="Times New Roman" w:eastAsia="Times New Roman" w:cs="Times New Roman"/>
        </w:rPr>
        <w:t xml:space="preserve"> </w:t>
      </w:r>
      <w:r>
        <w:rPr>
          <w:rFonts w:ascii="Nirmala UI" w:hAnsi="Nirmala UI" w:eastAsia="Nirmala UI" w:cs="Nirmala UI"/>
        </w:rPr>
        <w:t>ఆరంభమయ్యే</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ప్రవచనరేఖ</w:t>
      </w:r>
      <w:r>
        <w:rPr>
          <w:rFonts w:ascii="Times New Roman" w:hAnsi="Times New Roman" w:eastAsia="Times New Roman" w:cs="Times New Roman"/>
        </w:rPr>
        <w:t>—“</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బలమును</w:t>
      </w:r>
      <w:r>
        <w:rPr>
          <w:rFonts w:ascii="Times New Roman" w:hAnsi="Times New Roman" w:eastAsia="Times New Roman" w:cs="Times New Roman"/>
        </w:rPr>
        <w:t xml:space="preserve"> </w:t>
      </w:r>
      <w:r>
        <w:rPr>
          <w:rFonts w:ascii="Nirmala UI" w:hAnsi="Nirmala UI" w:eastAsia="Nirmala UI" w:cs="Nirmala UI"/>
        </w:rPr>
        <w:t>అపహరింపబడిన</w:t>
      </w:r>
      <w:r>
        <w:rPr>
          <w:rFonts w:ascii="Times New Roman" w:hAnsi="Times New Roman" w:eastAsia="Times New Roman" w:cs="Times New Roman"/>
        </w:rPr>
        <w:t xml:space="preserve"> </w:t>
      </w:r>
      <w:r>
        <w:rPr>
          <w:rFonts w:ascii="Nirmala UI" w:hAnsi="Nirmala UI" w:eastAsia="Nirmala UI" w:cs="Nirmala UI"/>
        </w:rPr>
        <w:t>పాపసత్వము</w:t>
      </w:r>
      <w:r>
        <w:rPr>
          <w:rFonts w:ascii="Times New Roman" w:hAnsi="Times New Roman" w:eastAsia="Times New Roman" w:cs="Times New Roman"/>
        </w:rPr>
        <w:t xml:space="preserve"> </w:t>
      </w:r>
      <w:r>
        <w:rPr>
          <w:rFonts w:ascii="Nirmala UI" w:hAnsi="Nirmala UI" w:eastAsia="Nirmala UI" w:cs="Nirmala UI"/>
        </w:rPr>
        <w:t>హింసను</w:t>
      </w:r>
      <w:r>
        <w:rPr>
          <w:rFonts w:ascii="Times New Roman" w:hAnsi="Times New Roman" w:eastAsia="Times New Roman" w:cs="Times New Roman"/>
        </w:rPr>
        <w:t xml:space="preserve"> </w:t>
      </w:r>
      <w:r>
        <w:rPr>
          <w:rFonts w:ascii="Nirmala UI" w:hAnsi="Nirmala UI" w:eastAsia="Nirmala UI" w:cs="Nirmala UI"/>
        </w:rPr>
        <w:t>విరమించుటకు</w:t>
      </w:r>
      <w:r>
        <w:rPr>
          <w:rFonts w:ascii="Times New Roman" w:hAnsi="Times New Roman" w:eastAsia="Times New Roman" w:cs="Times New Roman"/>
        </w:rPr>
        <w:t xml:space="preserve"> </w:t>
      </w:r>
      <w:r>
        <w:rPr>
          <w:rFonts w:ascii="Nirmala UI" w:hAnsi="Nirmala UI" w:eastAsia="Nirmala UI" w:cs="Nirmala UI"/>
        </w:rPr>
        <w:t>బలవంతపరచబడినప్పుడు</w:t>
      </w:r>
      <w:r>
        <w:rPr>
          <w:rFonts w:ascii="Times New Roman" w:hAnsi="Times New Roman" w:eastAsia="Times New Roman" w:cs="Times New Roman"/>
        </w:rPr>
        <w:t>”—</w:t>
      </w:r>
      <w:r>
        <w:rPr>
          <w:rFonts w:ascii="Nirmala UI" w:hAnsi="Nirmala UI" w:eastAsia="Nirmala UI" w:cs="Nirmala UI"/>
        </w:rPr>
        <w:t>పాపసత్వ</w:t>
      </w:r>
      <w:r>
        <w:rPr>
          <w:rFonts w:ascii="Times New Roman" w:hAnsi="Times New Roman" w:eastAsia="Times New Roman" w:cs="Times New Roman"/>
        </w:rPr>
        <w:t xml:space="preserve"> </w:t>
      </w:r>
      <w:r>
        <w:rPr>
          <w:rFonts w:ascii="Nirmala UI" w:hAnsi="Nirmala UI" w:eastAsia="Nirmala UI" w:cs="Nirmala UI"/>
        </w:rPr>
        <w:t>అధికారమునకు</w:t>
      </w:r>
      <w:r>
        <w:rPr>
          <w:rFonts w:ascii="Times New Roman" w:hAnsi="Times New Roman" w:eastAsia="Times New Roman" w:cs="Times New Roman"/>
        </w:rPr>
        <w:t xml:space="preserve"> </w:t>
      </w:r>
      <w:r>
        <w:rPr>
          <w:rFonts w:ascii="Nirmala UI" w:hAnsi="Nirmala UI" w:eastAsia="Nirmala UI" w:cs="Nirmala UI"/>
        </w:rPr>
        <w:t>చెందిన</w:t>
      </w:r>
      <w:r>
        <w:rPr>
          <w:rFonts w:ascii="Times New Roman" w:hAnsi="Times New Roman" w:eastAsia="Times New Roman" w:cs="Times New Roman"/>
        </w:rPr>
        <w:t xml:space="preserve"> “</w:t>
      </w:r>
      <w:r>
        <w:rPr>
          <w:rFonts w:ascii="Nirmala UI" w:hAnsi="Nirmala UI" w:eastAsia="Nirmala UI" w:cs="Nirmala UI"/>
        </w:rPr>
        <w:t>ముద్ర</w:t>
      </w:r>
      <w:r>
        <w:rPr>
          <w:rFonts w:ascii="Times New Roman" w:hAnsi="Times New Roman" w:eastAsia="Times New Roman" w:cs="Times New Roman"/>
        </w:rPr>
        <w:t>”</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స్వీకరించిన</w:t>
      </w:r>
      <w:r>
        <w:rPr>
          <w:rFonts w:ascii="Times New Roman" w:hAnsi="Times New Roman" w:eastAsia="Times New Roman" w:cs="Times New Roman"/>
        </w:rPr>
        <w:t xml:space="preserve"> </w:t>
      </w:r>
      <w:r>
        <w:rPr>
          <w:rFonts w:ascii="Nirmala UI" w:hAnsi="Nirmala UI" w:eastAsia="Nirmala UI" w:cs="Nirmala UI"/>
        </w:rPr>
        <w:t>వారిపై</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ఉగ్రత</w:t>
      </w:r>
      <w:r>
        <w:rPr>
          <w:rFonts w:ascii="Times New Roman" w:hAnsi="Times New Roman" w:eastAsia="Times New Roman" w:cs="Times New Roman"/>
        </w:rPr>
        <w:t xml:space="preserve"> </w:t>
      </w:r>
      <w:r>
        <w:rPr>
          <w:rFonts w:ascii="Nirmala UI" w:hAnsi="Nirmala UI" w:eastAsia="Nirmala UI" w:cs="Nirmala UI"/>
        </w:rPr>
        <w:t>కుమ్మరింపబడుటతో</w:t>
      </w:r>
      <w:r>
        <w:rPr>
          <w:rFonts w:ascii="Times New Roman" w:hAnsi="Times New Roman" w:eastAsia="Times New Roman" w:cs="Times New Roman"/>
        </w:rPr>
        <w:t xml:space="preserve"> </w:t>
      </w:r>
      <w:r>
        <w:rPr>
          <w:rFonts w:ascii="Nirmala UI" w:hAnsi="Nirmala UI" w:eastAsia="Nirmala UI" w:cs="Nirmala UI"/>
        </w:rPr>
        <w:t>ముగుస్తుంది</w:t>
      </w:r>
      <w:r>
        <w:rPr>
          <w:rFonts w:ascii="Times New Roman" w:hAnsi="Times New Roman" w:eastAsia="Times New Roman" w:cs="Times New Roman"/>
        </w:rPr>
        <w:t xml:space="preserve">. </w:t>
      </w:r>
      <w:r>
        <w:rPr>
          <w:rFonts w:ascii="Nirmala UI" w:hAnsi="Nirmala UI" w:eastAsia="Nirmala UI" w:cs="Nirmala UI"/>
        </w:rPr>
        <w:t>ప్రకటన</w:t>
      </w:r>
      <w:r>
        <w:rPr>
          <w:rFonts w:ascii="Times New Roman" w:hAnsi="Times New Roman" w:eastAsia="Times New Roman" w:cs="Times New Roman"/>
        </w:rPr>
        <w:t xml:space="preserve"> </w:t>
      </w:r>
      <w:r>
        <w:rPr>
          <w:rFonts w:ascii="Nirmala UI" w:hAnsi="Nirmala UI" w:eastAsia="Nirmala UI" w:cs="Nirmala UI"/>
        </w:rPr>
        <w:t>గ్రంథము</w:t>
      </w:r>
      <w:r>
        <w:rPr>
          <w:rFonts w:ascii="Times New Roman" w:hAnsi="Times New Roman" w:eastAsia="Times New Roman" w:cs="Times New Roman"/>
        </w:rPr>
        <w:t xml:space="preserve"> </w:t>
      </w:r>
      <w:r>
        <w:rPr>
          <w:rFonts w:ascii="Nirmala UI" w:hAnsi="Nirmala UI" w:eastAsia="Nirmala UI" w:cs="Nirmala UI"/>
        </w:rPr>
        <w:t>పదిహేడవ</w:t>
      </w:r>
      <w:r>
        <w:rPr>
          <w:rFonts w:ascii="Times New Roman" w:hAnsi="Times New Roman" w:eastAsia="Times New Roman" w:cs="Times New Roman"/>
        </w:rPr>
        <w:t xml:space="preserve"> </w:t>
      </w:r>
      <w:r>
        <w:rPr>
          <w:rFonts w:ascii="Nirmala UI" w:hAnsi="Nirmala UI" w:eastAsia="Nirmala UI" w:cs="Nirmala UI"/>
        </w:rPr>
        <w:t>అధ్యాయంలో</w:t>
      </w:r>
      <w:r>
        <w:rPr>
          <w:rFonts w:ascii="Times New Roman" w:hAnsi="Times New Roman" w:eastAsia="Times New Roman" w:cs="Times New Roman"/>
        </w:rPr>
        <w:t xml:space="preserve">, </w:t>
      </w:r>
      <w:r>
        <w:rPr>
          <w:rFonts w:ascii="Nirmala UI" w:hAnsi="Nirmala UI" w:eastAsia="Nirmala UI" w:cs="Nirmala UI"/>
        </w:rPr>
        <w:t>పాపసత్వ</w:t>
      </w:r>
      <w:r>
        <w:rPr>
          <w:rFonts w:ascii="Times New Roman" w:hAnsi="Times New Roman" w:eastAsia="Times New Roman" w:cs="Times New Roman"/>
        </w:rPr>
        <w:t xml:space="preserve"> </w:t>
      </w:r>
      <w:r>
        <w:rPr>
          <w:rFonts w:ascii="Nirmala UI" w:hAnsi="Nirmala UI" w:eastAsia="Nirmala UI" w:cs="Nirmala UI"/>
        </w:rPr>
        <w:t>వ్యభిచారిణి</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తీర్పును</w:t>
      </w:r>
      <w:r>
        <w:rPr>
          <w:rFonts w:ascii="Times New Roman" w:hAnsi="Times New Roman" w:eastAsia="Times New Roman" w:cs="Times New Roman"/>
        </w:rPr>
        <w:t xml:space="preserve"> </w:t>
      </w:r>
      <w:r>
        <w:rPr>
          <w:rFonts w:ascii="Nirmala UI" w:hAnsi="Nirmala UI" w:eastAsia="Nirmala UI" w:cs="Nirmala UI"/>
        </w:rPr>
        <w:t>యోహానుకు</w:t>
      </w:r>
      <w:r>
        <w:rPr>
          <w:rFonts w:ascii="Times New Roman" w:hAnsi="Times New Roman" w:eastAsia="Times New Roman" w:cs="Times New Roman"/>
        </w:rPr>
        <w:t xml:space="preserve"> </w:t>
      </w:r>
      <w:r>
        <w:rPr>
          <w:rFonts w:ascii="Nirmala UI" w:hAnsi="Nirmala UI" w:eastAsia="Nirmala UI" w:cs="Nirmala UI"/>
        </w:rPr>
        <w:t>చూపించుటకు</w:t>
      </w:r>
      <w:r>
        <w:rPr>
          <w:rFonts w:ascii="Times New Roman" w:hAnsi="Times New Roman" w:eastAsia="Times New Roman" w:cs="Times New Roman"/>
        </w:rPr>
        <w:t xml:space="preserve"> </w:t>
      </w:r>
      <w:r>
        <w:rPr>
          <w:rFonts w:ascii="Nirmala UI" w:hAnsi="Nirmala UI" w:eastAsia="Nirmala UI" w:cs="Nirmala UI"/>
        </w:rPr>
        <w:t>దూత</w:t>
      </w:r>
      <w:r>
        <w:rPr>
          <w:rFonts w:ascii="Times New Roman" w:hAnsi="Times New Roman" w:eastAsia="Times New Roman" w:cs="Times New Roman"/>
        </w:rPr>
        <w:t xml:space="preserve"> </w:t>
      </w:r>
      <w:r>
        <w:rPr>
          <w:rFonts w:ascii="Nirmala UI" w:hAnsi="Nirmala UI" w:eastAsia="Nirmala UI" w:cs="Nirmala UI"/>
        </w:rPr>
        <w:t>వచ్చునప్పుడు</w:t>
      </w:r>
      <w:r>
        <w:rPr>
          <w:rFonts w:ascii="Times New Roman" w:hAnsi="Times New Roman" w:eastAsia="Times New Roman" w:cs="Times New Roman"/>
        </w:rPr>
        <w:t xml:space="preserve">, 538 </w:t>
      </w:r>
      <w:r>
        <w:rPr>
          <w:rFonts w:ascii="Nirmala UI" w:hAnsi="Nirmala UI" w:eastAsia="Nirmala UI" w:cs="Nirmala UI"/>
        </w:rPr>
        <w:t>సంవత్సరం</w:t>
      </w:r>
      <w:r>
        <w:rPr>
          <w:rFonts w:ascii="Times New Roman" w:hAnsi="Times New Roman" w:eastAsia="Times New Roman" w:cs="Times New Roman"/>
        </w:rPr>
        <w:t xml:space="preserve"> </w:t>
      </w:r>
      <w:r>
        <w:rPr>
          <w:rFonts w:ascii="Nirmala UI" w:hAnsi="Nirmala UI" w:eastAsia="Nirmala UI" w:cs="Nirmala UI"/>
        </w:rPr>
        <w:t>నుండి</w:t>
      </w:r>
      <w:r>
        <w:rPr>
          <w:rFonts w:ascii="Times New Roman" w:hAnsi="Times New Roman" w:eastAsia="Times New Roman" w:cs="Times New Roman"/>
        </w:rPr>
        <w:t xml:space="preserve"> 1798 </w:t>
      </w:r>
      <w:r>
        <w:rPr>
          <w:rFonts w:ascii="Nirmala UI" w:hAnsi="Nirmala UI" w:eastAsia="Nirmala UI" w:cs="Nirmala UI"/>
        </w:rPr>
        <w:t>వరకు</w:t>
      </w:r>
      <w:r>
        <w:rPr>
          <w:rFonts w:ascii="Times New Roman" w:hAnsi="Times New Roman" w:eastAsia="Times New Roman" w:cs="Times New Roman"/>
        </w:rPr>
        <w:t xml:space="preserve"> </w:t>
      </w:r>
      <w:r>
        <w:rPr>
          <w:rFonts w:ascii="Nirmala UI" w:hAnsi="Nirmala UI" w:eastAsia="Nirmala UI" w:cs="Nirmala UI"/>
        </w:rPr>
        <w:t>ఉన్న</w:t>
      </w:r>
      <w:r>
        <w:rPr>
          <w:rFonts w:ascii="Times New Roman" w:hAnsi="Times New Roman" w:eastAsia="Times New Roman" w:cs="Times New Roman"/>
        </w:rPr>
        <w:t xml:space="preserve"> </w:t>
      </w:r>
      <w:r>
        <w:rPr>
          <w:rFonts w:ascii="Nirmala UI" w:hAnsi="Nirmala UI" w:eastAsia="Nirmala UI" w:cs="Nirmala UI"/>
        </w:rPr>
        <w:t>చరిత్రను</w:t>
      </w:r>
      <w:r>
        <w:rPr>
          <w:rFonts w:ascii="Times New Roman" w:hAnsi="Times New Roman" w:eastAsia="Times New Roman" w:cs="Times New Roman"/>
        </w:rPr>
        <w:t xml:space="preserve"> </w:t>
      </w:r>
      <w:r>
        <w:rPr>
          <w:rFonts w:ascii="Nirmala UI" w:hAnsi="Nirmala UI" w:eastAsia="Nirmala UI" w:cs="Nirmala UI"/>
        </w:rPr>
        <w:t>సూచించే</w:t>
      </w:r>
      <w:r>
        <w:rPr>
          <w:rFonts w:ascii="Times New Roman" w:hAnsi="Times New Roman" w:eastAsia="Times New Roman" w:cs="Times New Roman"/>
        </w:rPr>
        <w:t xml:space="preserve"> “</w:t>
      </w:r>
      <w:r>
        <w:rPr>
          <w:rFonts w:ascii="Nirmala UI" w:hAnsi="Nirmala UI" w:eastAsia="Nirmala UI" w:cs="Nirmala UI"/>
        </w:rPr>
        <w:t>అరణ్యము</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అంత్యమునకే</w:t>
      </w:r>
      <w:r>
        <w:rPr>
          <w:rFonts w:ascii="Times New Roman" w:hAnsi="Times New Roman" w:eastAsia="Times New Roman" w:cs="Times New Roman"/>
        </w:rPr>
        <w:t xml:space="preserve"> </w:t>
      </w:r>
      <w:r>
        <w:rPr>
          <w:rFonts w:ascii="Nirmala UI" w:hAnsi="Nirmala UI" w:eastAsia="Nirmala UI" w:cs="Nirmala UI"/>
        </w:rPr>
        <w:t>యోహాను</w:t>
      </w:r>
      <w:r>
        <w:rPr>
          <w:rFonts w:ascii="Times New Roman" w:hAnsi="Times New Roman" w:eastAsia="Times New Roman" w:cs="Times New Roman"/>
        </w:rPr>
        <w:t xml:space="preserve"> </w:t>
      </w:r>
      <w:r>
        <w:rPr>
          <w:rFonts w:ascii="Nirmala UI" w:hAnsi="Nirmala UI" w:eastAsia="Nirmala UI" w:cs="Nirmala UI"/>
        </w:rPr>
        <w:t>తీసికొనిపోబడెను</w:t>
      </w:r>
      <w:r>
        <w:rPr>
          <w:rFonts w:ascii="Times New Roman" w:hAnsi="Times New Roman" w:eastAsia="Times New Roman" w:cs="Times New Roman"/>
        </w:rPr>
        <w:t xml:space="preserve">. </w:t>
      </w:r>
      <w:r>
        <w:rPr>
          <w:rFonts w:ascii="Nirmala UI" w:hAnsi="Nirmala UI" w:eastAsia="Nirmala UI" w:cs="Nirmala UI"/>
        </w:rPr>
        <w:t>ఆత్మీయంగా</w:t>
      </w:r>
      <w:r>
        <w:rPr>
          <w:rFonts w:ascii="Times New Roman" w:hAnsi="Times New Roman" w:eastAsia="Times New Roman" w:cs="Times New Roman"/>
        </w:rPr>
        <w:t xml:space="preserve"> 1798 </w:t>
      </w:r>
      <w:r>
        <w:rPr>
          <w:rFonts w:ascii="Nirmala UI" w:hAnsi="Nirmala UI" w:eastAsia="Nirmala UI" w:cs="Nirmala UI"/>
        </w:rPr>
        <w:t>సంవత్సరమున</w:t>
      </w:r>
      <w:r>
        <w:rPr>
          <w:rFonts w:ascii="Times New Roman" w:hAnsi="Times New Roman" w:eastAsia="Times New Roman" w:cs="Times New Roman"/>
        </w:rPr>
        <w:t xml:space="preserve"> </w:t>
      </w:r>
      <w:r>
        <w:rPr>
          <w:rFonts w:ascii="Nirmala UI" w:hAnsi="Nirmala UI" w:eastAsia="Nirmala UI" w:cs="Nirmala UI"/>
        </w:rPr>
        <w:t>నిలుపబడియున్న</w:t>
      </w:r>
      <w:r>
        <w:rPr>
          <w:rFonts w:ascii="Times New Roman" w:hAnsi="Times New Roman" w:eastAsia="Times New Roman" w:cs="Times New Roman"/>
        </w:rPr>
        <w:t xml:space="preserve"> </w:t>
      </w:r>
      <w:r>
        <w:rPr>
          <w:rFonts w:ascii="Nirmala UI" w:hAnsi="Nirmala UI" w:eastAsia="Nirmala UI" w:cs="Nirmala UI"/>
        </w:rPr>
        <w:t>యోహాను</w:t>
      </w:r>
      <w:r>
        <w:rPr>
          <w:rFonts w:ascii="Times New Roman" w:hAnsi="Times New Roman" w:eastAsia="Times New Roman" w:cs="Times New Roman"/>
        </w:rPr>
        <w:t xml:space="preserve">, </w:t>
      </w:r>
      <w:r>
        <w:rPr>
          <w:rFonts w:ascii="Nirmala UI" w:hAnsi="Nirmala UI" w:eastAsia="Nirmala UI" w:cs="Nirmala UI"/>
        </w:rPr>
        <w:t>ఆధునిక</w:t>
      </w:r>
      <w:r>
        <w:rPr>
          <w:rFonts w:ascii="Times New Roman" w:hAnsi="Times New Roman" w:eastAsia="Times New Roman" w:cs="Times New Roman"/>
        </w:rPr>
        <w:t xml:space="preserve"> </w:t>
      </w:r>
      <w:r>
        <w:rPr>
          <w:rFonts w:ascii="Nirmala UI" w:hAnsi="Nirmala UI" w:eastAsia="Nirmala UI" w:cs="Nirmala UI"/>
        </w:rPr>
        <w:t>బబులోను</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తీర్పును</w:t>
      </w:r>
      <w:r>
        <w:rPr>
          <w:rFonts w:ascii="Times New Roman" w:hAnsi="Times New Roman" w:eastAsia="Times New Roman" w:cs="Times New Roman"/>
        </w:rPr>
        <w:t xml:space="preserve"> </w:t>
      </w:r>
      <w:r>
        <w:rPr>
          <w:rFonts w:ascii="Nirmala UI" w:hAnsi="Nirmala UI" w:eastAsia="Nirmala UI" w:cs="Nirmala UI"/>
        </w:rPr>
        <w:t>లిఖించుచున్నాడు</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తీర్పు</w:t>
      </w:r>
      <w:r>
        <w:rPr>
          <w:rFonts w:ascii="Times New Roman" w:hAnsi="Times New Roman" w:eastAsia="Times New Roman" w:cs="Times New Roman"/>
        </w:rPr>
        <w:t xml:space="preserve"> </w:t>
      </w:r>
      <w:r>
        <w:rPr>
          <w:rFonts w:ascii="Nirmala UI" w:hAnsi="Nirmala UI" w:eastAsia="Nirmala UI" w:cs="Nirmala UI"/>
        </w:rPr>
        <w:t>ప్రకటన</w:t>
      </w:r>
      <w:r>
        <w:rPr>
          <w:rFonts w:ascii="Times New Roman" w:hAnsi="Times New Roman" w:eastAsia="Times New Roman" w:cs="Times New Roman"/>
        </w:rPr>
        <w:t xml:space="preserve"> </w:t>
      </w:r>
      <w:r>
        <w:rPr>
          <w:rFonts w:ascii="Nirmala UI" w:hAnsi="Nirmala UI" w:eastAsia="Nirmala UI" w:cs="Nirmala UI"/>
        </w:rPr>
        <w:t>గ్రంథము</w:t>
      </w:r>
      <w:r>
        <w:rPr>
          <w:rFonts w:ascii="Times New Roman" w:hAnsi="Times New Roman" w:eastAsia="Times New Roman" w:cs="Times New Roman"/>
        </w:rPr>
        <w:t xml:space="preserve"> </w:t>
      </w:r>
      <w:r>
        <w:rPr>
          <w:rFonts w:ascii="Nirmala UI" w:hAnsi="Nirmala UI" w:eastAsia="Nirmala UI" w:cs="Nirmala UI"/>
        </w:rPr>
        <w:t>పద్దెనిమిదవ</w:t>
      </w:r>
      <w:r>
        <w:rPr>
          <w:rFonts w:ascii="Times New Roman" w:hAnsi="Times New Roman" w:eastAsia="Times New Roman" w:cs="Times New Roman"/>
        </w:rPr>
        <w:t xml:space="preserve"> </w:t>
      </w:r>
      <w:r>
        <w:rPr>
          <w:rFonts w:ascii="Nirmala UI" w:hAnsi="Nirmala UI" w:eastAsia="Nirmala UI" w:cs="Nirmala UI"/>
        </w:rPr>
        <w:t>అధ్యాయంలోని</w:t>
      </w:r>
      <w:r>
        <w:rPr>
          <w:rFonts w:ascii="Times New Roman" w:hAnsi="Times New Roman" w:eastAsia="Times New Roman" w:cs="Times New Roman"/>
        </w:rPr>
        <w:t xml:space="preserve"> </w:t>
      </w:r>
      <w:r>
        <w:rPr>
          <w:rFonts w:ascii="Nirmala UI" w:hAnsi="Nirmala UI" w:eastAsia="Nirmala UI" w:cs="Nirmala UI"/>
        </w:rPr>
        <w:t>రెండవ</w:t>
      </w:r>
      <w:r>
        <w:rPr>
          <w:rFonts w:ascii="Times New Roman" w:hAnsi="Times New Roman" w:eastAsia="Times New Roman" w:cs="Times New Roman"/>
        </w:rPr>
        <w:t xml:space="preserve"> </w:t>
      </w:r>
      <w:r>
        <w:rPr>
          <w:rFonts w:ascii="Nirmala UI" w:hAnsi="Nirmala UI" w:eastAsia="Nirmala UI" w:cs="Nirmala UI"/>
        </w:rPr>
        <w:t>స్వరముతో</w:t>
      </w:r>
      <w:r>
        <w:rPr>
          <w:rFonts w:ascii="Times New Roman" w:hAnsi="Times New Roman" w:eastAsia="Times New Roman" w:cs="Times New Roman"/>
        </w:rPr>
        <w:t xml:space="preserve"> </w:t>
      </w:r>
      <w:r>
        <w:rPr>
          <w:rFonts w:ascii="Nirmala UI" w:hAnsi="Nirmala UI" w:eastAsia="Nirmala UI" w:cs="Nirmala UI"/>
        </w:rPr>
        <w:t>ఆరంభమగును</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పాపసత్వము</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కృపాకాలపు</w:t>
      </w:r>
      <w:r>
        <w:rPr>
          <w:rFonts w:ascii="Times New Roman" w:hAnsi="Times New Roman" w:eastAsia="Times New Roman" w:cs="Times New Roman"/>
        </w:rPr>
        <w:t xml:space="preserve"> </w:t>
      </w:r>
      <w:r>
        <w:rPr>
          <w:rFonts w:ascii="Nirmala UI" w:hAnsi="Nirmala UI" w:eastAsia="Nirmala UI" w:cs="Nirmala UI"/>
        </w:rPr>
        <w:t>పాత్రను</w:t>
      </w:r>
      <w:r>
        <w:rPr>
          <w:rFonts w:ascii="Times New Roman" w:hAnsi="Times New Roman" w:eastAsia="Times New Roman" w:cs="Times New Roman"/>
        </w:rPr>
        <w:t xml:space="preserve"> </w:t>
      </w:r>
      <w:r>
        <w:rPr>
          <w:rFonts w:ascii="Nirmala UI" w:hAnsi="Nirmala UI" w:eastAsia="Nirmala UI" w:cs="Nirmala UI"/>
        </w:rPr>
        <w:t>నింపుకొనినదని</w:t>
      </w:r>
      <w:r>
        <w:rPr>
          <w:rFonts w:ascii="Times New Roman" w:hAnsi="Times New Roman" w:eastAsia="Times New Roman" w:cs="Times New Roman"/>
        </w:rPr>
        <w:t xml:space="preserve"> </w:t>
      </w:r>
      <w:r>
        <w:rPr>
          <w:rFonts w:ascii="Nirmala UI" w:hAnsi="Nirmala UI" w:eastAsia="Nirmala UI" w:cs="Nirmala UI"/>
        </w:rPr>
        <w:t>ప్రకటించుచున్నది</w:t>
      </w:r>
      <w:r>
        <w:rPr>
          <w:rFonts w:ascii="Times New Roman" w:hAnsi="Times New Roman" w:eastAsia="Times New Roman" w:cs="Times New Roman"/>
        </w:rPr>
        <w:t xml:space="preserve">; </w:t>
      </w:r>
      <w:r>
        <w:rPr>
          <w:rFonts w:ascii="Nirmala UI" w:hAnsi="Nirmala UI" w:eastAsia="Nirmala UI" w:cs="Nirmala UI"/>
        </w:rPr>
        <w:t>తరువాత</w:t>
      </w:r>
      <w:r>
        <w:rPr>
          <w:rFonts w:ascii="Times New Roman" w:hAnsi="Times New Roman" w:eastAsia="Times New Roman" w:cs="Times New Roman"/>
        </w:rPr>
        <w:t xml:space="preserve"> </w:t>
      </w:r>
      <w:r>
        <w:rPr>
          <w:rFonts w:ascii="Nirmala UI" w:hAnsi="Nirmala UI" w:eastAsia="Nirmala UI" w:cs="Nirmala UI"/>
        </w:rPr>
        <w:t>గొప్ప</w:t>
      </w:r>
      <w:r>
        <w:rPr>
          <w:rFonts w:ascii="Times New Roman" w:hAnsi="Times New Roman" w:eastAsia="Times New Roman" w:cs="Times New Roman"/>
        </w:rPr>
        <w:t xml:space="preserve"> </w:t>
      </w:r>
      <w:r>
        <w:rPr>
          <w:rFonts w:ascii="Nirmala UI" w:hAnsi="Nirmala UI" w:eastAsia="Nirmala UI" w:cs="Nirmala UI"/>
        </w:rPr>
        <w:t>రాతి</w:t>
      </w:r>
      <w:r>
        <w:rPr>
          <w:rFonts w:ascii="Times New Roman" w:hAnsi="Times New Roman" w:eastAsia="Times New Roman" w:cs="Times New Roman"/>
        </w:rPr>
        <w:t xml:space="preserve"> </w:t>
      </w:r>
      <w:r>
        <w:rPr>
          <w:rFonts w:ascii="Nirmala UI" w:hAnsi="Nirmala UI" w:eastAsia="Nirmala UI" w:cs="Nirmala UI"/>
        </w:rPr>
        <w:t>సముద్రములో</w:t>
      </w:r>
      <w:r>
        <w:rPr>
          <w:rFonts w:ascii="Times New Roman" w:hAnsi="Times New Roman" w:eastAsia="Times New Roman" w:cs="Times New Roman"/>
        </w:rPr>
        <w:t xml:space="preserve"> </w:t>
      </w:r>
      <w:r>
        <w:rPr>
          <w:rFonts w:ascii="Nirmala UI" w:hAnsi="Nirmala UI" w:eastAsia="Nirmala UI" w:cs="Nirmala UI"/>
        </w:rPr>
        <w:t>పడవేయబడినప్పుడు</w:t>
      </w:r>
      <w:r>
        <w:rPr>
          <w:rFonts w:ascii="Times New Roman" w:hAnsi="Times New Roman" w:eastAsia="Times New Roman" w:cs="Times New Roman"/>
        </w:rPr>
        <w:t xml:space="preserve"> </w:t>
      </w:r>
      <w:r>
        <w:rPr>
          <w:rFonts w:ascii="Nirmala UI" w:hAnsi="Nirmala UI" w:eastAsia="Nirmala UI" w:cs="Nirmala UI"/>
        </w:rPr>
        <w:t>కృపాకాలము</w:t>
      </w:r>
      <w:r>
        <w:rPr>
          <w:rFonts w:ascii="Times New Roman" w:hAnsi="Times New Roman" w:eastAsia="Times New Roman" w:cs="Times New Roman"/>
        </w:rPr>
        <w:t xml:space="preserve"> </w:t>
      </w:r>
      <w:r>
        <w:rPr>
          <w:rFonts w:ascii="Nirmala UI" w:hAnsi="Nirmala UI" w:eastAsia="Nirmala UI" w:cs="Nirmala UI"/>
        </w:rPr>
        <w:t>ముగిసే</w:t>
      </w:r>
      <w:r>
        <w:rPr>
          <w:rFonts w:ascii="Times New Roman" w:hAnsi="Times New Roman" w:eastAsia="Times New Roman" w:cs="Times New Roman"/>
        </w:rPr>
        <w:t xml:space="preserve"> </w:t>
      </w:r>
      <w:r>
        <w:rPr>
          <w:rFonts w:ascii="Nirmala UI" w:hAnsi="Nirmala UI" w:eastAsia="Nirmala UI" w:cs="Nirmala UI"/>
        </w:rPr>
        <w:t>వరకు</w:t>
      </w:r>
      <w:r>
        <w:rPr>
          <w:rFonts w:ascii="Times New Roman" w:hAnsi="Times New Roman" w:eastAsia="Times New Roman" w:cs="Times New Roman"/>
        </w:rPr>
        <w:t xml:space="preserve"> </w:t>
      </w:r>
      <w:r>
        <w:rPr>
          <w:rFonts w:ascii="Nirmala UI" w:hAnsi="Nirmala UI" w:eastAsia="Nirmala UI" w:cs="Nirmala UI"/>
        </w:rPr>
        <w:t>ఆమె</w:t>
      </w:r>
      <w:r>
        <w:rPr>
          <w:rFonts w:ascii="Times New Roman" w:hAnsi="Times New Roman" w:eastAsia="Times New Roman" w:cs="Times New Roman"/>
        </w:rPr>
        <w:t xml:space="preserve"> </w:t>
      </w:r>
      <w:r>
        <w:rPr>
          <w:rFonts w:ascii="Nirmala UI" w:hAnsi="Nirmala UI" w:eastAsia="Nirmala UI" w:cs="Nirmala UI"/>
        </w:rPr>
        <w:t>తీర్పు</w:t>
      </w:r>
      <w:r>
        <w:rPr>
          <w:rFonts w:ascii="Times New Roman" w:hAnsi="Times New Roman" w:eastAsia="Times New Roman" w:cs="Times New Roman"/>
        </w:rPr>
        <w:t xml:space="preserve"> </w:t>
      </w:r>
      <w:r>
        <w:rPr>
          <w:rFonts w:ascii="Nirmala UI" w:hAnsi="Nirmala UI" w:eastAsia="Nirmala UI" w:cs="Nirmala UI"/>
        </w:rPr>
        <w:t>కొనసాగుచుండును</w:t>
      </w:r>
      <w:r>
        <w:rPr>
          <w:rFonts w:ascii="Times New Roman" w:hAnsi="Times New Roman" w:eastAsia="Times New Roman" w:cs="Times New Roman"/>
        </w:rPr>
        <w:t>.</w:t>
      </w:r>
    </w:p>
    <w:p>
      <w:pPr>
        <w:pStyle w:val="ArticleBody"/>
        <w:jc w:val="left"/>
      </w:pPr>
      <w:r>
        <w:rPr>
          <w:rFonts w:ascii="Leelawadee UI" w:hAnsi="Leelawadee UI" w:eastAsia="Leelawadee UI" w:cs="Leelawadee UI"/>
        </w:rPr>
        <w:t>บรรทัดซ้อนบรรทัด</w:t>
      </w:r>
      <w:r>
        <w:rPr>
          <w:rFonts w:ascii="Times New Roman" w:hAnsi="Times New Roman" w:eastAsia="Times New Roman" w:cs="Times New Roman"/>
        </w:rPr>
        <w:t xml:space="preserve"> </w:t>
      </w:r>
      <w:r>
        <w:rPr>
          <w:rFonts w:ascii="Leelawadee UI" w:hAnsi="Leelawadee UI" w:eastAsia="Leelawadee UI" w:cs="Leelawadee UI"/>
        </w:rPr>
        <w:t>ทั้งสามบรรทัดนี้ชี้ระบุถึงการล่มสลายครั้งสุดท้ายของบาบิโลนสมัยใหม่</w:t>
      </w:r>
      <w:r>
        <w:rPr>
          <w:rFonts w:ascii="Times New Roman" w:hAnsi="Times New Roman" w:eastAsia="Times New Roman" w:cs="Times New Roman"/>
        </w:rPr>
        <w:t xml:space="preserve"> </w:t>
      </w:r>
      <w:r>
        <w:rPr>
          <w:rFonts w:ascii="Leelawadee UI" w:hAnsi="Leelawadee UI" w:eastAsia="Leelawadee UI" w:cs="Leelawadee UI"/>
        </w:rPr>
        <w:t>ผู้ซึ่งได้กระทำการล่วงประเวณีกับบรรดากษัตริย์แห่งโรมสมัยใหม่</w:t>
      </w:r>
      <w:r>
        <w:rPr>
          <w:rFonts w:ascii="Times New Roman" w:hAnsi="Times New Roman" w:eastAsia="Times New Roman" w:cs="Times New Roman"/>
        </w:rPr>
        <w:t xml:space="preserve"> </w:t>
      </w:r>
      <w:r>
        <w:rPr>
          <w:rFonts w:ascii="Leelawadee UI" w:hAnsi="Leelawadee UI" w:eastAsia="Leelawadee UI" w:cs="Leelawadee UI"/>
        </w:rPr>
        <w:t>ดาเนียลบทที่สิบเอ็ดเป็นพยานถึงอำนาจพระสันตะปาปา</w:t>
      </w:r>
      <w:r>
        <w:rPr>
          <w:rFonts w:ascii="Times New Roman" w:hAnsi="Times New Roman" w:eastAsia="Times New Roman" w:cs="Times New Roman"/>
        </w:rPr>
        <w:t xml:space="preserve"> </w:t>
      </w:r>
      <w:r>
        <w:rPr>
          <w:rFonts w:ascii="Leelawadee UI" w:hAnsi="Leelawadee UI" w:eastAsia="Leelawadee UI" w:cs="Leelawadee UI"/>
        </w:rPr>
        <w:t>ซึ่งได้รับการแทนไว้ว่าเป็นกษัตริย์ฝ่ายเหนือ</w:t>
      </w:r>
      <w:r>
        <w:rPr>
          <w:rFonts w:ascii="Times New Roman" w:hAnsi="Times New Roman" w:eastAsia="Times New Roman" w:cs="Times New Roman"/>
        </w:rPr>
        <w:t xml:space="preserve"> </w:t>
      </w:r>
      <w:r>
        <w:rPr>
          <w:rFonts w:ascii="Leelawadee UI" w:hAnsi="Leelawadee UI" w:eastAsia="Leelawadee UI" w:cs="Leelawadee UI"/>
        </w:rPr>
        <w:t>วิวรณ์บทที่สิบสามและสิบสี่เป็นพยานถึงผู้เผยพระวจนะเทียมเท็จ</w:t>
      </w:r>
      <w:r>
        <w:rPr>
          <w:rFonts w:ascii="Times New Roman" w:hAnsi="Times New Roman" w:eastAsia="Times New Roman" w:cs="Times New Roman"/>
        </w:rPr>
        <w:t xml:space="preserve"> </w:t>
      </w:r>
      <w:r>
        <w:rPr>
          <w:rFonts w:ascii="Leelawadee UI" w:hAnsi="Leelawadee UI" w:eastAsia="Leelawadee UI" w:cs="Leelawadee UI"/>
        </w:rPr>
        <w:t>และบทที่สิบเจ็ดกับสิบแปดเป็นพยานถึงบทบาทของพญานาค</w:t>
      </w:r>
      <w:r>
        <w:rPr>
          <w:rFonts w:ascii="Times New Roman" w:hAnsi="Times New Roman" w:eastAsia="Times New Roman" w:cs="Times New Roman"/>
        </w:rPr>
        <w:t xml:space="preserve"> (</w:t>
      </w:r>
      <w:r>
        <w:rPr>
          <w:rFonts w:ascii="Leelawadee UI" w:hAnsi="Leelawadee UI" w:eastAsia="Leelawadee UI" w:cs="Leelawadee UI"/>
        </w:rPr>
        <w:t>กษัตริย์สิบองค์</w:t>
      </w:r>
      <w:r>
        <w:rPr>
          <w:rFonts w:ascii="Times New Roman" w:hAnsi="Times New Roman" w:eastAsia="Times New Roman" w:cs="Times New Roman"/>
        </w:rPr>
        <w:t xml:space="preserve">) </w:t>
      </w:r>
      <w:r>
        <w:rPr>
          <w:rFonts w:ascii="Leelawadee UI" w:hAnsi="Leelawadee UI" w:eastAsia="Leelawadee UI" w:cs="Leelawadee UI"/>
        </w:rPr>
        <w:t>โครงสร้างเชิงพยากรณ์ที่</w:t>
      </w:r>
      <w:r>
        <w:rPr>
          <w:rFonts w:ascii="Times New Roman" w:hAnsi="Times New Roman" w:eastAsia="Times New Roman" w:cs="Times New Roman"/>
        </w:rPr>
        <w:t xml:space="preserve"> Future for America </w:t>
      </w:r>
      <w:r>
        <w:rPr>
          <w:rFonts w:ascii="Leelawadee UI" w:hAnsi="Leelawadee UI" w:eastAsia="Leelawadee UI" w:cs="Leelawadee UI"/>
        </w:rPr>
        <w:t>ใช้นั้นตั้งอยู่บนอำนาจทั้งสามซึ่งนำโลกไปสู่อาร์มาเกดดอน</w:t>
      </w:r>
    </w:p>
    <w:p>
      <w:pPr>
        <w:pStyle w:val="ArticleBody"/>
        <w:jc w:val="left"/>
      </w:pPr>
      <w:r>
        <w:rPr>
          <w:rFonts w:ascii="Times New Roman" w:hAnsi="Times New Roman" w:eastAsia="Times New Roman" w:cs="Times New Roman"/>
        </w:rPr>
        <w:t>Maboko mibale ya Babel mpe Babilone emonisi bizaleli ya esakweli ya Babilone ya mikolo na biso. Maboko wana mibale elobeli lolendo ya mokambi moko ya bopapa, oyo andimaka ete azali Moklisto mpe amibokoli na tempelo ya Nzambe, mpe amimonisaka ete azali Nzambe. Maboko wana mibale emonisi mpe kokweya na ye ya nsuka. Komitombola ya pope mpe kokweya na ye ya nsuka, ndenge emonisami na bimoniseli misato ya Babilone, yango nde etongaka emonaneli ya lisolo ya esakweli.</w:t>
      </w:r>
    </w:p>
    <w:p>
      <w:pPr>
        <w:pStyle w:val="ArticleScripture"/>
        <w:jc w:val="left"/>
      </w:pPr>
      <w:r>
        <w:rPr>
          <w:rFonts w:ascii="Times New Roman" w:hAnsi="Times New Roman" w:eastAsia="Times New Roman" w:cs="Times New Roman"/>
        </w:rPr>
        <w:t>Et en ce temps-là, plusieurs s’élèveront contre le roi du midi; et les violents de ton peuple se soulèveront pour accomplir la vision; mais ils tomberont. Daniel 11:14.</w:t>
      </w:r>
    </w:p>
    <w:p>
      <w:pPr>
        <w:pStyle w:val="ArticleBody"/>
        <w:jc w:val="left"/>
      </w:pPr>
      <w:r>
        <w:rPr>
          <w:rFonts w:ascii="Times New Roman" w:hAnsi="Times New Roman" w:eastAsia="Times New Roman" w:cs="Times New Roman"/>
        </w:rPr>
        <w:t>Tutaendelea na uchunguzi wetu wa maonyesho matatu ya Babeli katika makala inayofuata.</w:t>
      </w:r>
    </w:p>
    <w:p>
      <w:pPr>
        <w:pStyle w:val="ArticleScripture"/>
        <w:jc w:val="left"/>
      </w:pPr>
      <w:r>
        <w:rPr>
          <w:rFonts w:ascii="Times New Roman" w:hAnsi="Times New Roman" w:eastAsia="Times New Roman" w:cs="Times New Roman"/>
        </w:rPr>
        <w:t>Puis j’entendis du ciel une autre voix, qui disait : Sortez du milieu d’elle, mon peuple, afin que vous ne participiez point à ses péchés, et que vous n’ayez point de part à ses fléaux. Car ses péchés se sont accumulés jusqu’au ciel, et Dieu s’est souvenu de ses iniquités. Traitez-la comme elle vous a traités, et rendez-lui au double selon ses œuvres ; dans la coupe où elle a versé, versez-lui au double. Autant elle s’est glorifiée et s’est livrée aux délices, autant donnez-lui de tourment et de deuil. Car elle dit en son cœur : Je suis assise en reine, je ne suis point veuve, et je ne verrai point de deuil. C’est pourquoi, en un seul jour, ses fléaux viendront, la mort, le deuil et la famine ; et elle sera entièrement consumée par le feu. Car il est puissant, le Seigneur Dieu qui l’a jugée. Apocalypse 18:4–8.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ya Danieli - Namba Tisini na Nne</dc:title>
  <dc:subject>Dévoilement du cadre prophétique : comprendre les trois puissances conduisant à Armageddon</dc:subject>
  <dc:creator>Jeff Pippenger</dc:creator>
  <cp:keywords/>
  <dc:description>Generated by ArticleDigger from daniel\94_daniel.json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