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la Danieli - Nambari Tisini na Tano</w:t>
      </w:r>
    </w:p>
    <w:p>
      <w:pPr>
        <w:pStyle w:val="ArticleSubtitle"/>
        <w:jc w:val="left"/>
      </w:pPr>
      <w:r>
        <w:rPr>
          <w:rFonts w:ascii="Arial" w:hAnsi="Arial" w:eastAsia="Arial" w:cs="Arial"/>
        </w:rPr>
        <w:t>Révélation de la signification prophétique du message du deuxième ange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පළමුද</w:t>
      </w:r>
      <w:r>
        <w:rPr>
          <w:rFonts w:ascii="Times New Roman" w:hAnsi="Times New Roman" w:eastAsia="Times New Roman" w:cs="Times New Roman"/>
        </w:rPr>
        <w:t xml:space="preserve"> </w:t>
      </w:r>
      <w:r>
        <w:rPr>
          <w:rFonts w:ascii="Nirmala UI" w:hAnsi="Nirmala UI" w:eastAsia="Nirmala UI" w:cs="Nirmala UI"/>
        </w:rPr>
        <w:t>තුන්වනද</w:t>
      </w:r>
      <w:r>
        <w:rPr>
          <w:rFonts w:ascii="Times New Roman" w:hAnsi="Times New Roman" w:eastAsia="Times New Roman" w:cs="Times New Roman"/>
        </w:rPr>
        <w:t xml:space="preserve"> </w:t>
      </w:r>
      <w:r>
        <w:rPr>
          <w:rFonts w:ascii="Nirmala UI" w:hAnsi="Nirmala UI" w:eastAsia="Nirmala UI" w:cs="Nirmala UI"/>
        </w:rPr>
        <w:t>දේවදූතයාගේ</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දේවදූතයාගේ</w:t>
      </w:r>
      <w:r>
        <w:rPr>
          <w:rFonts w:ascii="Times New Roman" w:hAnsi="Times New Roman" w:eastAsia="Times New Roman" w:cs="Times New Roman"/>
        </w:rPr>
        <w:t xml:space="preserve"> </w:t>
      </w:r>
      <w:r>
        <w:rPr>
          <w:rFonts w:ascii="Nirmala UI" w:hAnsi="Nirmala UI" w:eastAsia="Nirmala UI" w:cs="Nirmala UI"/>
        </w:rPr>
        <w:t>පණිවිඩයෙන්</w:t>
      </w:r>
      <w:r>
        <w:rPr>
          <w:rFonts w:ascii="Times New Roman" w:hAnsi="Times New Roman" w:eastAsia="Times New Roman" w:cs="Times New Roman"/>
        </w:rPr>
        <w:t xml:space="preserve"> </w:t>
      </w:r>
      <w:r>
        <w:rPr>
          <w:rFonts w:ascii="Nirmala UI" w:hAnsi="Nirmala UI" w:eastAsia="Nirmala UI" w:cs="Nirmala UI"/>
        </w:rPr>
        <w:t>සාරාංශගත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un autre ange suivit, en disant : Babylone est tombée, elle est tombée, la grande ville, parce qu’elle a fait boire à toutes les nations le vin de la fureur de sa fornication. Apocalypse 14:8.</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चाहनेहरूका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प्रयोगलाई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बेबिलोनलाई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चिनाउँछ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अठारमा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व्यभिचारको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पिउन</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राजाहरूसँग</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सम्बन्धले</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राजाहरूसँग</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सतावट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जनहरूमाथि</w:t>
      </w:r>
      <w:r>
        <w:rPr>
          <w:rFonts w:ascii="Times New Roman" w:hAnsi="Times New Roman" w:eastAsia="Times New Roman" w:cs="Times New Roman"/>
        </w:rPr>
        <w:t xml:space="preserve"> </w:t>
      </w:r>
      <w:r>
        <w:rPr>
          <w:rFonts w:ascii="Nirmala UI" w:hAnsi="Nirmala UI" w:eastAsia="Nirmala UI" w:cs="Nirmala UI"/>
        </w:rPr>
        <w:t>ल्याउँछिन्।</w:t>
      </w:r>
    </w:p>
    <w:p>
      <w:pPr>
        <w:pStyle w:val="ArticleBody"/>
        <w:jc w:val="left"/>
      </w:pPr>
      <w:r>
        <w:rPr>
          <w:rFonts w:ascii="Times New Roman" w:hAnsi="Times New Roman" w:eastAsia="Times New Roman" w:cs="Times New Roman"/>
        </w:rPr>
        <w:t>Vin se yon doktrin, e doktrin li fè tout nasyon bwè a, se fo doktrin ki pretann adore solèy la ap pwodui lapè. Tout nasyon yo aksepte “mak” otorite li a, ki se adorasyon solèy la, jan sa reprezante nan adorasyon Dimanch la. Akseptasyon tout nasyon yo bay “mak” sa a fèt pa mwayen pouvwa Etazini, men sa fèt nan tan lagè k ap ogmante yo ap tonbe sou planèt tè a atravè twazyèm Malè Islam nan. Nasyon yo aksepte “diven” kòlè li a, sou baz yon pwomès “lapè ak sekirite.”</w:t>
      </w:r>
    </w:p>
    <w:p>
      <w:pPr>
        <w:pStyle w:val="ArticleScripture"/>
        <w:jc w:val="left"/>
      </w:pPr>
      <w:r>
        <w:rPr>
          <w:rFonts w:ascii="Times New Roman" w:hAnsi="Times New Roman" w:eastAsia="Times New Roman" w:cs="Times New Roman"/>
        </w:rPr>
        <w:t>«Եվ ահա գալիս է այն լուրը, թե ես հայտարարել եմ, որ Նյու Յորքը պիտի swept away լինի մակընթացային ալիքով՞։ Սա ես երբեք չեմ ասել։ Ես ասել եմ, երբ նայում էի այնտեղ բարձրացող հսկա շենքերին՝ հարկ հարկի վրա,․ «Ի՜նչ սարսափելի տեսարաններ պիտի կատարվեն, երբ Տերը վեր կենա, որպեսզի ահավոր կերպով ցնցի երկիրը։ Այն ժամանակ Հայտնություն 18.1–3-ի խոսքերը պիտի կատարվեն»։ Հայտնության տասնութերորդ գլխի ամբողջությունը նախազգուշացում է այն բանի մասին, ինչ պիտի գա երկրի վրա։ Բայց Նյու Յորքի վրա եկելիքի վերաբերյալ ես առանձնապես լույս չունեմ, բացի այն, որ գիտեմ՝ մի օր այնտեղի մեծ շենքերը պիտի վայր գցվեն Աստծո զորության շրջելու և շուռ տալու միջոցով։ Ինձ տրված լույսից ես գիտեմ, որ կործանումը աշխարհում է։ Տիրոջ մեկ խոսքը, Նրա հզոր զորության մեկ հպումը՝ և այս հսկայական կառույցները պիտի ընկնեն։ Պիտի կատարվեն այնպիսի տեսարաններ, որոնց ահավորությունը մենք չենք կարող պատկերացնել»։ Review and Herald, July 5, 1906.</w:t>
      </w:r>
    </w:p>
    <w:p>
      <w:pPr>
        <w:pStyle w:val="ArticleBody"/>
        <w:jc w:val="left"/>
      </w:pP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 xml:space="preserve"> 2001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የኒው</w:t>
      </w:r>
      <w:r>
        <w:rPr>
          <w:rFonts w:ascii="Times New Roman" w:hAnsi="Times New Roman" w:eastAsia="Times New Roman" w:cs="Times New Roman"/>
        </w:rPr>
        <w:t xml:space="preserve"> </w:t>
      </w:r>
      <w:r>
        <w:rPr>
          <w:rFonts w:ascii="Ebrima" w:hAnsi="Ebrima" w:eastAsia="Ebrima" w:cs="Ebrima"/>
        </w:rPr>
        <w:t>ዮርክ</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ህንፃዎች</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ንክኪ</w:t>
      </w:r>
      <w:r>
        <w:rPr>
          <w:rFonts w:ascii="Times New Roman" w:hAnsi="Times New Roman" w:eastAsia="Times New Roman" w:cs="Times New Roman"/>
        </w:rPr>
        <w:t xml:space="preserve"> </w:t>
      </w:r>
      <w:r>
        <w:rPr>
          <w:rFonts w:ascii="Ebrima" w:hAnsi="Ebrima" w:eastAsia="Ebrima" w:cs="Ebrima"/>
        </w:rPr>
        <w:t>ወድቀው</w:t>
      </w:r>
      <w:r>
        <w:rPr>
          <w:rFonts w:ascii="Times New Roman" w:hAnsi="Times New Roman" w:eastAsia="Times New Roman" w:cs="Times New Roman"/>
        </w:rPr>
        <w:t xml:space="preserve"> </w:t>
      </w:r>
      <w:r>
        <w:rPr>
          <w:rFonts w:ascii="Ebrima" w:hAnsi="Ebrima" w:eastAsia="Ebrima" w:cs="Ebrima"/>
        </w:rPr>
        <w:t>ተጣሉ።</w:t>
      </w:r>
    </w:p>
    <w:p>
      <w:pPr>
        <w:pStyle w:val="ArticleScripture"/>
        <w:jc w:val="left"/>
      </w:pPr>
      <w:r>
        <w:rPr>
          <w:rFonts w:ascii="Times New Roman" w:hAnsi="Times New Roman" w:eastAsia="Times New Roman" w:cs="Times New Roman"/>
        </w:rPr>
        <w:t>“Nabii asema, ‘Nikaona malaika mwingine akishuka kutoka mbinguni, mwenye mamlaka makubwa; nayo dunia ikaangazwa kwa utukufu wake. Akalia kwa nguvu kwa sauti kuu, akisema, Babeli mkuu ameanguka, ameanguka, naye amekuwa maskani ya pepo wabaya’ (Ufunuo 18:1, 2). Huu ndio ujumbe uleule uliotolewa na malaika wa pili. Babeli ameanguka, ‘kwa sababu aliwanywesha mataifa yote divai ya ghadhabu ya uasherati wake’ (Ufunuo 14:8). Divai hiyo ni nini?—Mafundisho yake ya uongo. Ameupa ulimwengu sabato ya uongo badala ya Sabato ya amri ya nne, naye amerudia uongo ambao Shetani alimwambia Hawa kwanza katika Edeni—kwamba roho haiwezi kufa kwa asili. Makosa mengi yanayofanana na hayo ameyatawanya kote na kote, ‘akifundisha mafundisho yaliyo maagizo ya wanadamu’ (Mathayo 15:9).”</w:t>
      </w:r>
    </w:p>
    <w:p>
      <w:pPr>
        <w:pStyle w:val="ArticleScripture"/>
        <w:jc w:val="left"/>
      </w:pPr>
      <w:r>
        <w:rPr>
          <w:rFonts w:ascii="Times New Roman" w:hAnsi="Times New Roman" w:eastAsia="Times New Roman" w:cs="Times New Roman"/>
        </w:rPr>
        <w:t>“</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যীচুৱে</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ৰাজহুৱা</w:t>
      </w:r>
      <w:r>
        <w:rPr>
          <w:rFonts w:ascii="Times New Roman" w:hAnsi="Times New Roman" w:eastAsia="Times New Roman" w:cs="Times New Roman"/>
        </w:rPr>
        <w:t xml:space="preserve"> </w:t>
      </w:r>
      <w:r>
        <w:rPr>
          <w:rFonts w:ascii="Nirmala UI" w:hAnsi="Nirmala UI" w:eastAsia="Nirmala UI" w:cs="Nirmala UI"/>
        </w:rPr>
        <w:t>পৰিচৰ্যা</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মন্দিৰক</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ধৰ্মদ্ৰোহী</w:t>
      </w:r>
      <w:r>
        <w:rPr>
          <w:rFonts w:ascii="Times New Roman" w:hAnsi="Times New Roman" w:eastAsia="Times New Roman" w:cs="Times New Roman"/>
        </w:rPr>
        <w:t xml:space="preserve"> </w:t>
      </w:r>
      <w:r>
        <w:rPr>
          <w:rFonts w:ascii="Nirmala UI" w:hAnsi="Nirmala UI" w:eastAsia="Nirmala UI" w:cs="Nirmala UI"/>
        </w:rPr>
        <w:t>অপবিত্ৰতাতৰ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পৰিচৰ্যাৰ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কাৰ্যসমূহৰ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মন্দিৰৰ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শুদ্ধিকৰণো</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সেইদৰে</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সতৰ্ক</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কাৰ্যত</w:t>
      </w:r>
      <w:r>
        <w:rPr>
          <w:rFonts w:ascii="Times New Roman" w:hAnsi="Times New Roman" w:eastAsia="Times New Roman" w:cs="Times New Roman"/>
        </w:rPr>
        <w:t xml:space="preserve">, </w:t>
      </w:r>
      <w:r>
        <w:rPr>
          <w:rFonts w:ascii="Nirmala UI" w:hAnsi="Nirmala UI" w:eastAsia="Nirmala UI" w:cs="Nirmala UI"/>
        </w:rPr>
        <w:t>গীৰ্জাসমূহলৈ</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স্বতন্ত্ৰ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বাৰ্তাই</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নগৰ</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ব্যভিচাৰৰ</w:t>
      </w:r>
      <w:r>
        <w:rPr>
          <w:rFonts w:ascii="Times New Roman" w:hAnsi="Times New Roman" w:eastAsia="Times New Roman" w:cs="Times New Roman"/>
        </w:rPr>
        <w:t xml:space="preserve"> </w:t>
      </w:r>
      <w:r>
        <w:rPr>
          <w:rFonts w:ascii="Nirmala UI" w:hAnsi="Nirmala UI" w:eastAsia="Nirmala UI" w:cs="Nirmala UI"/>
        </w:rPr>
        <w:t>ক্ৰোধৰ</w:t>
      </w:r>
      <w:r>
        <w:rPr>
          <w:rFonts w:ascii="Times New Roman" w:hAnsi="Times New Roman" w:eastAsia="Times New Roman" w:cs="Times New Roman"/>
        </w:rPr>
        <w:t xml:space="preserve"> </w:t>
      </w:r>
      <w:r>
        <w:rPr>
          <w:rFonts w:ascii="Nirmala UI" w:hAnsi="Nirmala UI" w:eastAsia="Nirmala UI" w:cs="Nirmala UI"/>
        </w:rPr>
        <w:t>দ্ৰাক্ষাৰস</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জাতিক</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কৰাইছে</w:t>
      </w:r>
      <w:r>
        <w:rPr>
          <w:rFonts w:ascii="Times New Roman" w:hAnsi="Times New Roman" w:eastAsia="Times New Roman" w:cs="Times New Roman"/>
        </w:rPr>
        <w:t>’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14:8)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বাৰ্তাৰ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স্বৰ্গৰ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তোমালোকে</w:t>
      </w:r>
      <w:r>
        <w:rPr>
          <w:rFonts w:ascii="Times New Roman" w:hAnsi="Times New Roman" w:eastAsia="Times New Roman" w:cs="Times New Roman"/>
        </w:rPr>
        <w:t xml:space="preserve"> </w:t>
      </w:r>
      <w:r>
        <w:rPr>
          <w:rFonts w:ascii="Nirmala UI" w:hAnsi="Nirmala UI" w:eastAsia="Nirmala UI" w:cs="Nirmala UI"/>
        </w:rPr>
        <w:t>তাইৰ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তোমালোকে</w:t>
      </w:r>
      <w:r>
        <w:rPr>
          <w:rFonts w:ascii="Times New Roman" w:hAnsi="Times New Roman" w:eastAsia="Times New Roman" w:cs="Times New Roman"/>
        </w:rPr>
        <w:t xml:space="preserve"> </w:t>
      </w:r>
      <w:r>
        <w:rPr>
          <w:rFonts w:ascii="Nirmala UI" w:hAnsi="Nirmala UI" w:eastAsia="Nirmala UI" w:cs="Nirmala UI"/>
        </w:rPr>
        <w:t>তাইৰ</w:t>
      </w:r>
      <w:r>
        <w:rPr>
          <w:rFonts w:ascii="Times New Roman" w:hAnsi="Times New Roman" w:eastAsia="Times New Roman" w:cs="Times New Roman"/>
        </w:rPr>
        <w:t xml:space="preserve"> </w:t>
      </w:r>
      <w:r>
        <w:rPr>
          <w:rFonts w:ascii="Nirmala UI" w:hAnsi="Nirmala UI" w:eastAsia="Nirmala UI" w:cs="Nirmala UI"/>
        </w:rPr>
        <w:t>পাপসমূহৰ</w:t>
      </w:r>
      <w:r>
        <w:rPr>
          <w:rFonts w:ascii="Times New Roman" w:hAnsi="Times New Roman" w:eastAsia="Times New Roman" w:cs="Times New Roman"/>
        </w:rPr>
        <w:t xml:space="preserve"> </w:t>
      </w:r>
      <w:r>
        <w:rPr>
          <w:rFonts w:ascii="Nirmala UI" w:hAnsi="Nirmala UI" w:eastAsia="Nirmala UI" w:cs="Nirmala UI"/>
        </w:rPr>
        <w:t>অংশীদাৰ</w:t>
      </w:r>
      <w:r>
        <w:rPr>
          <w:rFonts w:ascii="Times New Roman" w:hAnsi="Times New Roman" w:eastAsia="Times New Roman" w:cs="Times New Roman"/>
        </w:rPr>
        <w:t xml:space="preserve"> </w:t>
      </w:r>
      <w:r>
        <w:rPr>
          <w:rFonts w:ascii="Nirmala UI" w:hAnsi="Nirmala UI" w:eastAsia="Nirmala UI" w:cs="Nirmala UI"/>
        </w:rPr>
        <w:t>নহোৱা</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তাইৰ</w:t>
      </w:r>
      <w:r>
        <w:rPr>
          <w:rFonts w:ascii="Times New Roman" w:hAnsi="Times New Roman" w:eastAsia="Times New Roman" w:cs="Times New Roman"/>
        </w:rPr>
        <w:t xml:space="preserve"> </w:t>
      </w:r>
      <w:r>
        <w:rPr>
          <w:rFonts w:ascii="Nirmala UI" w:hAnsi="Nirmala UI" w:eastAsia="Nirmala UI" w:cs="Nirmala UI"/>
        </w:rPr>
        <w:t>দণ্ডসমূহৰো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নোপোৱা।</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তাইৰ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স্বৰ্গলৈকে</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তাইৰ</w:t>
      </w:r>
      <w:r>
        <w:rPr>
          <w:rFonts w:ascii="Times New Roman" w:hAnsi="Times New Roman" w:eastAsia="Times New Roman" w:cs="Times New Roman"/>
        </w:rPr>
        <w:t xml:space="preserve"> </w:t>
      </w:r>
      <w:r>
        <w:rPr>
          <w:rFonts w:ascii="Nirmala UI" w:hAnsi="Nirmala UI" w:eastAsia="Nirmala UI" w:cs="Nirmala UI"/>
        </w:rPr>
        <w:t>অধৰ্মসমূহ</w:t>
      </w:r>
      <w:r>
        <w:rPr>
          <w:rFonts w:ascii="Times New Roman" w:hAnsi="Times New Roman" w:eastAsia="Times New Roman" w:cs="Times New Roman"/>
        </w:rPr>
        <w:t xml:space="preserve"> </w:t>
      </w:r>
      <w:r>
        <w:rPr>
          <w:rFonts w:ascii="Nirmala UI" w:hAnsi="Nirmala UI" w:eastAsia="Nirmala UI" w:cs="Nirmala UI"/>
        </w:rPr>
        <w:t>স্মৰণ</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18:4, 5)</w:t>
      </w:r>
      <w:r>
        <w:rPr>
          <w:rFonts w:ascii="Nirmala UI" w:hAnsi="Nirmala UI" w:eastAsia="Nirmala UI" w:cs="Nirmala UI"/>
        </w:rPr>
        <w:t>।</w:t>
      </w:r>
      <w:r>
        <w:rPr>
          <w:rFonts w:ascii="Times New Roman" w:hAnsi="Times New Roman" w:eastAsia="Times New Roman" w:cs="Times New Roman"/>
        </w:rPr>
        <w:t>” Selected Messages, book 2, 118.</w:t>
      </w:r>
    </w:p>
    <w:p>
      <w:pPr>
        <w:pStyle w:val="ArticleBody"/>
        <w:jc w:val="left"/>
      </w:pPr>
      <w:r>
        <w:rPr>
          <w:rFonts w:ascii="Times New Roman" w:hAnsi="Times New Roman" w:eastAsia="Times New Roman" w:cs="Times New Roman"/>
        </w:rPr>
        <w:t>Entre le 11 septembre 2001 et la loi du dimanche qui doit bientôt venir aux États-Unis, les trois premiers versets d’Apocalypse dix-huit s’accomplissent, car c’est à la loi du dimanche que commence l’appel à sortir de Babylone.</w:t>
      </w:r>
    </w:p>
    <w:p>
      <w:pPr>
        <w:pStyle w:val="ArticleScripture"/>
        <w:jc w:val="left"/>
      </w:pPr>
      <w:r>
        <w:rPr>
          <w:rFonts w:ascii="Times New Roman" w:hAnsi="Times New Roman" w:eastAsia="Times New Roman" w:cs="Times New Roman"/>
        </w:rPr>
        <w:t>« Révélation 18 désigne le temps où, par suite du rejet du triple avertissement de Révélation 14:6–12, l’Église aura pleinement atteint l’état annoncé par le second ange, et le peuple de Dieu se trouvant encore dans Babylone sera appelé à se séparer de sa communion. Ce message est le dernier qui sera jamais adressé au monde ; et il accomplira son œuvre. Lorsque ceux qui « n’ont pas cru à la vérité, mais qui ont pris plaisir à l’injustice » (2 Thessaloniciens 2:12) seront abandonnés à une puissance d’égarement, pour croire au mensonge, alors la lumière de la vérité brillera sur tous ceux dont le cœur est ouvert pour la recevoir, et tous les enfants du Seigneur qui demeurent dans Babylone prêteront attention à l’appel : « Sortez du milieu d’elle, Mon peuple » (Révélation 18:4). » The Great Controversy, 389, 390.</w:t>
      </w:r>
    </w:p>
    <w:p>
      <w:pPr>
        <w:pStyle w:val="ArticleBody"/>
        <w:jc w:val="left"/>
      </w:pPr>
      <w:r>
        <w:rPr>
          <w:rFonts w:ascii="Times New Roman" w:hAnsi="Times New Roman" w:eastAsia="Times New Roman" w:cs="Times New Roman"/>
        </w:rPr>
        <w:t>No texto a ser traduzido, “ff” não identifica um idioma específico. Por favor, informe o idioma de destino para que eu possa fornecer a tradução.</w:t>
      </w:r>
    </w:p>
    <w:p>
      <w:pPr>
        <w:pStyle w:val="ArticleBody"/>
        <w:jc w:val="left"/>
      </w:pPr>
      <w:r>
        <w:rPr>
          <w:rFonts w:ascii="Sylfaen" w:hAnsi="Sylfaen" w:eastAsia="Sylfaen" w:cs="Sylfaen"/>
        </w:rPr>
        <w:t>დაბადების</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მეთვრამეტე</w:t>
      </w:r>
      <w:r>
        <w:rPr>
          <w:rFonts w:ascii="Times New Roman" w:hAnsi="Times New Roman" w:eastAsia="Times New Roman" w:cs="Times New Roman"/>
        </w:rPr>
        <w:t xml:space="preserve"> </w:t>
      </w:r>
      <w:r>
        <w:rPr>
          <w:rFonts w:ascii="Sylfaen" w:hAnsi="Sylfaen" w:eastAsia="Sylfaen" w:cs="Sylfaen"/>
        </w:rPr>
        <w:t>თავში</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ხმის</w:t>
      </w:r>
      <w:r>
        <w:rPr>
          <w:rFonts w:ascii="Times New Roman" w:hAnsi="Times New Roman" w:eastAsia="Times New Roman" w:cs="Times New Roman"/>
        </w:rPr>
        <w:t xml:space="preserve"> </w:t>
      </w:r>
      <w:r>
        <w:rPr>
          <w:rFonts w:ascii="Sylfaen" w:hAnsi="Sylfaen" w:eastAsia="Sylfaen" w:cs="Sylfaen"/>
        </w:rPr>
        <w:t>გამოცხადება</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უწყების</w:t>
      </w:r>
      <w:r>
        <w:rPr>
          <w:rFonts w:ascii="Times New Roman" w:hAnsi="Times New Roman" w:eastAsia="Times New Roman" w:cs="Times New Roman"/>
        </w:rPr>
        <w:t xml:space="preserve"> </w:t>
      </w:r>
      <w:r>
        <w:rPr>
          <w:rFonts w:ascii="Sylfaen" w:hAnsi="Sylfaen" w:eastAsia="Sylfaen" w:cs="Sylfaen"/>
        </w:rPr>
        <w:t>გამეორებაა</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სამივე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უარყოფას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სამივე</w:t>
      </w:r>
      <w:r>
        <w:rPr>
          <w:rFonts w:ascii="Times New Roman" w:hAnsi="Times New Roman" w:eastAsia="Times New Roman" w:cs="Times New Roman"/>
        </w:rPr>
        <w:t xml:space="preserve"> </w:t>
      </w:r>
      <w:r>
        <w:rPr>
          <w:rFonts w:ascii="Sylfaen" w:hAnsi="Sylfaen" w:eastAsia="Sylfaen" w:cs="Sylfaen"/>
        </w:rPr>
        <w:t>უწყებას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ატარებს</w:t>
      </w:r>
      <w:r>
        <w:rPr>
          <w:rFonts w:ascii="Times New Roman" w:hAnsi="Times New Roman" w:eastAsia="Times New Roman" w:cs="Times New Roman"/>
        </w:rPr>
        <w:t xml:space="preserve"> </w:t>
      </w:r>
      <w:r>
        <w:rPr>
          <w:rFonts w:ascii="Sylfaen" w:hAnsi="Sylfaen" w:eastAsia="Sylfaen" w:cs="Sylfaen"/>
        </w:rPr>
        <w:t>ალფასა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ომეგას</w:t>
      </w:r>
      <w:r>
        <w:rPr>
          <w:rFonts w:ascii="Times New Roman" w:hAnsi="Times New Roman" w:eastAsia="Times New Roman" w:cs="Times New Roman"/>
        </w:rPr>
        <w:t xml:space="preserve"> </w:t>
      </w:r>
      <w:r>
        <w:rPr>
          <w:rFonts w:ascii="Sylfaen" w:hAnsi="Sylfaen" w:eastAsia="Sylfaen" w:cs="Sylfaen"/>
        </w:rPr>
        <w:t>ნიშნებს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გამოცხადდა</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გამოცხადდება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მოძრაობაში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ბაბილონი</w:t>
      </w:r>
      <w:r>
        <w:rPr>
          <w:rFonts w:ascii="Times New Roman" w:hAnsi="Times New Roman" w:eastAsia="Times New Roman" w:cs="Times New Roman"/>
        </w:rPr>
        <w:t xml:space="preserve"> </w:t>
      </w:r>
      <w:r>
        <w:rPr>
          <w:rFonts w:ascii="Sylfaen" w:hAnsi="Sylfaen" w:eastAsia="Sylfaen" w:cs="Sylfaen"/>
        </w:rPr>
        <w:t>ორჯერ</w:t>
      </w:r>
      <w:r>
        <w:rPr>
          <w:rFonts w:ascii="Times New Roman" w:hAnsi="Times New Roman" w:eastAsia="Times New Roman" w:cs="Times New Roman"/>
        </w:rPr>
        <w:t xml:space="preserve"> </w:t>
      </w:r>
      <w:r>
        <w:rPr>
          <w:rFonts w:ascii="Sylfaen" w:hAnsi="Sylfaen" w:eastAsia="Sylfaen" w:cs="Sylfaen"/>
        </w:rPr>
        <w:t>დაეცა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აზრით</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განსაზღვრავს</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სამმაგ</w:t>
      </w:r>
      <w:r>
        <w:rPr>
          <w:rFonts w:ascii="Times New Roman" w:hAnsi="Times New Roman" w:eastAsia="Times New Roman" w:cs="Times New Roman"/>
        </w:rPr>
        <w:t xml:space="preserve"> </w:t>
      </w:r>
      <w:r>
        <w:rPr>
          <w:rFonts w:ascii="Sylfaen" w:hAnsi="Sylfaen" w:eastAsia="Sylfaen" w:cs="Sylfaen"/>
        </w:rPr>
        <w:t>გამოყენებას</w:t>
      </w:r>
      <w:r>
        <w:rPr>
          <w:rFonts w:ascii="Times New Roman" w:hAnsi="Times New Roman" w:eastAsia="Times New Roman" w:cs="Times New Roman"/>
        </w:rPr>
        <w:t>“.</w:t>
      </w:r>
    </w:p>
    <w:p>
      <w:pPr>
        <w:pStyle w:val="ArticleBody"/>
        <w:jc w:val="left"/>
      </w:pPr>
      <w:r>
        <w:rPr>
          <w:rFonts w:ascii="Nirmala UI" w:hAnsi="Nirmala UI" w:eastAsia="Nirmala UI" w:cs="Nirmala UI"/>
        </w:rPr>
        <w:t>বারবার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যেভাবে</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দুইবার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পতনকে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দ্বিগুণ</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পরিবেষ্টিত।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ওমেগার</w:t>
      </w:r>
      <w:r>
        <w:rPr>
          <w:rFonts w:ascii="Times New Roman" w:hAnsi="Times New Roman" w:eastAsia="Times New Roman" w:cs="Times New Roman"/>
        </w:rPr>
        <w:t xml:space="preserve"> </w:t>
      </w:r>
      <w:r>
        <w:rPr>
          <w:rFonts w:ascii="Nirmala UI" w:hAnsi="Nirmala UI" w:eastAsia="Nirmala UI" w:cs="Nirmala UI"/>
        </w:rPr>
        <w:t>স্বাক্ষর</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অনন্ত</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পরিচিত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সংজ্ঞাগত</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চিরন্তন</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সুসমাচার।</w:t>
      </w:r>
    </w:p>
    <w:p>
      <w:pPr>
        <w:pStyle w:val="ArticleBody"/>
        <w:jc w:val="left"/>
      </w:pPr>
      <w:r>
        <w:rPr>
          <w:rFonts w:ascii="Times New Roman" w:hAnsi="Times New Roman" w:eastAsia="Times New Roman" w:cs="Times New Roman"/>
        </w:rPr>
        <w:t>Alfa e Ômega apôs Sua assinatura de “Verdade” sobre as três mensagens, pois a palavra hebraica traduzida por “verdade” foi criada pelo Maravilhoso Linguista mediante a combinação da primeira, da décima terceira e da última letras do alfabeto hebraico. “Treze”, como símbolo, representa rebelião, e é na segunda mensagem que se identifica a rebelião de Babilônia, representada por suas falsas doutrinas e fornicação. Como já foi observado, a segunda mensagem também contém a assinatura de Alfa e Ômega, pois a mensagem que foi proclamada na história milerita para anunciar a abertura do juízo repete-se no movimento do terceiro anjo para identificar o encerramento do juízo.</w:t>
      </w:r>
    </w:p>
    <w:p>
      <w:pPr>
        <w:pStyle w:val="ArticleBody"/>
        <w:jc w:val="left"/>
      </w:pPr>
      <w:r>
        <w:rPr>
          <w:rFonts w:ascii="Times New Roman" w:hAnsi="Times New Roman" w:eastAsia="Times New Roman" w:cs="Times New Roman"/>
        </w:rPr>
        <w:t>Gineesi boqonnaa kudha tokko keessatti kufaatiin Baabel, kufaatii Baabiloonitti yeroo jalqabaatiif kan agarsiisudha; ragaan fincila harka-jabaa Nimrood immoo mallattoo ergaa ergamaa isa jalqabaa of keessaa qaba. Akkuma barruulee darban keessatti ibsame, ergaawwan ergamoota sadan hundi ergaa ergamaa isa jalqabaa keessatti argamu. Ergaa ergamaa isa jalqabaa keessatti ibsi, “Waaqayyoon sodadhaa,” ergaa isa jalqabaa bakka bu’a; ibsi, “isaaf ulfina kennaa,” immoo ergaa ergamaa isa lammaffaa bakka bu’a. Ergaan isa sadaffaanis isa jalqabaa keessatti argama; yeroo inni, “sa’aan murtii isaa dhufeera,” jedhee labsutti.</w:t>
      </w:r>
    </w:p>
    <w:p>
      <w:pPr>
        <w:pStyle w:val="ArticleBody"/>
        <w:jc w:val="left"/>
      </w:pPr>
      <w:r>
        <w:rPr>
          <w:rFonts w:ascii="Times New Roman" w:hAnsi="Times New Roman" w:eastAsia="Times New Roman" w:cs="Times New Roman"/>
        </w:rPr>
        <w:t>Katika kuanguka kwa Nimrodi, ambako ndiko kuanguka kwa kwanza kwa Babeli, hatua tatu za wale malaika watatu nazo pia zinatambulishwa. Hili linaonyeshwa kwa usemi “njooni.”</w:t>
      </w:r>
    </w:p>
    <w:p>
      <w:pPr>
        <w:pStyle w:val="ArticleScripture"/>
        <w:jc w:val="left"/>
      </w:pPr>
      <w:r>
        <w:rPr>
          <w:rFonts w:ascii="Times New Roman" w:hAnsi="Times New Roman" w:eastAsia="Times New Roman" w:cs="Times New Roman"/>
        </w:rPr>
        <w:t>همهٔ زمین یک زبان و یک گفتار داشت. و واقع شد که چون از مشرق کوچ می‌کردند، دشتی در سرزمین شِنعار یافتند و در آنجا ساکن شدند. و به یکدیگر گفتند: «بیایید خشت بسازیم و آنها را نیکو بپزیم.» و ایشان را خشت به جای سنگ بود، و قیر به جای ملات. و گفتند: «بیایید برای خود شهری و برجی بنا کنیم که سرش به آسمان برسد، و برای خویشتن نامی بسازیم، مبادا بر روی تمامی زمین پراکنده شویم.» و خداوند فرود آمد تا شهر و برجی را که بنی‌آدم بنا می‌کردند، ببیند. و خداوند گفت: «اینک قوم یکی است، و همه یک زبان دارند؛ و این است آنچه آغاز به انجامش کرده‌اند؛ و اکنون هیچ چیز از آنچه در خیال انجام آنند از ایشان بازداشته نخواهد شد. بیایید فرود آییم و در آنجا زبان ایشان را مشوش سازیم تا گفتار یکدیگر را نفهمند.» پس خداوند ایشان را از آنجا بر روی تمامی زمین پراکنده ساخت، و از بنای شهر بازایستادند. از این رو نام آنجا بابل خوانده شد، زیرا خداوند در آنجا زبان تمامی زمین را مشوش ساخت؛ و از آنجا خداوند ایشان را بر روی تمامی زمین پراکنده کرد. پیدایش ۱۱:‏۱–۹.</w:t>
      </w:r>
    </w:p>
    <w:p>
      <w:pPr>
        <w:pStyle w:val="ArticleBody"/>
        <w:jc w:val="left"/>
      </w:pPr>
      <w:r>
        <w:rPr>
          <w:rFonts w:ascii="Times New Roman" w:hAnsi="Times New Roman" w:eastAsia="Times New Roman" w:cs="Times New Roman"/>
        </w:rPr>
        <w:t>Ifa rya mbere rya Babuloni, rigereranywa na Babeli, rigaragazwa n’amagambo ngo “ngaho nimugende,” inshuro eshatu. Abamarayika batatu bose bahagarariwe mu mumarayika wa mbere. Daniyeli igice cya mbere na cyo kigereranya ubutumwa bw’umumarayika wa mbere, kandi nk’uko byamaze kugaragazwa mbere muri izi nyandiko, uburyo bw’igeragezwa ry’intambwe eshatu bw’ubutumwa bwiza bw’iteka buboneka mu ntambwe ya mbere, igihe Daniyeli yanze kurya indyo ya Babuloni, ahubwo agahitamo guha Imana icyubahiro. Ikigeragezo cye cya mbere cyari ikigeragezo cy’umumarayika wa mbere wamanutse mu mateka y’Abamilerite ku wa 11 Kanama 1840 afite agatabo gatoya, ako Yohana yategetswe kurya.</w:t>
      </w:r>
    </w:p>
    <w:p>
      <w:pPr>
        <w:pStyle w:val="ArticleBody"/>
        <w:jc w:val="left"/>
      </w:pPr>
      <w:r>
        <w:rPr>
          <w:rFonts w:ascii="Times New Roman" w:hAnsi="Times New Roman" w:eastAsia="Times New Roman" w:cs="Times New Roman"/>
        </w:rPr>
        <w:t>Alors lui fut imposée une épreuve visible de dix jours, qui mit en évidence une distinction entre ceux qui mangeaient la nourriture de Babylone et ceux qui, comme Daniel, choisirent de manger des légumes. La seconde épreuve produisit deux classes, tout comme l’arrivée du deuxième ange en 1844. Cette seconde épreuve fut suivie de l’épreuve à la fin de trois années, où Nebucadnetsar manifesta son jugement, comme le représente l’arrivée du troisième ange le 22 octobre 1844.</w:t>
      </w:r>
    </w:p>
    <w:p>
      <w:pPr>
        <w:pStyle w:val="ArticleBody"/>
        <w:jc w:val="left"/>
      </w:pP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वेदियाँ</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काटना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तराशना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ईंट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जालसाजी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व्यभिचारता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गड़बड़ा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Mfokotso wa ntlha wa Babilona o emela molaetsa wa moengele wa ntlha, mme mfokotso wa bobedi wa Babilona mo diponatshegong tse pedi tse di tlhomisang dintlha tsa mfokotso wa Babilona wa segompieno, o emela molaetsa wa moengele wa bobedi. Go ntse jalo, gonne mfokotso wa Babilona jaaka o kwadilwe mo bukeng ya Daniele o emela tshimologo le bokhutlo, fela jaaka molaetsa wa moengele wa bobedi o itsisiwe mo tshimologong le mo bokhutlong jwa Boadvente. Kgaitsadi White o ne a supa ka tlhamalalo gore katlholo e e neng ya tlisiwa mo go Beleshasare e ne e setse e emetswe pele ke katlholo e e neng ya tlisiwa mo go Nebukatenesare.</w:t>
      </w:r>
    </w:p>
    <w:p>
      <w:pPr>
        <w:pStyle w:val="ArticleScripture"/>
        <w:jc w:val="left"/>
      </w:pPr>
      <w:r>
        <w:rPr>
          <w:rFonts w:ascii="Times New Roman" w:hAnsi="Times New Roman" w:eastAsia="Times New Roman" w:cs="Times New Roman"/>
        </w:rPr>
        <w:t>«Քանի որ Բաբելոնի վերջին իշխանի համար, ինչպես նաև պատկերական իմաստով՝ նրա առաջինի համար, հասել էր աստվածային Դիտորդի դատավճիռը. «Ո՛վ թագավոր, … քեզ է ասվում. թագավորությունը հեռացվել է քեզանից»։ Դանիել 4:31»։ Մարգարեներ և Թագավորներ, 533.</w:t>
      </w:r>
    </w:p>
    <w:p>
      <w:pPr>
        <w:pStyle w:val="ArticleBody"/>
        <w:jc w:val="left"/>
      </w:pPr>
      <w:r>
        <w:rPr>
          <w:rFonts w:ascii="Times New Roman" w:hAnsi="Times New Roman" w:eastAsia="Times New Roman" w:cs="Times New Roman"/>
        </w:rPr>
        <w:t>Ya pili kuanguka kwa Babeli kuna muhuri wa Alfa na Omega, kama ulivyo ujumbe wa malaika wa pili. Muhuri huo unawakilishwa na kuanguka kwa wafalme wa kwanza na wa mwisho wa Babeli. Hukumu na kuanguka kwa Nebukadreza kunawakilishwa kama “nyakati saba,” ambalo ni rejeo la “nyakati saba” za Mambo ya Walawi ishirini na sita, na “kutawanyika” katika hukumu na kuanguka kwa Nimrodi pia ni rejeo la “nyakati saba” za Mambo ya Walawi ishirini na sita. Hukumu na kuanguka kwa Belshaza kunawakilishwa na herufi za moto zinazojumlisha elfu mbili mia tano na ishirini, pia zikibainisha rejeo la “nyakati saba” za Mambo ya Walawi ishirini na sita.</w:t>
      </w:r>
    </w:p>
    <w:p>
      <w:pPr>
        <w:pStyle w:val="ArticleBody"/>
        <w:jc w:val="left"/>
      </w:pPr>
      <w:r>
        <w:rPr>
          <w:rFonts w:ascii="Times New Roman" w:hAnsi="Times New Roman" w:eastAsia="Times New Roman" w:cs="Times New Roman"/>
        </w:rPr>
        <w:t>Un « triple accomplissement de la prophétie » est établi par les deux premiers témoins, qui identifient et établissent les caractéristiques du troisième et dernier accomplissement. Par les trois chutes de Babylone, le message même qui identifie la chute de Babylone identifie aussi la règle sur laquelle repose le triple accomplissement de la prophétie. Les deux premières chutes de Babylone identifient les caractéristiques prophétiques de la troisième et dernière chute.</w:t>
      </w:r>
    </w:p>
    <w:p>
      <w:pPr>
        <w:pStyle w:val="ArticleBody"/>
        <w:jc w:val="left"/>
      </w:pPr>
      <w:r>
        <w:rPr>
          <w:rFonts w:ascii="Times New Roman" w:hAnsi="Times New Roman" w:eastAsia="Times New Roman" w:cs="Times New Roman"/>
        </w:rPr>
        <w:t>L’histoire millérite se répète jusque dans les moindres détails dans l’histoire de Future for America. Dans l’histoire millérite, une compilation de règles avec lesquelles William Miller se familiarisa, et qu’il employa pour établir l’ossature de vérité dont il se servit pour présenter le message du premier ange, constitua un jalon de cette histoire. Une « triple application de la prophétie » est l’une des règles qui ont été compilées en ces derniers jours afin d’établir l’ossature de vérité dans laquelle le message du troisième ange est identifié.</w:t>
      </w:r>
    </w:p>
    <w:p>
      <w:pPr>
        <w:pStyle w:val="ArticleBody"/>
        <w:jc w:val="left"/>
      </w:pPr>
      <w:r>
        <w:rPr>
          <w:rFonts w:ascii="Times New Roman" w:hAnsi="Times New Roman" w:eastAsia="Times New Roman" w:cs="Times New Roman"/>
        </w:rPr>
        <w:t>Ромын гурван илрэл нь Вавилоны уналтын гурван илрэлтэй нийлэн нягт холбоотой боловч, хоорондоо ялгаатай талтай. Дэлхийн хаадтай садарлан завхайрдаг Тирийн янхан, өөрөөр хэлбэл Вавилон, тэдэнтэй нэг махбод болдог; гэвч Иезебель Ахаб хааны дээр ноёрхож байсанчлан, тэрээр тэдгээр хаадын дээр ноёрхон захирдаг. Орчин үеийн Ром бол Орчин үеийн Вавилоны янхан унаж, дээр нь ноёрхон захирдаг Илчлэл арван долоогийн араатан мөн.</w:t>
      </w:r>
    </w:p>
    <w:p>
      <w:pPr>
        <w:pStyle w:val="ArticleBody"/>
        <w:jc w:val="left"/>
      </w:pP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ጥናት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ዝቕጽል</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ክንቀጽሎ</w:t>
      </w:r>
      <w:r>
        <w:rPr>
          <w:rFonts w:ascii="Times New Roman" w:hAnsi="Times New Roman" w:eastAsia="Times New Roman" w:cs="Times New Roman"/>
        </w:rPr>
        <w:t xml:space="preserve"> </w:t>
      </w:r>
      <w:r>
        <w:rPr>
          <w:rFonts w:ascii="Ebrima" w:hAnsi="Ebrima" w:eastAsia="Ebrima" w:cs="Ebrima"/>
        </w:rPr>
        <w:t>ኢና።</w:t>
      </w:r>
    </w:p>
    <w:p>
      <w:pPr>
        <w:pStyle w:val="ArticleScripture"/>
        <w:jc w:val="left"/>
      </w:pPr>
      <w:r>
        <w:rPr>
          <w:rFonts w:ascii="Times New Roman" w:hAnsi="Times New Roman" w:eastAsia="Times New Roman" w:cs="Times New Roman"/>
        </w:rPr>
        <w:t>“Puis mes yeux furent détournés de la gloire, et l’on m’indiqua le reste sur la terre. L’ange leur dit : « Fuirez-vous les sept dernières plaies ? Irez-vous dans la gloire et jouirez-vous de tout ce que Dieu a préparé pour ceux qui L’aiment et qui sont disposés à souffrir pour l’amour de Lui ? Si oui, vous devez mourir afin de vivre. Préparez-vous, préparez-vous, préparez-vous. Vous devez avoir une préparation plus grande que celle que vous avez maintenant, car le jour de l’Éternel vient, cruel dans sa fureur et son ardente colère, pour réduire le pays en désolation et en exterminer les pécheurs. Sacrifiez tout à Dieu. Déposez tout sur Son autel — vous-mêmes, vos biens, et tout le reste — en sacrifice vivant. Il faudra tout pour entrer dans la gloire. Amassez-vous un trésor dans le ciel, où nul voleur ne peut approcher, ni la rouille corrompre. Vous devez ici avoir part aux souffrances de Christ, si vous voulez avoir part avec Lui à Sa gloire dans l’au-delà. »</w:t>
      </w:r>
    </w:p>
    <w:p>
      <w:pPr>
        <w:pStyle w:val="ArticleScripture"/>
        <w:jc w:val="left"/>
      </w:pPr>
      <w:r>
        <w:rPr>
          <w:rFonts w:ascii="Times New Roman" w:hAnsi="Times New Roman" w:eastAsia="Times New Roman" w:cs="Times New Roman"/>
        </w:rPr>
        <w:t>«Langit akan cukup murah, jika kita memperolehnya melalui penderitaan. Kita harus menyangkal diri sepanjang jalan, mati terhadap diri setiap hari, membiarkan hanya Yesus yang tampak, dan senantiasa memandang kemuliaan-Nya. Aku melihat bahwa mereka yang belakangan ini telah menerima kebenaran harus mengetahui apa artinya menderita oleh karena Kristus, bahwa mereka akan mengalami ujian-ujian yang tajam dan menyayat, agar mereka dimurnikan dan dipersiapkan melalui penderitaan untuk menerima meterai Allah yang hidup, melewati masa kesesakan, melihat Raja dalam keindahan-Nya, dan tinggal di hadirat Allah serta para malaikat yang murni dan kudus.</w:t>
      </w:r>
    </w:p>
    <w:p>
      <w:pPr>
        <w:pStyle w:val="ArticleScripture"/>
        <w:jc w:val="left"/>
      </w:pPr>
      <w:r>
        <w:rPr>
          <w:rFonts w:ascii="Times New Roman" w:hAnsi="Times New Roman" w:eastAsia="Times New Roman" w:cs="Times New Roman"/>
        </w:rPr>
        <w:t>“Waanan arge ulfinni akka nu dhaalamuuf maal taʼuu akka qabnu, achiis Yesuus dhaala akkas badhaadhaa nuuf argachuuf hammam akka dhiphate yommuu arge, akka nu dhiphina Kiristoositti cuuphamnu, akka qorumsa duratti hin dheeffanne, garuu obsaanii fi gammachuudhaan akka isaan baannu nan kadhadhe; sababni isaas, Yesuus hammam akka dhiphate beeknee, nus hiyyummaa fi dhiphina Isaa sanaan badhaadhota akka taanuuf. Ergamaanis, ‘Of ganaa; saffisaan tarkaanfachuu qabdu’ jedhe. Nu keessaa gariin dhugaa argachuuf yeroo arganneerra, akkasumas tarkaanfii tarkaanfiidhaan fuuldura deemneerra; tarkaanfiin hundinuu kan fudhanne immoo isa itti aanu fudhachuuf humna nuuf kenneera. Amma garuu yeroo jechuun xumuramuuf jechuun gaʼeera; waan nuti waggoota hedduudhaan baranne, isaan jiʼoota muraasa keessatti barachuu qabu. Isaanis akkasuma waan baayʼee dagachuu qabanii fi waan baayʼee irra deebiʼanii barachuu qabu. Warri yeroo labsiin sun baʼutti mallattoo bineensichaa fi fakkeenya isaa fudhachuu hin barbaanne, amma iyyuu murtoo qabaachuu qabu, jechuunis, Lakki, dhaabbata bineensichaa hin kabajnu.”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la Danieli - Nambari Tisini na Tano</dc:title>
  <dc:subject>Révélation de la signification prophétique du message du deuxième ange</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