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Quatre-vingt-seize</w:t>
      </w:r>
    </w:p>
    <w:p>
      <w:pPr>
        <w:pStyle w:val="ArticleSubtitle"/>
        <w:jc w:val="left"/>
      </w:pPr>
      <w:r>
        <w:rPr>
          <w:rFonts w:ascii="Arial" w:hAnsi="Arial" w:eastAsia="Arial" w:cs="Arial"/>
        </w:rPr>
        <w:t>La Triple Application de la Prophétie : Déverrouiller le cadre prophétique des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چارچوبِ پیامِ نبویِ ویلیام میلر عبارت بود از دو قدرتِ ویرانگر: نخست بت‌پرستی و سپس پاپ‌گرایی؛ و چارچوبِ پیامِ نبویِ Future for America عبارت است از سه قدرتِ ویرانگر: بت‌پرستی، سپس پاپ‌گرایی، و سپس پروتستانیسمِ مرتد؛ با این حال، همگی در پایان به‌طور هم‌زمان حضور دارند. یکی از کلیدهای اصلیِ نبوی برای فهمِ نبویِ میلر این بود که «قربانی دائمی» در کتابِ دانیال نمادی از بت‌پرستی است، زیرا این امر ارتباطِ دو قدرتِ ویرانگر را برقرار می‌ساخت که به چارچوبِ فهمِ نبویِ او بدل شد. یکی از کلیدهای اصلیِ نبوی برای فهمِ نبویِ Future for America نیز این است که «قربانی دائمی» در کتابِ دانیال نمادی از بت‌پرستی است، زیرا تحققِ تاریخیِ بت‌پرستی توالیِ رویدادها را در دانیال یازده، آیاتِ چهل و چهل‌ویک، تثبیت کرد؛ همان توالی‌ای که به چارچوبِ فهمِ نبویِ Future for America بدل شد.</w:t>
      </w:r>
    </w:p>
    <w:p>
      <w:pPr>
        <w:pStyle w:val="ArticleBody"/>
        <w:jc w:val="left"/>
      </w:pPr>
      <w:r>
        <w:rPr>
          <w:rFonts w:ascii="Times New Roman" w:hAnsi="Times New Roman" w:eastAsia="Times New Roman" w:cs="Times New Roman"/>
        </w:rPr>
        <w:t>Comme c’est toujours le cas avec une lumière nouvelle, la progression de la vérité descellée en 1989, lors de l’effondrement de l’Union soviétique, fut combattue par de nombreuses voix diverses. La résistance opposée à la vérité produisit invariablement une compréhension plus claire de cette vérité. Dans ces premières controverses suscitées contre la vérité contenue dans les six derniers versets de Daniel onze, plusieurs règles prophétiques présentes dans la Bible furent reconnues comme des preuves essentielles pour appuyer l’accroissement de la connaissance qui eut lieu lorsque le livre de Daniel fut descellé en 1989. Nous considérons actuellement l’une de ces règles, que nous appelons « une triple application de la prophétie ».</w:t>
      </w:r>
    </w:p>
    <w:p>
      <w:pPr>
        <w:pStyle w:val="ArticleBody"/>
        <w:jc w:val="left"/>
      </w:pPr>
      <w:r>
        <w:rPr>
          <w:rFonts w:ascii="Times New Roman" w:hAnsi="Times New Roman" w:eastAsia="Times New Roman" w:cs="Times New Roman"/>
        </w:rPr>
        <w:t>Mun tiqarimpayaq ishkay kimsa kuti churasqakunata qhawarispa qallariqku; huk nivelpiqa chayqa kikin siqi, ichaqa huk nivelpiqa hukmanta huk. Romaq ñawpaq ishkay rikch’akuyninkuna (pagana papalwan), kimsañiqin rikch’akuynin Moderno Roma-ta sayarichin. Babiloniaq ñawpaq ishkay rikch’akuyninkuna (Babel wan Babilonia wan), kimsañiqin rikch’akuynin Moderno Babilonia-ta sayarichirqan. Moderno Romaqa Apocalipsis chunka qanchisniyuqpi kaq uywa-mi, chay patanpi Moderno Babilonia tiyaykuspa, paypa hawanpi kamachin. Vaqueromanta caballonninman hina sut’inchakusqa kanku, ichaqa espiritupi waqlliyta hukwan hukwan ruwanku; chay nivelpiqa huklla kanku. Kananqa huk iskay kimsa kuti churasqakuna profeciamanta kanku, chaykunapas kikinta hina tinkisqa kasqayuq.</w:t>
      </w:r>
    </w:p>
    <w:p>
      <w:pPr>
        <w:pStyle w:val="ArticleBody"/>
        <w:jc w:val="left"/>
      </w:pPr>
      <w:r>
        <w:rPr>
          <w:rFonts w:ascii="Times New Roman" w:hAnsi="Times New Roman" w:eastAsia="Times New Roman" w:cs="Times New Roman"/>
        </w:rPr>
        <w:t>Les deux premières manifestations d’Élie (Élie et Jean-Baptiste) établissent le troisième Élie des derniers jours. De même, les deux premiers messagers qui préparent la voie pour le Messager de l’Alliance (Jean-Baptiste et William Miller) établissent le messager qui prépare la voie pour le Messager de l’Alliance dans les derniers jours. Il y a trois points importants à reconnaître dans ces deux lignes de triples applications de la prophétie.</w:t>
      </w:r>
    </w:p>
    <w:p>
      <w:pPr>
        <w:pStyle w:val="ArticleBody"/>
        <w:jc w:val="left"/>
      </w:pPr>
      <w:r>
        <w:rPr>
          <w:rFonts w:ascii="Times New Roman" w:hAnsi="Times New Roman" w:eastAsia="Times New Roman" w:cs="Times New Roman"/>
        </w:rPr>
        <w:t>Ein erster Punkt ist, dass die tatsächlichen historischen Vertreter der beiden Linien der dreifachen Anwendungen der Weissagung im Wesentlichen dieselben geschichtlichen Gestalten sind, dass jedoch ihr Zweck in den beiden Darstellungen deutlich verschieden ist. Der zweite Punkt besteht darin, zu erkennen, worin der Unterschied zwischen den beiden eng miteinander verbundenen dreifachen Anwendungen der Weissagung liegt. Der Unterschied ist der, dass Elia ein äußeres Werk in den letzten Tagen darstellt, während der Bote, der den Weg für den Boten des Bundes bereitet, ein inneres Werk in den letzten Tagen darstellt.</w:t>
      </w:r>
    </w:p>
    <w:p>
      <w:pPr>
        <w:pStyle w:val="ArticleBody"/>
        <w:jc w:val="left"/>
      </w:pP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Élie le prophète offre une illustration de l’affrontement des derniers jours entre le peuple de Dieu et l’union tripartite de la Rome moderne lors de la confrontation au mont Carmel.</w:t>
      </w:r>
    </w:p>
    <w:p>
      <w:pPr>
        <w:pStyle w:val="ArticleBody"/>
        <w:jc w:val="left"/>
      </w:pPr>
      <w:r>
        <w:rPr>
          <w:rFonts w:ascii="Times New Roman" w:hAnsi="Times New Roman" w:eastAsia="Times New Roman" w:cs="Times New Roman"/>
        </w:rPr>
        <w:t>کوه کرمل در شمال اسرائیل، نزدیک به ساحل دریای مدیترانه، واقع شده است. این کوه تقریباً از شمال‌غربی به جنوب‌شرقی امتداد می‌یابد و رشته‌کوهی برجسته را تشکیل می‌دهد که حدود ۳۹ مایل (۶۳ کیلومتر) گسترش دارد. درهٔ مَجِدّو، که با نام درهٔ یزرعیل نیز شناخته می‌شود، در جنوب‌شرقی کوه کرمل قرار دارد. کوه کرمل و درهٔ مَجِدّو از نظر فاصله نسبتاً به یکدیگر نزدیک‌اند. فاصلهٔ میان آن‌ها، به خط مستقیم (فاصلهٔ هوایی)، تقریباً ۲۰ تا ۲۵ مایل (۳۲ تا ۴۰ کیلومتر) است. در غرب کوه کرمل دریای مدیترانه قرار دارد، و در شرق درهٔ مَجِدّو و درهٔ یزرعیل، دریای جلیل واقع است که با نام‌های دریاچهٔ طبریه یا دریاچهٔ کِنّارت نیز شناخته می‌شود.</w:t>
      </w:r>
    </w:p>
    <w:p>
      <w:pPr>
        <w:pStyle w:val="ArticleBody"/>
        <w:jc w:val="left"/>
      </w:pPr>
      <w:r>
        <w:rPr>
          <w:rFonts w:ascii="Times New Roman" w:hAnsi="Times New Roman" w:eastAsia="Times New Roman" w:cs="Times New Roman"/>
        </w:rPr>
        <w:t>Dans l’Apocalypse, la bataille d’Armageddon désigne la vallée de Megiddo, et l’inspiration ne voulait pas que les étudiants de la prophétie croient que le livre de l’Apocalypse présentait son message en des termes littéraux ; ainsi, lorsqu’elle a désigné Armageddon (Megiddo) comme Armageddon, elle a employé le mot « har », qui signifie montagne, afin de rendre clair que la bataille était une représentation spirituelle du combat final vers lequel le dragon, la bête et le faux prophète conduisent le monde.</w:t>
      </w:r>
    </w:p>
    <w:p>
      <w:pPr>
        <w:pStyle w:val="ArticleBody"/>
        <w:jc w:val="left"/>
      </w:pPr>
      <w:r>
        <w:rPr>
          <w:rFonts w:ascii="Times New Roman" w:hAnsi="Times New Roman" w:eastAsia="Times New Roman" w:cs="Times New Roman"/>
        </w:rPr>
        <w:t>En identifiant Megiddo à Armageddon, Jean a veillé à ce qu’il ne soit pas compris comme un lieu géographique littéral, car Megiddo est une vallée et n’a pas de montagnes. À proximité immédiate se trouve le mont Carmel, où eut lieu la confrontation d’Élie avec Achab et les prophètes de Jézabel; ainsi, Megiddo comme le mont Carmel sont l’un et l’autre des illustrations de la bataille finale d’Armageddon.</w:t>
      </w:r>
    </w:p>
    <w:p>
      <w:pPr>
        <w:pStyle w:val="ArticleBody"/>
        <w:jc w:val="left"/>
      </w:pPr>
      <w:r>
        <w:rPr>
          <w:rFonts w:ascii="Times New Roman" w:hAnsi="Times New Roman" w:eastAsia="Times New Roman" w:cs="Times New Roman"/>
        </w:rPr>
        <w:t>Si vous traciez un triangle ayant pour points Jérusalem, le mont Carmel et la vallée de Megiddo, Jérusalem se trouverait à l’angle sud-est de ce triangle, le mont Carmel au nord-ouest, et la vallée de Megiddo au nord-est. La région qui représente symboliquement la bataille d’Harmaguédon est bordée par deux mers, et le roi du nord (la prostituée de la Babylone moderne) arrive à sa fin entre les mers et la glorieuse montagne sainte. Et en ce temps-là, le temps de grâce pour l’humanité prend fin.</w:t>
      </w:r>
    </w:p>
    <w:p>
      <w:pPr>
        <w:pStyle w:val="ArticleScripture"/>
        <w:jc w:val="left"/>
      </w:pPr>
      <w:r>
        <w:rPr>
          <w:rFonts w:ascii="Times New Roman" w:hAnsi="Times New Roman" w:eastAsia="Times New Roman" w:cs="Times New Roman"/>
        </w:rPr>
        <w:t>Lakini habari zitokazo mashariki na kaskazini zitamtia wasiwasi; kwa hiyo atatoka kwa ghadhabu kuu ili kuharibu, na kuwaangamiza kabisa wengi. Naye atapiga hema za jumba lake kati ya bahari katika mlima mtakatifu wa utukufu; lakini atafika mwisho wake, wala hakuna atakayemsaidia. Na wakati huo Mikaeli atasimama, yule mkuu aliye mkuu, asimamaye kwa ajili ya wana wa watu wako; na kutakuwapo wakati wa taabu, mfano wake haujapata kuwapo tangu lilipoanza kuwapo taifa hata wakati huo; na wakati huo watu wako wataokolewa, kila mmoja atakayeonekana ameandikwa katika kile kitabu. Danieli 11:44–12:1.</w:t>
      </w:r>
    </w:p>
    <w:p>
      <w:pPr>
        <w:pStyle w:val="ArticleBody"/>
        <w:jc w:val="left"/>
      </w:pPr>
      <w:r>
        <w:rPr>
          <w:rFonts w:ascii="Times New Roman" w:hAnsi="Times New Roman" w:eastAsia="Times New Roman" w:cs="Times New Roman"/>
        </w:rPr>
        <w:t>L’application triple d’Élie représente la confrontation extérieure du peuple de Dieu avec le roi du nord, qui est à la tête de l’union triple du dragon, de la bête et du faux prophète, laquelle conduit le monde à Armageddon. Les trois ennemis d’Élie, qui préfiguraient l’union triple, étaient Achab, qui était le roi des dix tribus du nord, représentant les dix rois d’Apocalypse dix-sept, qui se livrent à la fornication avec la prostituée de Babylone et qui consentent à donner leur royaume à la prostituée pour « une heure », laquelle est « l’heure » de la crise de la loi dominicale. La prostituée de Babylone était représentée par Jézabel, et les prophètes de Baal de Jézabel ainsi que les prêtres des bosquets représentent le faux prophète.</w:t>
      </w:r>
    </w:p>
    <w:p>
      <w:pPr>
        <w:pStyle w:val="ArticleBody"/>
        <w:jc w:val="left"/>
      </w:pPr>
      <w:r>
        <w:rPr>
          <w:rFonts w:ascii="Times New Roman" w:hAnsi="Times New Roman" w:eastAsia="Times New Roman" w:cs="Times New Roman"/>
        </w:rPr>
        <w:t>بحران قانون یکشنبه با قانون یکشنبه‌ای که به‌زودی در ایالات متحده برقرار خواهد شد آغاز می‌شود و هنگامی پایان می‌یابد که میکائیل برخیزد. چون آن قانون یکشنبه فرا رسد، صدای دومِ مکاشفه باب هجده، دیگر گلهٔ خدا را از بابل فرا می‌خواند. بازهٔ زمانی از آن فراخوانِ خروج از بابل تا بسته شدنِ مهلتِ توبه، دوران داوریِ فاحشهٔ بابل است. همچنین این همان دوره‌ای است که در آن روح‌القدس بی‌اندازه فرو ریخته می‌شود. این همان «ساعت»ی است که ده پادشاه موافقت می‌کنند همراه با فاحشهٔ صور، که دیگر فراموش‌شده نیست، هم‌حکومتی کنند. این همان «ساعتِ» «زلزله» عظیمِ مکاشفه یازده است، هنگامی که آن یکصد و چهل و چهار هزار تن همچون عَلَمی افراشته می‌شوند.</w:t>
      </w:r>
    </w:p>
    <w:p>
      <w:pPr>
        <w:pStyle w:val="ArticleScripture"/>
        <w:jc w:val="left"/>
      </w:pPr>
      <w:r>
        <w:rPr>
          <w:rFonts w:ascii="Times New Roman" w:hAnsi="Times New Roman" w:eastAsia="Times New Roman" w:cs="Times New Roman"/>
        </w:rPr>
        <w:t>Et les rois de la terre, qui ont commis fornication avec elle et ont vécu dans les délices avec elle, la pleureront et se lamenteront sur elle, quand ils verront la fumée de son embrasement, se tenant éloignés par crainte de son tourment, et disant : Hélas ! hélas ! la grande ville, Babylone, la ville puissante ! car en une seule heure ton jugement est venu. Apocalypse 18:9, 10.</w:t>
      </w:r>
    </w:p>
    <w:p>
      <w:pPr>
        <w:pStyle w:val="ArticleBody"/>
        <w:jc w:val="left"/>
      </w:pPr>
      <w:r>
        <w:rPr>
          <w:rFonts w:ascii="Times New Roman" w:hAnsi="Times New Roman" w:eastAsia="Times New Roman" w:cs="Times New Roman"/>
        </w:rPr>
        <w:t>Om Johannes zoals Megiddo aanduidde als de berg (“har”) van Megiddo om een geestelijke en niet een letterlijke waarheid aan te wijzen, zo wordt ook het oordeel over de hoer van Babylon en Tyrus aangeduid als plaatsvindend tijdens het “uur” en tevens op één “dag”.</w:t>
      </w:r>
    </w:p>
    <w:p>
      <w:pPr>
        <w:pStyle w:val="ArticleScripture"/>
        <w:jc w:val="left"/>
      </w:pPr>
      <w:r>
        <w:rPr>
          <w:rFonts w:ascii="Times New Roman" w:hAnsi="Times New Roman" w:eastAsia="Times New Roman" w:cs="Times New Roman"/>
        </w:rPr>
        <w:t>Por tanto, sus plagas vendrán en un solo día: muerte, llanto y hambre; y será enteramente quemada con fuego; porque poderoso es el Señor Dios que la juzga. Apocalipsis 18:8.</w:t>
      </w:r>
    </w:p>
    <w:p>
      <w:pPr>
        <w:pStyle w:val="ArticleBody"/>
        <w:jc w:val="left"/>
      </w:pPr>
      <w:r>
        <w:rPr>
          <w:rFonts w:ascii="Times New Roman" w:hAnsi="Times New Roman" w:eastAsia="Times New Roman" w:cs="Times New Roman"/>
        </w:rPr>
        <w:t>Na le 22 ni Okotova, 1844, sa sega ni dodonu me qai vakayagataki tale vakavunau na gauna vakaparofisai, ka o koya gona sa vakaraitaki kina na veilewai ni kaukauwa vakapope me yaco ena dua na “auwa,” ka vaka tale ga kina ena dua na “siga.” Na “auwa” ni nona veilewai sai koya na gauna vakaparofisai mai na lawa ni Sigatabu e Amerika me yacova ni sa sogo na gauna ni veivutuni. E bibi me kilai vakavinaka na gauna oqo ni da vakasamataka na Ilaitia ni veisiga ni otioti, ni sa muri na nona vala mai Ulunivanua o Kamelei na veivakatovolei e loma ni tamata ni Kalou ena veisiga ni otioti, ka na gauna ni veivakatovolei ni lotu kei vuravura e rau sa vakaitavi vata ena ivakatekivu kei na ivakataotioti vakaparofisai vata ga.</w:t>
      </w:r>
    </w:p>
    <w:p>
      <w:pPr>
        <w:pStyle w:val="ArticleBody"/>
        <w:jc w:val="left"/>
      </w:pPr>
      <w:r>
        <w:rPr>
          <w:rFonts w:ascii="Times New Roman" w:hAnsi="Times New Roman" w:eastAsia="Times New Roman" w:cs="Times New Roman"/>
        </w:rPr>
        <w:t>Ndị olu abụọ nke Mkpughe iri na asatọ na-anọchi anya oku abụọ dị iche iche a kpọrọ ụka abụọ. Ụka mbụ bụ puku narị otu na iri anọ na anọ nke Mkpughe isi nke asaa, ebe ụka nke abụọ a kpọrọ bụ igwe mmadụ ukwu nke Mkpughe isi nke asaa. A na-eme oku a kpọrọ puku narị otu na iri anọ na anọ mgbe a na-awụsa Mmụọ Nsọ n’ókè, a na-emekwa oku a kpọrọ igwe mmadụ ukwu mgbe a na-awụsa Mmụọ Nsọ na-enweghị ókè.</w:t>
      </w:r>
    </w:p>
    <w:p>
      <w:pPr>
        <w:pStyle w:val="ArticleScripture"/>
        <w:jc w:val="left"/>
      </w:pPr>
      <w:r>
        <w:rPr>
          <w:rFonts w:ascii="Times New Roman" w:hAnsi="Times New Roman" w:eastAsia="Times New Roman" w:cs="Times New Roman"/>
        </w:rPr>
        <w:t>“Ang propeta ay nagsasabi, ‘Nakita ko ang isa pang anghel na bumababa mula sa langit, na may dakilang kapangyarihan; at ang lupa ay naliwanagan ng kaniyang kaluwalhatian. At siya’y sumigaw nang may kapangyarihan sa malakas na tinig, na sinasabi, Bumagsak na ang Babilonia na dakila, bumagsak na, at naging tahanan ng mga demonyo’” (Apocalipsis 18:1, 2). Ito rin ang gayunding pahayag na ibinigay ng ikalawang anghel. Bumagsak ang Babilonia, “sapagkat pinainom niya ang lahat ng bansa ng alak ng poot ng kaniyang pakikiapid” (Apocalipsis 14:8). Ano ang aláking iyon?—Ang kaniyang mga maling doktrina. Ibinigay niya sa sanlibutan ang isang huwad na sabbath kapalit ng Sabbath ng ikaapat na utos, at inulit ang kabulaanang unang sinabi ni Satanas kay Eva sa Eden—ang likás na imortalidad ng kaluluwa. Marami pang magkakaugnay na kamalian ang kaniyang ikinalat sa malayo at malawak, “na itinuturong mga aral ang mga utos ng mga tao” (Mateo 15:9).</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上帝開始祂公開的職任時</w:t>
      </w:r>
      <w:r>
        <w:rPr>
          <w:rFonts w:ascii="Times New Roman" w:hAnsi="Times New Roman" w:eastAsia="Times New Roman" w:cs="Times New Roman"/>
        </w:rPr>
        <w:t>,</w:t>
      </w:r>
      <w:r>
        <w:rPr>
          <w:rFonts w:ascii="Microsoft YaHei" w:hAnsi="Microsoft YaHei" w:eastAsia="Microsoft YaHei" w:cs="Microsoft YaHei"/>
        </w:rPr>
        <w:t>祂潔淨了聖殿</w:t>
      </w:r>
      <w:r>
        <w:rPr>
          <w:rFonts w:ascii="Times New Roman" w:hAnsi="Times New Roman" w:eastAsia="Times New Roman" w:cs="Times New Roman"/>
        </w:rPr>
        <w:t>,</w:t>
      </w:r>
      <w:r>
        <w:rPr>
          <w:rFonts w:ascii="Microsoft YaHei" w:hAnsi="Microsoft YaHei" w:eastAsia="Microsoft YaHei" w:cs="Microsoft YaHei"/>
        </w:rPr>
        <w:t>使其脫離褻瀆性的污穢</w:t>
      </w:r>
      <w:r>
        <w:rPr>
          <w:rFonts w:ascii="Times New Roman" w:hAnsi="Times New Roman" w:eastAsia="Times New Roman" w:cs="Times New Roman"/>
        </w:rPr>
        <w:t>.</w:t>
      </w:r>
      <w:r>
        <w:rPr>
          <w:rFonts w:ascii="Microsoft YaHei" w:hAnsi="Microsoft YaHei" w:eastAsia="Microsoft YaHei" w:cs="Microsoft YaHei"/>
        </w:rPr>
        <w:t>在祂職任最後的行動之中</w:t>
      </w:r>
      <w:r>
        <w:rPr>
          <w:rFonts w:ascii="Times New Roman" w:hAnsi="Times New Roman" w:eastAsia="Times New Roman" w:cs="Times New Roman"/>
        </w:rPr>
        <w:t>,</w:t>
      </w:r>
      <w:r>
        <w:rPr>
          <w:rFonts w:ascii="Microsoft YaHei" w:hAnsi="Microsoft YaHei" w:eastAsia="Microsoft YaHei" w:cs="Microsoft YaHei"/>
        </w:rPr>
        <w:t>也有第二次潔淨聖殿</w:t>
      </w:r>
      <w:r>
        <w:rPr>
          <w:rFonts w:ascii="Times New Roman" w:hAnsi="Times New Roman" w:eastAsia="Times New Roman" w:cs="Times New Roman"/>
        </w:rPr>
        <w:t>.</w:t>
      </w:r>
      <w:r>
        <w:rPr>
          <w:rFonts w:ascii="Microsoft YaHei" w:hAnsi="Microsoft YaHei" w:eastAsia="Microsoft YaHei" w:cs="Microsoft YaHei"/>
        </w:rPr>
        <w:t>照樣</w:t>
      </w:r>
      <w:r>
        <w:rPr>
          <w:rFonts w:ascii="Times New Roman" w:hAnsi="Times New Roman" w:eastAsia="Times New Roman" w:cs="Times New Roman"/>
        </w:rPr>
        <w:t>,</w:t>
      </w:r>
      <w:r>
        <w:rPr>
          <w:rFonts w:ascii="Microsoft YaHei" w:hAnsi="Microsoft YaHei" w:eastAsia="Microsoft YaHei" w:cs="Microsoft YaHei"/>
        </w:rPr>
        <w:t>在那為警告世界而作的最後工作中</w:t>
      </w:r>
      <w:r>
        <w:rPr>
          <w:rFonts w:ascii="Times New Roman" w:hAnsi="Times New Roman" w:eastAsia="Times New Roman" w:cs="Times New Roman"/>
        </w:rPr>
        <w:t>,</w:t>
      </w:r>
      <w:r>
        <w:rPr>
          <w:rFonts w:ascii="Microsoft YaHei" w:hAnsi="Microsoft YaHei" w:eastAsia="Microsoft YaHei" w:cs="Microsoft YaHei"/>
        </w:rPr>
        <w:t>也向眾教會發出了兩次不同的呼召</w:t>
      </w:r>
      <w:r>
        <w:rPr>
          <w:rFonts w:ascii="Times New Roman" w:hAnsi="Times New Roman" w:eastAsia="Times New Roman" w:cs="Times New Roman"/>
        </w:rPr>
        <w:t>.</w:t>
      </w:r>
      <w:r>
        <w:rPr>
          <w:rFonts w:ascii="Microsoft YaHei" w:hAnsi="Microsoft YaHei" w:eastAsia="Microsoft YaHei" w:cs="Microsoft YaHei"/>
        </w:rPr>
        <w:t>第二位天使的信息是：『巴比倫大城傾倒了！傾倒了！因為她叫萬民喝邪淫、大怒之酒</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14:8</w:t>
      </w:r>
      <w:r>
        <w:rPr>
          <w:rFonts w:ascii="Microsoft YaHei" w:hAnsi="Microsoft YaHei" w:eastAsia="Microsoft YaHei" w:cs="Microsoft YaHei"/>
        </w:rPr>
        <w:t>）而在第三位天使信息的大聲呼喊中</w:t>
      </w:r>
      <w:r>
        <w:rPr>
          <w:rFonts w:ascii="Times New Roman" w:hAnsi="Times New Roman" w:eastAsia="Times New Roman" w:cs="Times New Roman"/>
        </w:rPr>
        <w:t>,</w:t>
      </w:r>
      <w:r>
        <w:rPr>
          <w:rFonts w:ascii="Microsoft YaHei" w:hAnsi="Microsoft YaHei" w:eastAsia="Microsoft YaHei" w:cs="Microsoft YaHei"/>
        </w:rPr>
        <w:t>又有聲音從天上說：『我的民哪</w:t>
      </w:r>
      <w:r>
        <w:rPr>
          <w:rFonts w:ascii="Times New Roman" w:hAnsi="Times New Roman" w:eastAsia="Times New Roman" w:cs="Times New Roman"/>
        </w:rPr>
        <w:t>,</w:t>
      </w:r>
      <w:r>
        <w:rPr>
          <w:rFonts w:ascii="Microsoft YaHei" w:hAnsi="Microsoft YaHei" w:eastAsia="Microsoft YaHei" w:cs="Microsoft YaHei"/>
        </w:rPr>
        <w:t>你們要從那城出來</w:t>
      </w:r>
      <w:r>
        <w:rPr>
          <w:rFonts w:ascii="Times New Roman" w:hAnsi="Times New Roman" w:eastAsia="Times New Roman" w:cs="Times New Roman"/>
        </w:rPr>
        <w:t>,</w:t>
      </w:r>
      <w:r>
        <w:rPr>
          <w:rFonts w:ascii="Microsoft YaHei" w:hAnsi="Microsoft YaHei" w:eastAsia="Microsoft YaHei" w:cs="Microsoft YaHei"/>
        </w:rPr>
        <w:t>免得與她一同有罪</w:t>
      </w:r>
      <w:r>
        <w:rPr>
          <w:rFonts w:ascii="Times New Roman" w:hAnsi="Times New Roman" w:eastAsia="Times New Roman" w:cs="Times New Roman"/>
        </w:rPr>
        <w:t>,</w:t>
      </w:r>
      <w:r>
        <w:rPr>
          <w:rFonts w:ascii="Microsoft YaHei" w:hAnsi="Microsoft YaHei" w:eastAsia="Microsoft YaHei" w:cs="Microsoft YaHei"/>
        </w:rPr>
        <w:t>受她所受的災殃</w:t>
      </w:r>
      <w:r>
        <w:rPr>
          <w:rFonts w:ascii="Times New Roman" w:hAnsi="Times New Roman" w:eastAsia="Times New Roman" w:cs="Times New Roman"/>
        </w:rPr>
        <w:t>;</w:t>
      </w:r>
      <w:r>
        <w:rPr>
          <w:rFonts w:ascii="Microsoft YaHei" w:hAnsi="Microsoft YaHei" w:eastAsia="Microsoft YaHei" w:cs="Microsoft YaHei"/>
        </w:rPr>
        <w:t>因她的罪惡滔天</w:t>
      </w:r>
      <w:r>
        <w:rPr>
          <w:rFonts w:ascii="Times New Roman" w:hAnsi="Times New Roman" w:eastAsia="Times New Roman" w:cs="Times New Roman"/>
        </w:rPr>
        <w:t>,</w:t>
      </w:r>
      <w:r>
        <w:rPr>
          <w:rFonts w:ascii="Microsoft YaHei" w:hAnsi="Microsoft YaHei" w:eastAsia="Microsoft YaHei" w:cs="Microsoft YaHei"/>
        </w:rPr>
        <w:t>她的不義</w:t>
      </w:r>
      <w:r>
        <w:rPr>
          <w:rFonts w:ascii="Times New Roman" w:hAnsi="Times New Roman" w:eastAsia="Times New Roman" w:cs="Times New Roman"/>
        </w:rPr>
        <w:t>,</w:t>
      </w:r>
      <w:r>
        <w:rPr>
          <w:rFonts w:ascii="Microsoft YaHei" w:hAnsi="Microsoft YaHei" w:eastAsia="Microsoft YaHei" w:cs="Microsoft YaHei"/>
        </w:rPr>
        <w:t>上帝已經想起來了</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18:4, 5</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信息選粹</w:t>
      </w:r>
      <w:r>
        <w:rPr>
          <w:rFonts w:ascii="Times New Roman" w:hAnsi="Times New Roman" w:eastAsia="Times New Roman" w:cs="Times New Roman"/>
        </w:rPr>
        <w:t>»</w:t>
      </w:r>
      <w:r>
        <w:rPr>
          <w:rFonts w:ascii="Microsoft YaHei" w:hAnsi="Microsoft YaHei" w:eastAsia="Microsoft YaHei" w:cs="Microsoft YaHei"/>
        </w:rPr>
        <w:t>卷二</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118</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puissant ange descendit en accomplissement du chapitre dix-huit de l’Apocalypse, lorsque les grands édifices de la ville de New York furent abattus le 11 septembre 2001, avec l’arrivée du « vent d’orient » de l’islam. Il cria alors « d’une voix forte, disant : Babylone la grande est tombée, elle est tombée, et elle est devenue l’habitation des démons ». Puis, au verset quatre, une autre voix « se fait entendre du ciel, disant : “Sortez du milieu d’elle, mon peuple.” » Ces deux voix sont « deux appels distincts adressés aux Églises ». Les deux Églises distinctes de Dieu dans les derniers jours sont identifiées comme les cent quarante-quatre mille et la grande multitude.</w:t>
      </w:r>
    </w:p>
    <w:p>
      <w:pPr>
        <w:pStyle w:val="ArticleBody"/>
        <w:jc w:val="left"/>
      </w:pPr>
      <w:r>
        <w:rPr>
          <w:rFonts w:ascii="Times New Roman" w:hAnsi="Times New Roman" w:eastAsia="Times New Roman" w:cs="Times New Roman"/>
        </w:rPr>
        <w:t>Nin a wẹ́mẹ dùmẹ́ ɖé na wẹ́ alafa ɖeka kple blaene-vɔ-enyi ene la gɔme le Islam si nye Ẽ kplekple etɔ la me, si Aizaya la yɔna be “ŋkeke si ɣedzeƒe ya le ku.” Esiwo nɔ wɔnuwɔwɔa me la wu le Sɔnde se si gbɔna kpuie le United States kple nyatakakadzraɖoɖo si woe le dzesi la na ɖi abosam la dzi. Abosam lae nye anyigbadzraɖoɖo ameƒoƒoɖiƒe si le anyiehe, ta na Babilon yeye. Babilon nye dzata si le Daniel taadre adre la me, eye nyagblɔɖila ma si mewɔ toɖoɖo tso Yuda, si tsɔ Laodikea Adventism vɔ la ɖe edzi, si ku le ɣeyiɣi si dze egɔme kple Islam “tɔ” la (September 11, 2001), eye ewu kple “dzata” la, (Babilon Yeye).</w:t>
      </w:r>
    </w:p>
    <w:p>
      <w:pPr>
        <w:pStyle w:val="ArticleBody"/>
        <w:jc w:val="left"/>
      </w:pPr>
      <w:r>
        <w:rPr>
          <w:rFonts w:ascii="Times New Roman" w:hAnsi="Times New Roman" w:eastAsia="Times New Roman" w:cs="Times New Roman"/>
        </w:rPr>
        <w:t>Katika kipindi cha wakati kinachowakilishwa kama “kaburi” la nabii asiiyetii wa Uadventista wa Laodikia, mvua ya masika ya mwisho hupimwa na kutolewa, huku mwito wa pekee ukitolewa kwa kanisa la wale mia moja arobaini na nne elfu. Kipindi hicho kinapokwisha, katika “saa” ya “tetemeko kuu la nchi”, linalowakilisha sheria ya Jumapili nchini Marekani; kipindi cha sauti ya pili ya Ufunuo kumi na nane hufika pamoja na utekelezaji wa chapa ya mnyama, ambayo ndiyo chapa ya mfalme wa kaskazini. Wakati huohuo Uislamu wa Oleo la tatu hutumiwa kuleta hukumu ya hatua kwa hatua inayozidi kuongezeka juu ya ulimwengu ulioasi. Ujumbe unaotangazwa na “bendera” ya wale mia moja arobaini na nne elfu wakati wa mwito huo wa pili wa pekee kwa kanisa la “mkutano mkuu” hubainisha “chapa” ya “mfalme wa kaskazini”, na nafasi ya Uislamu wa Oleo la tatu, unaowakilishwa kama “wana wa mashariki”.</w:t>
      </w:r>
    </w:p>
    <w:p>
      <w:pPr>
        <w:pStyle w:val="ArticleBody"/>
        <w:jc w:val="left"/>
      </w:pPr>
      <w:r>
        <w:rPr>
          <w:rFonts w:ascii="Nirmala UI" w:hAnsi="Nirmala UI" w:eastAsia="Nirmala UI" w:cs="Nirmala UI"/>
        </w:rPr>
        <w:t>महीरुहाय</w:t>
      </w:r>
      <w:r>
        <w:rPr>
          <w:rFonts w:ascii="Times New Roman" w:hAnsi="Times New Roman" w:eastAsia="Times New Roman" w:cs="Times New Roman"/>
        </w:rPr>
        <w:t xml:space="preserve"> </w:t>
      </w:r>
      <w:r>
        <w:rPr>
          <w:rFonts w:ascii="Nirmala UI" w:hAnsi="Nirmala UI" w:eastAsia="Nirmala UI" w:cs="Nirmala UI"/>
        </w:rPr>
        <w:t>बाहागो</w:t>
      </w:r>
      <w:r>
        <w:rPr>
          <w:rFonts w:ascii="Times New Roman" w:hAnsi="Times New Roman" w:eastAsia="Times New Roman" w:cs="Times New Roman"/>
        </w:rPr>
        <w:t xml:space="preserve"> </w:t>
      </w:r>
      <w:r>
        <w:rPr>
          <w:rFonts w:ascii="Nirmala UI" w:hAnsi="Nirmala UI" w:eastAsia="Nirmala UI" w:cs="Nirmala UI"/>
        </w:rPr>
        <w:t>गुसुंखौ</w:t>
      </w:r>
      <w:r>
        <w:rPr>
          <w:rFonts w:ascii="Times New Roman" w:hAnsi="Times New Roman" w:eastAsia="Times New Roman" w:cs="Times New Roman"/>
        </w:rPr>
        <w:t xml:space="preserve"> </w:t>
      </w:r>
      <w:r>
        <w:rPr>
          <w:rFonts w:ascii="Nirmala UI" w:hAnsi="Nirmala UI" w:eastAsia="Nirmala UI" w:cs="Nirmala UI"/>
        </w:rPr>
        <w:t>जौगानाय</w:t>
      </w:r>
      <w:r>
        <w:rPr>
          <w:rFonts w:ascii="Times New Roman" w:hAnsi="Times New Roman" w:eastAsia="Times New Roman" w:cs="Times New Roman"/>
        </w:rPr>
        <w:t xml:space="preserve"> </w:t>
      </w:r>
      <w:r>
        <w:rPr>
          <w:rFonts w:ascii="Nirmala UI" w:hAnsi="Nirmala UI" w:eastAsia="Nirmala UI" w:cs="Nirmala UI"/>
        </w:rPr>
        <w:t>दानिएलनि</w:t>
      </w:r>
      <w:r>
        <w:rPr>
          <w:rFonts w:ascii="Times New Roman" w:hAnsi="Times New Roman" w:eastAsia="Times New Roman" w:cs="Times New Roman"/>
        </w:rPr>
        <w:t xml:space="preserve"> </w:t>
      </w:r>
      <w:r>
        <w:rPr>
          <w:rFonts w:ascii="Nirmala UI" w:hAnsi="Nirmala UI" w:eastAsia="Nirmala UI" w:cs="Nirmala UI"/>
        </w:rPr>
        <w:t>एगारो</w:t>
      </w:r>
      <w:r>
        <w:rPr>
          <w:rFonts w:ascii="Times New Roman" w:hAnsi="Times New Roman" w:eastAsia="Times New Roman" w:cs="Times New Roman"/>
        </w:rPr>
        <w:t xml:space="preserve"> </w:t>
      </w:r>
      <w:r>
        <w:rPr>
          <w:rFonts w:ascii="Nirmala UI" w:hAnsi="Nirmala UI" w:eastAsia="Nirmala UI" w:cs="Nirmala UI"/>
        </w:rPr>
        <w:t>हादोरनि</w:t>
      </w:r>
      <w:r>
        <w:rPr>
          <w:rFonts w:ascii="Times New Roman" w:hAnsi="Times New Roman" w:eastAsia="Times New Roman" w:cs="Times New Roman"/>
        </w:rPr>
        <w:t xml:space="preserve"> </w:t>
      </w:r>
      <w:r>
        <w:rPr>
          <w:rFonts w:ascii="Nirmala UI" w:hAnsi="Nirmala UI" w:eastAsia="Nirmala UI" w:cs="Nirmala UI"/>
        </w:rPr>
        <w:t>चोथायसो</w:t>
      </w:r>
      <w:r>
        <w:rPr>
          <w:rFonts w:ascii="Times New Roman" w:hAnsi="Times New Roman" w:eastAsia="Times New Roman" w:cs="Times New Roman"/>
        </w:rPr>
        <w:t xml:space="preserve"> </w:t>
      </w:r>
      <w:r>
        <w:rPr>
          <w:rFonts w:ascii="Nirmala UI" w:hAnsi="Nirmala UI" w:eastAsia="Nirmala UI" w:cs="Nirmala UI"/>
        </w:rPr>
        <w:t>ब्रह्मायाव</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गोनांनि</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w:t>
      </w:r>
      <w:r>
        <w:rPr>
          <w:rFonts w:ascii="Nirmala UI" w:hAnsi="Nirmala UI" w:eastAsia="Nirmala UI" w:cs="Nirmala UI"/>
        </w:rPr>
        <w:t>बिस्टनि</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बिफांनानै</w:t>
      </w:r>
      <w:r>
        <w:rPr>
          <w:rFonts w:ascii="Times New Roman" w:hAnsi="Times New Roman" w:eastAsia="Times New Roman" w:cs="Times New Roman"/>
        </w:rPr>
        <w:t xml:space="preserve"> </w:t>
      </w:r>
      <w:r>
        <w:rPr>
          <w:rFonts w:ascii="Nirmala UI" w:hAnsi="Nirmala UI" w:eastAsia="Nirmala UI" w:cs="Nirmala UI"/>
        </w:rPr>
        <w:t>दिन्थिफोरजों</w:t>
      </w:r>
      <w:r>
        <w:rPr>
          <w:rFonts w:ascii="Times New Roman" w:hAnsi="Times New Roman" w:eastAsia="Times New Roman" w:cs="Times New Roman"/>
        </w:rPr>
        <w:t xml:space="preserve"> </w:t>
      </w:r>
      <w:r>
        <w:rPr>
          <w:rFonts w:ascii="Nirmala UI" w:hAnsi="Nirmala UI" w:eastAsia="Nirmala UI" w:cs="Nirmala UI"/>
        </w:rPr>
        <w:t>उन्दैयो।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आगोलनि</w:t>
      </w:r>
      <w:r>
        <w:rPr>
          <w:rFonts w:ascii="Times New Roman" w:hAnsi="Times New Roman" w:eastAsia="Times New Roman" w:cs="Times New Roman"/>
        </w:rPr>
        <w:t xml:space="preserve"> </w:t>
      </w:r>
      <w:r>
        <w:rPr>
          <w:rFonts w:ascii="Nirmala UI" w:hAnsi="Nirmala UI" w:eastAsia="Nirmala UI" w:cs="Nirmala UI"/>
        </w:rPr>
        <w:t>समायजों</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w:t>
      </w:r>
      <w:r>
        <w:rPr>
          <w:rFonts w:ascii="Nirmala UI" w:hAnsi="Nirmala UI" w:eastAsia="Nirmala UI" w:cs="Nirmala UI"/>
        </w:rPr>
        <w:t>पुबनि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इस्लामआ</w:t>
      </w:r>
      <w:r>
        <w:rPr>
          <w:rFonts w:ascii="Times New Roman" w:hAnsi="Times New Roman" w:eastAsia="Times New Roman" w:cs="Times New Roman"/>
        </w:rPr>
        <w:t xml:space="preserve"> </w:t>
      </w:r>
      <w:r>
        <w:rPr>
          <w:rFonts w:ascii="Nirmala UI" w:hAnsi="Nirmala UI" w:eastAsia="Nirmala UI" w:cs="Nirmala UI"/>
        </w:rPr>
        <w:t>आमेरिकानि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बिचार</w:t>
      </w:r>
      <w:r>
        <w:rPr>
          <w:rFonts w:ascii="Times New Roman" w:hAnsi="Times New Roman" w:eastAsia="Times New Roman" w:cs="Times New Roman"/>
        </w:rPr>
        <w:t xml:space="preserve"> </w:t>
      </w:r>
      <w:r>
        <w:rPr>
          <w:rFonts w:ascii="Nirmala UI" w:hAnsi="Nirmala UI" w:eastAsia="Nirmala UI" w:cs="Nirmala UI"/>
        </w:rPr>
        <w:t>आननानै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समायखौ</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समायनि</w:t>
      </w:r>
      <w:r>
        <w:rPr>
          <w:rFonts w:ascii="Times New Roman" w:hAnsi="Times New Roman" w:eastAsia="Times New Roman" w:cs="Times New Roman"/>
        </w:rPr>
        <w:t xml:space="preserve"> </w:t>
      </w:r>
      <w:r>
        <w:rPr>
          <w:rFonts w:ascii="Nirmala UI" w:hAnsi="Nirmala UI" w:eastAsia="Nirmala UI" w:cs="Nirmala UI"/>
        </w:rPr>
        <w:t>जोबथाय</w:t>
      </w:r>
      <w:r>
        <w:rPr>
          <w:rFonts w:ascii="Times New Roman" w:hAnsi="Times New Roman" w:eastAsia="Times New Roman" w:cs="Times New Roman"/>
        </w:rPr>
        <w:t xml:space="preserve"> </w:t>
      </w:r>
      <w:r>
        <w:rPr>
          <w:rFonts w:ascii="Nirmala UI" w:hAnsi="Nirmala UI" w:eastAsia="Nirmala UI" w:cs="Nirmala UI"/>
        </w:rPr>
        <w:t>उत्तरोनि</w:t>
      </w:r>
      <w:r>
        <w:rPr>
          <w:rFonts w:ascii="Times New Roman" w:hAnsi="Times New Roman" w:eastAsia="Times New Roman" w:cs="Times New Roman"/>
        </w:rPr>
        <w:t xml:space="preserve"> </w:t>
      </w:r>
      <w:r>
        <w:rPr>
          <w:rFonts w:ascii="Nirmala UI" w:hAnsi="Nirmala UI" w:eastAsia="Nirmala UI" w:cs="Nirmala UI"/>
        </w:rPr>
        <w:t>रजाआ</w:t>
      </w:r>
      <w:r>
        <w:rPr>
          <w:rFonts w:ascii="Times New Roman" w:hAnsi="Times New Roman" w:eastAsia="Times New Roman" w:cs="Times New Roman"/>
        </w:rPr>
        <w:t xml:space="preserve"> “</w:t>
      </w:r>
      <w:r>
        <w:rPr>
          <w:rFonts w:ascii="Nirmala UI" w:hAnsi="Nirmala UI" w:eastAsia="Nirmala UI" w:cs="Nirmala UI"/>
        </w:rPr>
        <w:t>सागोरफोरनि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हाड़ियानि</w:t>
      </w:r>
      <w:r>
        <w:rPr>
          <w:rFonts w:ascii="Times New Roman" w:hAnsi="Times New Roman" w:eastAsia="Times New Roman" w:cs="Times New Roman"/>
        </w:rPr>
        <w:t xml:space="preserve"> </w:t>
      </w:r>
      <w:r>
        <w:rPr>
          <w:rFonts w:ascii="Nirmala UI" w:hAnsi="Nirmala UI" w:eastAsia="Nirmala UI" w:cs="Nirmala UI"/>
        </w:rPr>
        <w:t>ओनसोलाव</w:t>
      </w:r>
      <w:r>
        <w:rPr>
          <w:rFonts w:ascii="Times New Roman" w:hAnsi="Times New Roman" w:eastAsia="Times New Roman" w:cs="Times New Roman"/>
        </w:rPr>
        <w:t xml:space="preserve">”, </w:t>
      </w:r>
      <w:r>
        <w:rPr>
          <w:rFonts w:ascii="Nirmala UI" w:hAnsi="Nirmala UI" w:eastAsia="Nirmala UI" w:cs="Nirmala UI"/>
        </w:rPr>
        <w:t>मेगिद्दोनि</w:t>
      </w:r>
      <w:r>
        <w:rPr>
          <w:rFonts w:ascii="Times New Roman" w:hAnsi="Times New Roman" w:eastAsia="Times New Roman" w:cs="Times New Roman"/>
        </w:rPr>
        <w:t xml:space="preserve"> </w:t>
      </w:r>
      <w:r>
        <w:rPr>
          <w:rFonts w:ascii="Nirmala UI" w:hAnsi="Nirmala UI" w:eastAsia="Nirmala UI" w:cs="Nirmala UI"/>
        </w:rPr>
        <w:t>उपत्यकायाव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कार्मेलनि</w:t>
      </w:r>
      <w:r>
        <w:rPr>
          <w:rFonts w:ascii="Times New Roman" w:hAnsi="Times New Roman" w:eastAsia="Times New Roman" w:cs="Times New Roman"/>
        </w:rPr>
        <w:t xml:space="preserve"> </w:t>
      </w:r>
      <w:r>
        <w:rPr>
          <w:rFonts w:ascii="Nirmala UI" w:hAnsi="Nirmala UI" w:eastAsia="Nirmala UI" w:cs="Nirmala UI"/>
        </w:rPr>
        <w:t>हादोराव</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जोबनायाव</w:t>
      </w:r>
      <w:r>
        <w:rPr>
          <w:rFonts w:ascii="Times New Roman" w:hAnsi="Times New Roman" w:eastAsia="Times New Roman" w:cs="Times New Roman"/>
        </w:rPr>
        <w:t xml:space="preserve"> </w:t>
      </w:r>
      <w:r>
        <w:rPr>
          <w:rFonts w:ascii="Nirmala UI" w:hAnsi="Nirmala UI" w:eastAsia="Nirmala UI" w:cs="Nirmala UI"/>
        </w:rPr>
        <w:t>फावो।</w:t>
      </w:r>
    </w:p>
    <w:p>
      <w:pPr>
        <w:pStyle w:val="ArticleBody"/>
        <w:jc w:val="left"/>
      </w:pPr>
      <w:r>
        <w:rPr>
          <w:rFonts w:ascii="Times New Roman" w:hAnsi="Times New Roman" w:eastAsia="Times New Roman" w:cs="Times New Roman"/>
        </w:rPr>
        <w:t>The judgment period for modern Babylon that represents her deathbed (tomb), begins with the symbol of the east and ends with the symbol of the north, just as the deathbed for the disobedient Laodicean prophet ended in the first distinct call to the churches. The tomb (deathbed) that both the lying prophet of Bethel and the disobedient prophet of Judah are buried in is represented between an “ass” and a “lion”.</w:t>
      </w:r>
    </w:p>
    <w:p>
      <w:pPr>
        <w:pStyle w:val="ArticleBody"/>
        <w:jc w:val="left"/>
      </w:pP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આહાબ</w:t>
      </w:r>
      <w:r>
        <w:rPr>
          <w:rFonts w:ascii="Times New Roman" w:hAnsi="Times New Roman" w:eastAsia="Times New Roman" w:cs="Times New Roman"/>
        </w:rPr>
        <w:t xml:space="preserve">, </w:t>
      </w:r>
      <w:r>
        <w:rPr>
          <w:rFonts w:ascii="Nirmala UI" w:hAnsi="Nirmala UI" w:eastAsia="Nirmala UI" w:cs="Nirmala UI"/>
        </w:rPr>
        <w:t>યેઝેબેલ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યેઝેબેલનાં</w:t>
      </w:r>
      <w:r>
        <w:rPr>
          <w:rFonts w:ascii="Times New Roman" w:hAnsi="Times New Roman" w:eastAsia="Times New Roman" w:cs="Times New Roman"/>
        </w:rPr>
        <w:t xml:space="preserve"> </w:t>
      </w:r>
      <w:r>
        <w:rPr>
          <w:rFonts w:ascii="Nirmala UI" w:hAnsi="Nirmala UI" w:eastAsia="Nirmala UI" w:cs="Nirmala UI"/>
        </w:rPr>
        <w:t>પ્રબોધકો</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ત્રિવિધ</w:t>
      </w:r>
      <w:r>
        <w:rPr>
          <w:rFonts w:ascii="Times New Roman" w:hAnsi="Times New Roman" w:eastAsia="Times New Roman" w:cs="Times New Roman"/>
        </w:rPr>
        <w:t xml:space="preserve"> </w:t>
      </w:r>
      <w:r>
        <w:rPr>
          <w:rFonts w:ascii="Nirmala UI" w:hAnsi="Nirmala UI" w:eastAsia="Nirmala UI" w:cs="Nirmala UI"/>
        </w:rPr>
        <w:t>શત્રુનો</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યેઝેબેલ</w:t>
      </w:r>
      <w:r>
        <w:rPr>
          <w:rFonts w:ascii="Times New Roman" w:hAnsi="Times New Roman" w:eastAsia="Times New Roman" w:cs="Times New Roman"/>
        </w:rPr>
        <w:t xml:space="preserve"> </w:t>
      </w:r>
      <w:r>
        <w:rPr>
          <w:rFonts w:ascii="Nirmala UI" w:hAnsi="Nirmala UI" w:eastAsia="Nirmala UI" w:cs="Nirmala UI"/>
        </w:rPr>
        <w:t>થાયાતિરાની</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કલીસિયામાં</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કર્મેલ</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પ્રબોધકો</w:t>
      </w:r>
      <w:r>
        <w:rPr>
          <w:rFonts w:ascii="Times New Roman" w:hAnsi="Times New Roman" w:eastAsia="Times New Roman" w:cs="Times New Roman"/>
        </w:rPr>
        <w:t xml:space="preserve"> </w:t>
      </w:r>
      <w:r>
        <w:rPr>
          <w:rFonts w:ascii="Nirmala UI" w:hAnsi="Nirmala UI" w:eastAsia="Nirmala UI" w:cs="Nirmala UI"/>
        </w:rPr>
        <w:t>બઆલનાં</w:t>
      </w:r>
      <w:r>
        <w:rPr>
          <w:rFonts w:ascii="Times New Roman" w:hAnsi="Times New Roman" w:eastAsia="Times New Roman" w:cs="Times New Roman"/>
        </w:rPr>
        <w:t xml:space="preserve"> </w:t>
      </w:r>
      <w:r>
        <w:rPr>
          <w:rFonts w:ascii="Nirmala UI" w:hAnsi="Nirmala UI" w:eastAsia="Nirmala UI" w:cs="Nirmala UI"/>
        </w:rPr>
        <w:t>પ્રબોધકો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ઉપવનના</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બઆલ</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દેવતાનું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ઉપવનના</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અષ્ટરોત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સ્ત્રી</w:t>
      </w:r>
      <w:r>
        <w:rPr>
          <w:rFonts w:ascii="Times New Roman" w:hAnsi="Times New Roman" w:eastAsia="Times New Roman" w:cs="Times New Roman"/>
        </w:rPr>
        <w:t xml:space="preserve"> </w:t>
      </w:r>
      <w:r>
        <w:rPr>
          <w:rFonts w:ascii="Nirmala UI" w:hAnsi="Nirmala UI" w:eastAsia="Nirmala UI" w:cs="Nirmala UI"/>
        </w:rPr>
        <w:t>દેવતાનું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યેઝેબેલનાં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પ્રબોધકો</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સ્ત્રી</w:t>
      </w:r>
      <w:r>
        <w:rPr>
          <w:rFonts w:ascii="Times New Roman" w:hAnsi="Times New Roman" w:eastAsia="Times New Roman" w:cs="Times New Roman"/>
        </w:rPr>
        <w:t xml:space="preserve"> </w:t>
      </w:r>
      <w:r>
        <w:rPr>
          <w:rFonts w:ascii="Nirmala UI" w:hAnsi="Nirmala UI" w:eastAsia="Nirmala UI" w:cs="Nirmala UI"/>
        </w:rPr>
        <w:t>બંનેથી</w:t>
      </w:r>
      <w:r>
        <w:rPr>
          <w:rFonts w:ascii="Times New Roman" w:hAnsi="Times New Roman" w:eastAsia="Times New Roman" w:cs="Times New Roman"/>
        </w:rPr>
        <w:t xml:space="preserve"> </w:t>
      </w:r>
      <w:r>
        <w:rPr>
          <w:rFonts w:ascii="Nirmala UI" w:hAnsi="Nirmala UI" w:eastAsia="Nirmala UI" w:cs="Nirmala UI"/>
        </w:rPr>
        <w:t>બનેલા</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ગ્રંથમાં</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પ્રતિમાથી</w:t>
      </w:r>
      <w:r>
        <w:rPr>
          <w:rFonts w:ascii="Times New Roman" w:hAnsi="Times New Roman" w:eastAsia="Times New Roman" w:cs="Times New Roman"/>
        </w:rPr>
        <w:t xml:space="preserve"> </w:t>
      </w:r>
      <w:r>
        <w:rPr>
          <w:rFonts w:ascii="Nirmala UI" w:hAnsi="Nirmala UI" w:eastAsia="Nirmala UI" w:cs="Nirmala UI"/>
        </w:rPr>
        <w:t>દર્શાવાયેલ</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સંયોજનનું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Javanese Text" w:hAnsi="Javanese Text" w:eastAsia="Javanese Text" w:cs="Javanese Text"/>
        </w:rPr>
        <w:t>ꦄꦩꦼꦫꦶꦏꦱꦼꦫꦶꦏꦠ꧀</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ꦥꦼꦫ꧀ꦠꦩ</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ꦩꦼꦒꦏ꧀ꦏꦤ꧀</w:t>
      </w:r>
      <w:r>
        <w:rPr>
          <w:rFonts w:ascii="Times New Roman" w:hAnsi="Times New Roman" w:eastAsia="Times New Roman" w:cs="Times New Roman"/>
        </w:rPr>
        <w:t xml:space="preserve"> </w:t>
      </w:r>
      <w:r>
        <w:rPr>
          <w:rFonts w:ascii="Javanese Text" w:hAnsi="Javanese Text" w:eastAsia="Javanese Text" w:cs="Javanese Text"/>
        </w:rPr>
        <w:t>ꦯꦶꦏ꧀ꦫꦠ꧀</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ꦧꦸꦮꦱ꧀</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ꦄꦩꦼꦫꦶꦏꦱꦼꦫꦶꦏꦠ꧀</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ꦱꦼꦠꦼꦭꦃ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ꦄꦩꦼꦫꦶꦏꦱꦼꦫꦶꦏꦠ꧀</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ꦥꦼꦂꦱꦠꦸꦮꦤ꧀</w:t>
      </w:r>
      <w:r>
        <w:rPr>
          <w:rFonts w:ascii="Times New Roman" w:hAnsi="Times New Roman" w:eastAsia="Times New Roman" w:cs="Times New Roman"/>
        </w:rPr>
        <w:t xml:space="preserve">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ꦥꦶꦲꦏ꧀</w:t>
      </w:r>
      <w:r>
        <w:rPr>
          <w:rFonts w:ascii="Times New Roman" w:hAnsi="Times New Roman" w:eastAsia="Times New Roman" w:cs="Times New Roman"/>
        </w:rPr>
        <w:t xml:space="preserve">. </w:t>
      </w:r>
      <w:r>
        <w:rPr>
          <w:rFonts w:ascii="Javanese Text" w:hAnsi="Javanese Text" w:eastAsia="Javanese Text" w:cs="Javanese Text"/>
        </w:rPr>
        <w:t>ꦄꦲꦥ꧀</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ꦱꦼꦥꦸꦭꦸꦃ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ꦱꦼꦥꦸꦭꦸꦃ</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Wahyu </w:t>
      </w:r>
      <w:r>
        <w:rPr>
          <w:rFonts w:ascii="Javanese Text" w:hAnsi="Javanese Text" w:eastAsia="Javanese Text" w:cs="Javanese Text"/>
        </w:rPr>
        <w:t>ꦥꦶꦠꦸꦮꦼꦭꦱ꧀</w:t>
      </w:r>
      <w:r>
        <w:rPr>
          <w:rFonts w:ascii="Times New Roman" w:hAnsi="Times New Roman" w:eastAsia="Times New Roman" w:cs="Times New Roman"/>
        </w:rPr>
        <w:t xml:space="preserve">, </w:t>
      </w:r>
      <w:r>
        <w:rPr>
          <w:rFonts w:ascii="Javanese Text" w:hAnsi="Javanese Text" w:eastAsia="Javanese Text" w:cs="Javanese Text"/>
        </w:rPr>
        <w:t>ꦪꦲꦶꦠꦸ</w:t>
      </w:r>
      <w:r>
        <w:rPr>
          <w:rFonts w:ascii="Times New Roman" w:hAnsi="Times New Roman" w:eastAsia="Times New Roman" w:cs="Times New Roman"/>
        </w:rPr>
        <w:t xml:space="preserve"> </w:t>
      </w:r>
      <w:r>
        <w:rPr>
          <w:rFonts w:ascii="Javanese Text" w:hAnsi="Javanese Text" w:eastAsia="Javanese Text" w:cs="Javanese Text"/>
        </w:rPr>
        <w:t>ꦤꦒꦄ</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Izebel </w:t>
      </w:r>
      <w:r>
        <w:rPr>
          <w:rFonts w:ascii="Javanese Text" w:hAnsi="Javanese Text" w:eastAsia="Javanese Text" w:cs="Javanese Text"/>
        </w:rPr>
        <w:t>ꦄꦢꦭꦃ</w:t>
      </w:r>
      <w:r>
        <w:rPr>
          <w:rFonts w:ascii="Times New Roman" w:hAnsi="Times New Roman" w:eastAsia="Times New Roman" w:cs="Times New Roman"/>
        </w:rPr>
        <w:t xml:space="preserve"> </w:t>
      </w:r>
      <w:r>
        <w:rPr>
          <w:rFonts w:ascii="Javanese Text" w:hAnsi="Javanese Text" w:eastAsia="Javanese Text" w:cs="Javanese Text"/>
        </w:rPr>
        <w:t>ꦧꦸꦮꦱ꧀</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Elia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ꦧꦼꦂꦲꦢꦥꦤ꧀</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ꦥꦼꦂꦱꦠꦸꦮꦤ꧀</w:t>
      </w:r>
      <w:r>
        <w:rPr>
          <w:rFonts w:ascii="Times New Roman" w:hAnsi="Times New Roman" w:eastAsia="Times New Roman" w:cs="Times New Roman"/>
        </w:rPr>
        <w:t xml:space="preserve">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ꦥꦶꦲꦏ꧀</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Babel </w:t>
      </w:r>
      <w:r>
        <w:rPr>
          <w:rFonts w:ascii="Javanese Text" w:hAnsi="Javanese Text" w:eastAsia="Javanese Text" w:cs="Javanese Text"/>
        </w:rPr>
        <w:t>ꦩꦺꦴꦢꦼꦂꦤ꧀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Gunung Karmel, </w:t>
      </w:r>
      <w:r>
        <w:rPr>
          <w:rFonts w:ascii="Javanese Text" w:hAnsi="Javanese Text" w:eastAsia="Javanese Text" w:cs="Javanese Text"/>
        </w:rPr>
        <w:t>ꦠꦼꦩ꧀ꦥꦠ꧀</w:t>
      </w:r>
      <w:r>
        <w:rPr>
          <w:rFonts w:ascii="Times New Roman" w:hAnsi="Times New Roman" w:eastAsia="Times New Roman" w:cs="Times New Roman"/>
        </w:rPr>
        <w:t xml:space="preserve"> </w:t>
      </w:r>
      <w:r>
        <w:rPr>
          <w:rFonts w:ascii="Javanese Text" w:hAnsi="Javanese Text" w:eastAsia="Javanese Text" w:cs="Javanese Text"/>
        </w:rPr>
        <w:t>ꦥ</w:t>
      </w:r>
      <w:r>
        <w:rPr>
          <w:rFonts w:ascii="Malgun Gothic" w:hAnsi="Malgun Gothic" w:eastAsia="Malgun Gothic" w:cs="Malgun Gothic"/>
        </w:rPr>
        <w:t>꼌</w:t>
      </w:r>
      <w:r>
        <w:rPr>
          <w:rFonts w:ascii="Javanese Text" w:hAnsi="Javanese Text" w:eastAsia="Javanese Text" w:cs="Javanese Text"/>
        </w:rPr>
        <w:t>꧀ꦭꦏꦸ</w:t>
      </w:r>
      <w:r>
        <w:rPr>
          <w:rFonts w:ascii="Times New Roman" w:hAnsi="Times New Roman" w:eastAsia="Times New Roman" w:cs="Times New Roman"/>
        </w:rPr>
        <w:t xml:space="preserve"> Babel </w:t>
      </w:r>
      <w:r>
        <w:rPr>
          <w:rFonts w:ascii="Javanese Text" w:hAnsi="Javanese Text" w:eastAsia="Javanese Text" w:cs="Javanese Text"/>
        </w:rPr>
        <w:t>ꦩꦼꦤꦼꦩꦸꦶ</w:t>
      </w:r>
      <w:r>
        <w:rPr>
          <w:rFonts w:ascii="Times New Roman" w:hAnsi="Times New Roman" w:eastAsia="Times New Roman" w:cs="Times New Roman"/>
        </w:rPr>
        <w:t xml:space="preserve"> </w:t>
      </w:r>
      <w:r>
        <w:rPr>
          <w:rFonts w:ascii="Javanese Text" w:hAnsi="Javanese Text" w:eastAsia="Javanese Text" w:cs="Javanese Text"/>
        </w:rPr>
        <w:t>ꦄꦏ꦳ꦶꦂꦚ</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ꦠꦶꦢꦏ꧀</w:t>
      </w:r>
      <w:r>
        <w:rPr>
          <w:rFonts w:ascii="Times New Roman" w:hAnsi="Times New Roman" w:eastAsia="Times New Roman" w:cs="Times New Roman"/>
        </w:rPr>
        <w:t xml:space="preserve"> </w:t>
      </w:r>
      <w:r>
        <w:rPr>
          <w:rFonts w:ascii="Javanese Text" w:hAnsi="Javanese Text" w:eastAsia="Javanese Text" w:cs="Javanese Text"/>
        </w:rPr>
        <w:t>ꦄꦢ</w:t>
      </w:r>
      <w:r>
        <w:rPr>
          <w:rFonts w:ascii="Times New Roman" w:hAnsi="Times New Roman" w:eastAsia="Times New Roman" w:cs="Times New Roman"/>
        </w:rPr>
        <w:t xml:space="preserve"> </w:t>
      </w:r>
      <w:r>
        <w:rPr>
          <w:rFonts w:ascii="Javanese Text" w:hAnsi="Javanese Text" w:eastAsia="Javanese Text" w:cs="Javanese Text"/>
        </w:rPr>
        <w:t>ꦱꦼꦄꦺꦴꦫꦁꦥꦸꦤ꧀</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ꦩꦼꦤꦺꦴꦭꦺꦴꦁꦚ</w:t>
      </w:r>
      <w:r>
        <w:rPr>
          <w:rFonts w:ascii="Times New Roman" w:hAnsi="Times New Roman" w:eastAsia="Times New Roman" w:cs="Times New Roman"/>
        </w:rPr>
        <w:t xml:space="preserve">. </w:t>
      </w:r>
      <w:r>
        <w:rPr>
          <w:rFonts w:ascii="Javanese Text" w:hAnsi="Javanese Text" w:eastAsia="Javanese Text" w:cs="Javanese Text"/>
        </w:rPr>
        <w:t>ꦥꦼꦤꦼꦫꦥꦤ꧀</w:t>
      </w:r>
      <w:r>
        <w:rPr>
          <w:rFonts w:ascii="Times New Roman" w:hAnsi="Times New Roman" w:eastAsia="Times New Roman" w:cs="Times New Roman"/>
        </w:rPr>
        <w:t xml:space="preserve"> Rangkap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ꦠ</w:t>
      </w:r>
      <w:r>
        <w:rPr>
          <w:rFonts w:ascii="Malgun Gothic" w:hAnsi="Malgun Gothic" w:eastAsia="Malgun Gothic" w:cs="Malgun Gothic"/>
        </w:rPr>
        <w:t>꼌</w:t>
      </w:r>
      <w:r>
        <w:rPr>
          <w:rFonts w:ascii="Javanese Text" w:hAnsi="Javanese Text" w:eastAsia="Javanese Text" w:cs="Javanese Text"/>
        </w:rPr>
        <w:t>ꦠꦁ</w:t>
      </w:r>
      <w:r>
        <w:rPr>
          <w:rFonts w:ascii="Times New Roman" w:hAnsi="Times New Roman" w:eastAsia="Times New Roman" w:cs="Times New Roman"/>
        </w:rPr>
        <w:t xml:space="preserve"> Elia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ꦥꦼꦂꦲꦢꦥꦤ꧀</w:t>
      </w:r>
      <w:r>
        <w:rPr>
          <w:rFonts w:ascii="Times New Roman" w:hAnsi="Times New Roman" w:eastAsia="Times New Roman" w:cs="Times New Roman"/>
        </w:rPr>
        <w:t xml:space="preserve"> </w:t>
      </w:r>
      <w:r>
        <w:rPr>
          <w:rFonts w:ascii="Javanese Text" w:hAnsi="Javanese Text" w:eastAsia="Javanese Text" w:cs="Javanese Text"/>
        </w:rPr>
        <w:t>ꦭꦲꦶꦂꦶꦪꦃ</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ꦢꦶꦲꦢꦥ꧀ꦏꦤ꧀</w:t>
      </w:r>
      <w:r>
        <w:rPr>
          <w:rFonts w:ascii="Times New Roman" w:hAnsi="Times New Roman" w:eastAsia="Times New Roman" w:cs="Times New Roman"/>
        </w:rPr>
        <w:t xml:space="preserve"> </w:t>
      </w:r>
      <w:r>
        <w:rPr>
          <w:rFonts w:ascii="Javanese Text" w:hAnsi="Javanese Text" w:eastAsia="Javanese Text" w:cs="Javanese Text"/>
        </w:rPr>
        <w:t>ꦠ</w:t>
      </w:r>
      <w:r>
        <w:rPr>
          <w:rFonts w:ascii="Malgun Gothic" w:hAnsi="Malgun Gothic" w:eastAsia="Malgun Gothic" w:cs="Malgun Gothic"/>
        </w:rPr>
        <w:t>꼌</w:t>
      </w:r>
      <w:r>
        <w:rPr>
          <w:rFonts w:ascii="Javanese Text" w:hAnsi="Javanese Text" w:eastAsia="Javanese Text" w:cs="Javanese Text"/>
        </w:rPr>
        <w:t>ꦫꦲꦢꦥ꧀</w:t>
      </w:r>
      <w:r>
        <w:rPr>
          <w:rFonts w:ascii="Times New Roman" w:hAnsi="Times New Roman" w:eastAsia="Times New Roman" w:cs="Times New Roman"/>
        </w:rPr>
        <w:t xml:space="preserve"> umat Allah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ꦠꦼꦫꦄꦏ꦳ꦶꦂ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Elia </w:t>
      </w:r>
      <w:r>
        <w:rPr>
          <w:rFonts w:ascii="Javanese Text" w:hAnsi="Javanese Text" w:eastAsia="Javanese Text" w:cs="Javanese Text"/>
        </w:rPr>
        <w:t>ꦩꦼꦭꦩ꧀ꦧꦁꦏꦤ꧀</w:t>
      </w:r>
      <w:r>
        <w:rPr>
          <w:rFonts w:ascii="Times New Roman" w:hAnsi="Times New Roman" w:eastAsia="Times New Roman" w:cs="Times New Roman"/>
        </w:rPr>
        <w:t xml:space="preserve"> sang nabi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ꦧꦼꦫꦢ</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ꦥꦼꦂꦲꦢꦥꦤ꧀</w:t>
      </w:r>
      <w:r>
        <w:rPr>
          <w:rFonts w:ascii="Times New Roman" w:hAnsi="Times New Roman" w:eastAsia="Times New Roman" w:cs="Times New Roman"/>
        </w:rPr>
        <w:t xml:space="preserve"> </w:t>
      </w:r>
      <w:r>
        <w:rPr>
          <w:rFonts w:ascii="Javanese Text" w:hAnsi="Javanese Text" w:eastAsia="Javanese Text" w:cs="Javanese Text"/>
        </w:rPr>
        <w:t>ꦭꦁꦱꦸꦁ</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ꦏꦸꦮꦱ</w:t>
      </w:r>
      <w:r>
        <w:rPr>
          <w:rFonts w:ascii="Times New Roman" w:hAnsi="Times New Roman" w:eastAsia="Times New Roman" w:cs="Times New Roman"/>
        </w:rPr>
        <w:t xml:space="preserve"> </w:t>
      </w:r>
      <w:r>
        <w:rPr>
          <w:rFonts w:ascii="Javanese Text" w:hAnsi="Javanese Text" w:eastAsia="Javanese Text" w:cs="Javanese Text"/>
        </w:rPr>
        <w:t>ꦠꦼꦫꦱꦼꦧꦸꦠ꧀</w:t>
      </w:r>
      <w:r>
        <w:rPr>
          <w:rFonts w:ascii="Times New Roman" w:hAnsi="Times New Roman" w:eastAsia="Times New Roman" w:cs="Times New Roman"/>
        </w:rPr>
        <w:t>.</w:t>
      </w:r>
    </w:p>
    <w:p>
      <w:pPr>
        <w:pStyle w:val="ArticleBody"/>
        <w:jc w:val="left"/>
      </w:pPr>
      <w:r>
        <w:rPr>
          <w:rFonts w:ascii="Microsoft Himalaya" w:hAnsi="Microsoft Himalaya" w:eastAsia="Microsoft Himalaya" w:cs="Microsoft Himalaya"/>
        </w:rPr>
        <w:t>ཨེ་ལི་ཡཱའི་ལོ་རྒྱུས་ནང་གི་གལ་ཆེའི་ཆ་ཤས་ཤིག་ནི་</w:t>
      </w:r>
      <w:r>
        <w:rPr>
          <w:rFonts w:ascii="Times New Roman" w:hAnsi="Times New Roman" w:eastAsia="Times New Roman" w:cs="Times New Roman"/>
        </w:rPr>
        <w:t>“</w:t>
      </w:r>
      <w:r>
        <w:rPr>
          <w:rFonts w:ascii="Microsoft Himalaya" w:hAnsi="Microsoft Himalaya" w:eastAsia="Microsoft Himalaya" w:cs="Microsoft Himalaya"/>
        </w:rPr>
        <w:t>ཆར་པ་</w:t>
      </w:r>
      <w:r>
        <w:rPr>
          <w:rFonts w:ascii="Times New Roman" w:hAnsi="Times New Roman" w:eastAsia="Times New Roman" w:cs="Times New Roman"/>
        </w:rPr>
        <w:t>”</w:t>
      </w:r>
      <w:r>
        <w:rPr>
          <w:rFonts w:ascii="Microsoft Himalaya" w:hAnsi="Microsoft Himalaya" w:eastAsia="Microsoft Himalaya" w:cs="Microsoft Himalaya"/>
        </w:rPr>
        <w:t>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འདིས་ནི་གདོང་ཐུག་གི་ལོ་རྒྱུས་ནང་དུ་བབས་པའི་ཕྱི་མའི་ཆར་པ་མཚོན་གྱི་ཡོད།</w:t>
      </w:r>
      <w:r>
        <w:rPr>
          <w:rFonts w:ascii="Times New Roman" w:hAnsi="Times New Roman" w:eastAsia="Times New Roman" w:cs="Times New Roman"/>
        </w:rPr>
        <w:t xml:space="preserve"> </w:t>
      </w:r>
      <w:r>
        <w:rPr>
          <w:rFonts w:ascii="Microsoft Himalaya" w:hAnsi="Microsoft Himalaya" w:eastAsia="Microsoft Himalaya" w:cs="Microsoft Himalaya"/>
        </w:rPr>
        <w:t>ཀར་མེལ་རི་བོའི་སྟེང་གི་གདོང་ཐུག་གི་སྔོན་དུ།</w:t>
      </w:r>
      <w:r>
        <w:rPr>
          <w:rFonts w:ascii="Times New Roman" w:hAnsi="Times New Roman" w:eastAsia="Times New Roman" w:cs="Times New Roman"/>
        </w:rPr>
        <w:t xml:space="preserve"> </w:t>
      </w:r>
      <w:r>
        <w:rPr>
          <w:rFonts w:ascii="Microsoft Himalaya" w:hAnsi="Microsoft Himalaya" w:eastAsia="Microsoft Himalaya" w:cs="Microsoft Himalaya"/>
        </w:rPr>
        <w:t>ཨེ་ལི་ཡཱས་ཁོང་གི་ཚིག་ལས་མ་གཏོགས་པར་ཆར་པ་མེད་པ་ཡིན་ཞེས་གསལ་པོར་བསྟན་ཡོད།</w:t>
      </w:r>
      <w:r>
        <w:rPr>
          <w:rFonts w:ascii="Times New Roman" w:hAnsi="Times New Roman" w:eastAsia="Times New Roman" w:cs="Times New Roman"/>
        </w:rPr>
        <w:t xml:space="preserve"> </w:t>
      </w:r>
      <w:r>
        <w:rPr>
          <w:rFonts w:ascii="Microsoft Himalaya" w:hAnsi="Microsoft Himalaya" w:eastAsia="Microsoft Himalaya" w:cs="Microsoft Himalaya"/>
        </w:rPr>
        <w:t>ཡེ་ཟེ་བེལ་གྱི་ཁྲིམས་ཆད་ཀྱི་</w:t>
      </w:r>
      <w:r>
        <w:rPr>
          <w:rFonts w:ascii="Times New Roman" w:hAnsi="Times New Roman" w:eastAsia="Times New Roman" w:cs="Times New Roman"/>
        </w:rPr>
        <w:t>“</w:t>
      </w:r>
      <w:r>
        <w:rPr>
          <w:rFonts w:ascii="Microsoft Himalaya" w:hAnsi="Microsoft Himalaya" w:eastAsia="Microsoft Himalaya" w:cs="Microsoft Himalaya"/>
        </w:rPr>
        <w:t>ཆུ་ཚོད་</w:t>
      </w:r>
      <w:r>
        <w:rPr>
          <w:rFonts w:ascii="Times New Roman" w:hAnsi="Times New Roman" w:eastAsia="Times New Roman" w:cs="Times New Roman"/>
        </w:rPr>
        <w:t>”</w:t>
      </w:r>
      <w:r>
        <w:rPr>
          <w:rFonts w:ascii="Microsoft Himalaya" w:hAnsi="Microsoft Himalaya" w:eastAsia="Microsoft Himalaya" w:cs="Microsoft Himalaya"/>
        </w:rPr>
        <w:t>ལ་སྔོན་དུ་འགྲོ་བའི་དུས་ཡུན་དེ་ནི།</w:t>
      </w:r>
      <w:r>
        <w:rPr>
          <w:rFonts w:ascii="Times New Roman" w:hAnsi="Times New Roman" w:eastAsia="Times New Roman" w:cs="Times New Roman"/>
        </w:rPr>
        <w:t xml:space="preserve"> </w:t>
      </w:r>
      <w:r>
        <w:rPr>
          <w:rFonts w:ascii="Microsoft Himalaya" w:hAnsi="Microsoft Himalaya" w:eastAsia="Microsoft Himalaya" w:cs="Microsoft Himalaya"/>
        </w:rPr>
        <w:t>དགོན་སྡེ་རྣམས་ལ་གནང་བའི་སྐད་གསལ་དང་པོར་སོ་སོར་ཕྱེ་བའི་</w:t>
      </w:r>
      <w:r>
        <w:rPr>
          <w:rFonts w:ascii="Times New Roman" w:hAnsi="Times New Roman" w:eastAsia="Times New Roman" w:cs="Times New Roman"/>
        </w:rPr>
        <w:t>“</w:t>
      </w:r>
      <w:r>
        <w:rPr>
          <w:rFonts w:ascii="Microsoft Himalaya" w:hAnsi="Microsoft Himalaya" w:eastAsia="Microsoft Himalaya" w:cs="Microsoft Himalaya"/>
        </w:rPr>
        <w:t>སྐད་</w:t>
      </w:r>
      <w:r>
        <w:rPr>
          <w:rFonts w:ascii="Times New Roman" w:hAnsi="Times New Roman" w:eastAsia="Times New Roman" w:cs="Times New Roman"/>
        </w:rPr>
        <w:t>”</w:t>
      </w:r>
      <w:r>
        <w:rPr>
          <w:rFonts w:ascii="Microsoft Himalaya" w:hAnsi="Microsoft Himalaya" w:eastAsia="Microsoft Himalaya" w:cs="Microsoft Himalaya"/>
        </w:rPr>
        <w:t>ཀྱིས་མཚོན་པའི་དུས་ཡུན་ཡིན།</w:t>
      </w:r>
      <w:r>
        <w:rPr>
          <w:rFonts w:ascii="Times New Roman" w:hAnsi="Times New Roman" w:eastAsia="Times New Roman" w:cs="Times New Roman"/>
        </w:rPr>
        <w:t xml:space="preserve"> “</w:t>
      </w:r>
      <w:r>
        <w:rPr>
          <w:rFonts w:ascii="Microsoft Himalaya" w:hAnsi="Microsoft Himalaya" w:eastAsia="Microsoft Himalaya" w:cs="Microsoft Himalaya"/>
        </w:rPr>
        <w:t>སྐད་</w:t>
      </w:r>
      <w:r>
        <w:rPr>
          <w:rFonts w:ascii="Times New Roman" w:hAnsi="Times New Roman" w:eastAsia="Times New Roman" w:cs="Times New Roman"/>
        </w:rPr>
        <w:t>”</w:t>
      </w:r>
      <w:r>
        <w:rPr>
          <w:rFonts w:ascii="Microsoft Himalaya" w:hAnsi="Microsoft Himalaya" w:eastAsia="Microsoft Himalaya" w:cs="Microsoft Himalaya"/>
        </w:rPr>
        <w:t>དེ་ནི་</w:t>
      </w:r>
      <w:r>
        <w:rPr>
          <w:rFonts w:ascii="Times New Roman" w:hAnsi="Times New Roman" w:eastAsia="Times New Roman" w:cs="Times New Roman"/>
        </w:rPr>
        <w:t xml:space="preserve">2001 </w:t>
      </w:r>
      <w:r>
        <w:rPr>
          <w:rFonts w:ascii="Microsoft Himalaya" w:hAnsi="Microsoft Himalaya" w:eastAsia="Microsoft Himalaya" w:cs="Microsoft Himalaya"/>
        </w:rPr>
        <w:t>ལོའི་ཟླ་</w:t>
      </w:r>
      <w:r>
        <w:rPr>
          <w:rFonts w:ascii="Times New Roman" w:hAnsi="Times New Roman" w:eastAsia="Times New Roman" w:cs="Times New Roman"/>
        </w:rPr>
        <w:t xml:space="preserve"> 9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ཉིན་ལ་འབྱོར་བ་དང་།</w:t>
      </w:r>
      <w:r>
        <w:rPr>
          <w:rFonts w:ascii="Times New Roman" w:hAnsi="Times New Roman" w:eastAsia="Times New Roman" w:cs="Times New Roman"/>
        </w:rPr>
        <w:t xml:space="preserve"> </w:t>
      </w:r>
      <w:r>
        <w:rPr>
          <w:rFonts w:ascii="Microsoft Himalaya" w:hAnsi="Microsoft Himalaya" w:eastAsia="Microsoft Himalaya" w:cs="Microsoft Himalaya"/>
        </w:rPr>
        <w:t>དུས་ཡུན་དེའི་ནང་</w:t>
      </w:r>
      <w:r>
        <w:rPr>
          <w:rFonts w:ascii="Times New Roman" w:hAnsi="Times New Roman" w:eastAsia="Times New Roman" w:cs="Times New Roman"/>
        </w:rPr>
        <w:t>“</w:t>
      </w:r>
      <w:r>
        <w:rPr>
          <w:rFonts w:ascii="Microsoft Himalaya" w:hAnsi="Microsoft Himalaya" w:eastAsia="Microsoft Himalaya" w:cs="Microsoft Himalaya"/>
        </w:rPr>
        <w:t>ཆར་པ་</w:t>
      </w:r>
      <w:r>
        <w:rPr>
          <w:rFonts w:ascii="Times New Roman" w:hAnsi="Times New Roman" w:eastAsia="Times New Roman" w:cs="Times New Roman"/>
        </w:rPr>
        <w:t>”</w:t>
      </w:r>
      <w:r>
        <w:rPr>
          <w:rFonts w:ascii="Microsoft Himalaya" w:hAnsi="Microsoft Himalaya" w:eastAsia="Microsoft Himalaya" w:cs="Microsoft Himalaya"/>
        </w:rPr>
        <w:t>ནི་</w:t>
      </w:r>
      <w:r>
        <w:rPr>
          <w:rFonts w:ascii="Times New Roman" w:hAnsi="Times New Roman" w:eastAsia="Times New Roman" w:cs="Times New Roman"/>
        </w:rPr>
        <w:t>“</w:t>
      </w:r>
      <w:r>
        <w:rPr>
          <w:rFonts w:ascii="Microsoft Himalaya" w:hAnsi="Microsoft Himalaya" w:eastAsia="Microsoft Himalaya" w:cs="Microsoft Himalaya"/>
        </w:rPr>
        <w:t>ཚད་འཇལ་</w:t>
      </w:r>
      <w:r>
        <w:rPr>
          <w:rFonts w:ascii="Times New Roman" w:hAnsi="Times New Roman" w:eastAsia="Times New Roman" w:cs="Times New Roman"/>
        </w:rPr>
        <w:t>”</w:t>
      </w:r>
      <w:r>
        <w:rPr>
          <w:rFonts w:ascii="Microsoft Himalaya" w:hAnsi="Microsoft Himalaya" w:eastAsia="Microsoft Himalaya" w:cs="Microsoft Himalaya"/>
        </w:rPr>
        <w:t>བ་ཙམ་ཞིག་བྱས་པ་ཡིན།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དེའི་དུས་སྐབས་སུ།</w:t>
      </w:r>
      <w:r>
        <w:rPr>
          <w:rFonts w:ascii="Times New Roman" w:hAnsi="Times New Roman" w:eastAsia="Times New Roman" w:cs="Times New Roman"/>
        </w:rPr>
        <w:t xml:space="preserve"> </w:t>
      </w:r>
      <w:r>
        <w:rPr>
          <w:rFonts w:ascii="Microsoft Himalaya" w:hAnsi="Microsoft Himalaya" w:eastAsia="Microsoft Himalaya" w:cs="Microsoft Himalaya"/>
        </w:rPr>
        <w:t>ཧ་བ་ཀུག་གི་རྩོད་གླེང་དང་འབྲེལ་བའི་ཕྱི་མའི་ཆར་པའི་འཕྲིན་བཟང་གཉིས་འགྲན་རྩོད་བྱེད་མཁན་ཡོད་དེ།</w:t>
      </w:r>
      <w:r>
        <w:rPr>
          <w:rFonts w:ascii="Times New Roman" w:hAnsi="Times New Roman" w:eastAsia="Times New Roman" w:cs="Times New Roman"/>
        </w:rPr>
        <w:t xml:space="preserve"> </w:t>
      </w:r>
      <w:r>
        <w:rPr>
          <w:rFonts w:ascii="Microsoft Himalaya" w:hAnsi="Microsoft Himalaya" w:eastAsia="Microsoft Himalaya" w:cs="Microsoft Himalaya"/>
        </w:rPr>
        <w:t>གཅིག་ནི་ཏམ་མུས་སུ་ངུ་འབོད་བྱེད་པའི་རྫུན་མའི་འཕྲིན་བཟང་ཡིན་པ་དང་།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དེས་</w:t>
      </w:r>
      <w:r>
        <w:rPr>
          <w:rFonts w:ascii="Times New Roman" w:hAnsi="Times New Roman" w:eastAsia="Times New Roman" w:cs="Times New Roman"/>
        </w:rPr>
        <w:t>“</w:t>
      </w:r>
      <w:r>
        <w:rPr>
          <w:rFonts w:ascii="Microsoft Himalaya" w:hAnsi="Microsoft Himalaya" w:eastAsia="Microsoft Himalaya" w:cs="Microsoft Himalaya"/>
        </w:rPr>
        <w:t>ཞི་བདེ་དང་བདེ་འཇགས་ཀྱི་འཕྲིན་པ་</w:t>
      </w:r>
      <w:r>
        <w:rPr>
          <w:rFonts w:ascii="Times New Roman" w:hAnsi="Times New Roman" w:eastAsia="Times New Roman" w:cs="Times New Roman"/>
        </w:rPr>
        <w:t>”</w:t>
      </w:r>
      <w:r>
        <w:rPr>
          <w:rFonts w:ascii="Microsoft Himalaya" w:hAnsi="Microsoft Himalaya" w:eastAsia="Microsoft Himalaya" w:cs="Microsoft Himalaya"/>
        </w:rPr>
        <w:t>ཞིག་མཚོན་ཡོད།</w:t>
      </w:r>
      <w:r>
        <w:rPr>
          <w:rFonts w:ascii="Times New Roman" w:hAnsi="Times New Roman" w:eastAsia="Times New Roman" w:cs="Times New Roman"/>
        </w:rPr>
        <w:t xml:space="preserve"> </w:t>
      </w:r>
      <w:r>
        <w:rPr>
          <w:rFonts w:ascii="Microsoft Himalaya" w:hAnsi="Microsoft Himalaya" w:eastAsia="Microsoft Himalaya" w:cs="Microsoft Himalaya"/>
        </w:rPr>
        <w:t>གཞན་ནི་ཨིས་ལམ་གྱི་འཇིགས་སྐུལ་གསུམ་པའི་བདེན་པའི་འཕྲིན་པ་ཡིན།</w:t>
      </w:r>
    </w:p>
    <w:p>
      <w:pPr>
        <w:pStyle w:val="ArticleBody"/>
        <w:jc w:val="left"/>
      </w:pPr>
      <w:r>
        <w:rPr>
          <w:rFonts w:ascii="Times New Roman" w:hAnsi="Times New Roman" w:eastAsia="Times New Roman" w:cs="Times New Roman"/>
        </w:rPr>
        <w:t>Ujumbe wa kweli wa “mvua ya mwisho” ulitegemea jukumu la Uislamu la Ole wa tatu. Ujumbe huo ulianzia katika chanzo kimoja (ambacho kilikuwa Future for America), na jumbe hizo mbili zilishindana kwa ukuu hadi historia ilipothibitisha uhalali wa ujumbe wa kweli, na pia ikathibitisha upumbavu wa ujumbe wa “amani na salama” katika wakati kama huu.</w:t>
      </w:r>
    </w:p>
    <w:p>
      <w:pPr>
        <w:pStyle w:val="ArticleScripture"/>
        <w:jc w:val="left"/>
      </w:pPr>
      <w:r>
        <w:rPr>
          <w:rFonts w:ascii="Times New Roman" w:hAnsi="Times New Roman" w:eastAsia="Times New Roman" w:cs="Times New Roman"/>
        </w:rPr>
        <w:t>« Les prophéties de Daniel et de Jean doivent être comprises. Elles s’interprètent l’une l’autre. Elles donnent au monde des vérités que chacun devrait comprendre. Ces prophéties doivent rendre témoignage dans le monde. Par leur accomplissement en ces derniers jours, elles s’expliqueront elles-mêmes. » Kress Collection, 105.</w:t>
      </w:r>
    </w:p>
    <w:p>
      <w:pPr>
        <w:pStyle w:val="ArticleBody"/>
        <w:jc w:val="left"/>
      </w:pPr>
      <w:r>
        <w:rPr>
          <w:rFonts w:ascii="Times New Roman" w:hAnsi="Times New Roman" w:eastAsia="Times New Roman" w:cs="Times New Roman"/>
        </w:rPr>
        <w:t>La première réalisation d’Élie, dans la triple application d’Élie, est confirmée par le second Élie, que Jésus a identifié comme Jean-Baptiste. Ensemble, ces deux témoins établissent le troisième Élie.</w:t>
      </w:r>
    </w:p>
    <w:p>
      <w:pPr>
        <w:pStyle w:val="ArticleScripture"/>
        <w:jc w:val="left"/>
      </w:pPr>
      <w:r>
        <w:rPr>
          <w:rFonts w:ascii="Times New Roman" w:hAnsi="Times New Roman" w:eastAsia="Times New Roman" w:cs="Times New Roman"/>
        </w:rPr>
        <w:t>Na ka holo akula lākou, hoʻomaka maila ʻo Iesū e ʻōlelo aku i nā lehulehu no Ioane, He aha kā ʻoukou i hele aku ai i ka wao nahele e ʻike ai? He ʻohe anei i luliluli ʻia e ka makani? Akā, he aha kā ʻoukou i hele aku ai e ʻike? He kanaka i ʻaʻahu ʻia i nā kapa palupalu? Aia hoʻi, ʻo ka poʻe e ʻaʻahu ana i nā kapa palupalu, aia lākou i loko o nā hale aliʻi. Akā, he aha kā ʻoukou i hele aku ai e ʻike? He kāula anei? ʻAe, ke ʻōlelo aku nei au iā ʻoukou, a ʻoi aku hoʻi ma mua o ke kāula. No ka mea, ʻo ia kēia, nona ka mea i kākau ʻia, Aia hoʻi, ke hoʻouna aku nei au i koʻu ʻelele ma mua o kou alo, nāna e hoʻomākaukau i kou ala i mua ou. He ʻoiaʻiʻo kaʻu e ʻōlelo aku nei iā ʻoukou, I waena o ka poʻe i hānau ʻia e nā wāhine, ʻaʻohe mea i kū mai i ʻoi aku ka nui ma mua o Ioane Bapetite; akā naʻe, ʻo ka mea ʻuʻuku loa i ke aupuni o ka lani, ʻoi aku nō ia ma mua ona. A mai nā lā mai o Ioane Bapetite a hiki i kēia manawa, ke ʻeha wale ʻia nei ke aupuni o ka lani e ka ikaika, a na ka poʻe ikaika nō ia e lawe pio ai. No ka mea, ʻo nā kāula a pau, a me ke kānāwai, ua wānana mai lākou a hiki iā Ioane. A inā e ʻae mai ʻoukou i kēia, ʻo ia nō ʻo ʻElia, ka mea e hele mai ana. ʻO ka mea he pepeiao kona e hoʻolohe ai, e hoʻolohe ia. Mataio 11:7–15.</w:t>
      </w:r>
    </w:p>
    <w:p>
      <w:pPr>
        <w:pStyle w:val="ArticleBody"/>
        <w:jc w:val="left"/>
      </w:pPr>
      <w:r>
        <w:rPr>
          <w:rFonts w:ascii="Times New Roman" w:hAnsi="Times New Roman" w:eastAsia="Times New Roman" w:cs="Times New Roman"/>
        </w:rPr>
        <w:t>Pu ga sošetsa pele thuto ye sehlogong se se latelago.</w:t>
      </w:r>
    </w:p>
    <w:p>
      <w:pPr>
        <w:pStyle w:val="ArticleScripture"/>
        <w:jc w:val="left"/>
      </w:pPr>
      <w:r>
        <w:rPr>
          <w:rFonts w:ascii="Times New Roman" w:hAnsi="Times New Roman" w:eastAsia="Times New Roman" w:cs="Times New Roman"/>
        </w:rPr>
        <w:t>“امروز، در روح و قدرت ایلیا و یحییِ تعمیددهنده، پیام‌آورانی که به تعیین خدا منصوب شده‌اند، توجه جهانی را که محکوم به داوری است به رویدادهای پرهیبت و قریب‌الوقوعی جلب می‌کنند که در پیوند با واپسین ساعات مهلتِ آزمون و ظهور مسیحْ عیسی به‌عنوان پادشاهِ پادشاهان و ربّ‌الارباب به وقوع خواهد پیوست. به‌زودی هر انسان برای اعمالی که در جسم به‌جا آورده است داوری خواهد شد. ساعتِ داوریِ خدا فرارسیده است، و بر اعضای کلیسای او بر زمین این مسئولیت خطیر قرار دارد که به کسانی که، چنان‌که گویی، بر لبِ پرتگاهِ هلاکتِ ابدی ایستاده‌اند هشدار دهند. برای هر انسانی در سراسر جهان که گوشِ شنوا داشته باشد، باید اصولی که در این نبرد عظیمِ جاری در معرض داوری است به‌روشنی آشکار گردد؛ اصولی که سرنوشتِ تمامی نوع بشر به آن‌ها وابسته است.”</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在这人类恩典时期最后的时辰里</w:t>
      </w:r>
      <w:r>
        <w:rPr>
          <w:rFonts w:ascii="Times New Roman" w:hAnsi="Times New Roman" w:eastAsia="Times New Roman" w:cs="Times New Roman"/>
        </w:rPr>
        <w:t>,</w:t>
      </w:r>
      <w:r>
        <w:rPr>
          <w:rFonts w:ascii="Microsoft YaHei" w:hAnsi="Microsoft YaHei" w:eastAsia="Microsoft YaHei" w:cs="Microsoft YaHei"/>
        </w:rPr>
        <w:t>当每一个灵魂的命运不久便要永远决定之时</w:t>
      </w:r>
      <w:r>
        <w:rPr>
          <w:rFonts w:ascii="Times New Roman" w:hAnsi="Times New Roman" w:eastAsia="Times New Roman" w:cs="Times New Roman"/>
        </w:rPr>
        <w:t>,</w:t>
      </w:r>
      <w:r>
        <w:rPr>
          <w:rFonts w:ascii="Microsoft YaHei" w:hAnsi="Microsoft YaHei" w:eastAsia="Microsoft YaHei" w:cs="Microsoft YaHei"/>
        </w:rPr>
        <w:t>天地的主期望祂的教会奋起行动</w:t>
      </w:r>
      <w:r>
        <w:rPr>
          <w:rFonts w:ascii="Times New Roman" w:hAnsi="Times New Roman" w:eastAsia="Times New Roman" w:cs="Times New Roman"/>
        </w:rPr>
        <w:t>,</w:t>
      </w:r>
      <w:r>
        <w:rPr>
          <w:rFonts w:ascii="Microsoft YaHei" w:hAnsi="Microsoft YaHei" w:eastAsia="Microsoft YaHei" w:cs="Microsoft YaHei"/>
        </w:rPr>
        <w:t>前所未有</w:t>
      </w:r>
      <w:r>
        <w:rPr>
          <w:rFonts w:ascii="Times New Roman" w:hAnsi="Times New Roman" w:eastAsia="Times New Roman" w:cs="Times New Roman"/>
        </w:rPr>
        <w:t>.</w:t>
      </w:r>
      <w:r>
        <w:rPr>
          <w:rFonts w:ascii="Microsoft YaHei" w:hAnsi="Microsoft YaHei" w:eastAsia="Microsoft YaHei" w:cs="Microsoft YaHei"/>
        </w:rPr>
        <w:t>那些借着认识宝贵真理而在基督里得了自由的人</w:t>
      </w:r>
      <w:r>
        <w:rPr>
          <w:rFonts w:ascii="Times New Roman" w:hAnsi="Times New Roman" w:eastAsia="Times New Roman" w:cs="Times New Roman"/>
        </w:rPr>
        <w:t>,</w:t>
      </w:r>
      <w:r>
        <w:rPr>
          <w:rFonts w:ascii="Microsoft YaHei" w:hAnsi="Microsoft YaHei" w:eastAsia="Microsoft YaHei" w:cs="Microsoft YaHei"/>
        </w:rPr>
        <w:t>被主耶稣看作祂所拣选的人</w:t>
      </w:r>
      <w:r>
        <w:rPr>
          <w:rFonts w:ascii="Times New Roman" w:hAnsi="Times New Roman" w:eastAsia="Times New Roman" w:cs="Times New Roman"/>
        </w:rPr>
        <w:t>,</w:t>
      </w:r>
      <w:r>
        <w:rPr>
          <w:rFonts w:ascii="Microsoft YaHei" w:hAnsi="Microsoft YaHei" w:eastAsia="Microsoft YaHei" w:cs="Microsoft YaHei"/>
        </w:rPr>
        <w:t>在地上一切人民之上蒙恩眷顾</w:t>
      </w:r>
      <w:r>
        <w:rPr>
          <w:rFonts w:ascii="Times New Roman" w:hAnsi="Times New Roman" w:eastAsia="Times New Roman" w:cs="Times New Roman"/>
        </w:rPr>
        <w:t>;</w:t>
      </w:r>
      <w:r>
        <w:rPr>
          <w:rFonts w:ascii="Microsoft YaHei" w:hAnsi="Microsoft YaHei" w:eastAsia="Microsoft YaHei" w:cs="Microsoft YaHei"/>
        </w:rPr>
        <w:t>祂正指望他们宣扬那召他们出黑暗入奇妙光明者的美德</w:t>
      </w:r>
      <w:r>
        <w:rPr>
          <w:rFonts w:ascii="Times New Roman" w:hAnsi="Times New Roman" w:eastAsia="Times New Roman" w:cs="Times New Roman"/>
        </w:rPr>
        <w:t>.</w:t>
      </w:r>
      <w:r>
        <w:rPr>
          <w:rFonts w:ascii="Microsoft YaHei" w:hAnsi="Microsoft YaHei" w:eastAsia="Microsoft YaHei" w:cs="Microsoft YaHei"/>
        </w:rPr>
        <w:t>那丰丰富富赐下的福惠</w:t>
      </w:r>
      <w:r>
        <w:rPr>
          <w:rFonts w:ascii="Times New Roman" w:hAnsi="Times New Roman" w:eastAsia="Times New Roman" w:cs="Times New Roman"/>
        </w:rPr>
        <w:t>,</w:t>
      </w:r>
      <w:r>
        <w:rPr>
          <w:rFonts w:ascii="Microsoft YaHei" w:hAnsi="Microsoft YaHei" w:eastAsia="Microsoft YaHei" w:cs="Microsoft YaHei"/>
        </w:rPr>
        <w:t>应当传递给别人</w:t>
      </w:r>
      <w:r>
        <w:rPr>
          <w:rFonts w:ascii="Times New Roman" w:hAnsi="Times New Roman" w:eastAsia="Times New Roman" w:cs="Times New Roman"/>
        </w:rPr>
        <w:t>.</w:t>
      </w:r>
      <w:r>
        <w:rPr>
          <w:rFonts w:ascii="Microsoft YaHei" w:hAnsi="Microsoft YaHei" w:eastAsia="Microsoft YaHei" w:cs="Microsoft YaHei"/>
        </w:rPr>
        <w:t>救恩的佳音要传到各邦、各族、各方、各民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nnam-ani-hu nke ndị amụma oge ochie, e gosipụtara Onyenwe ebube dịka Onye na-awụkwasị Nzukọ Ya ìhè pụrụ iche n’ụbọchị ọchịchịrị na ekweghị ekwe ndị na-ebute ọbịbịa Ya nke abụọ. Dị ka Anyanwụ nke Ezi Omume, Ọ ga-abịakwasị Nzukọ Ya, ‘ya na ọgwụgwọ n’ụkwụ nku Ya.’ Malaki 4:2. Sitekwa n’aka ezi nwaakwụkwọ ọ bụla, a ga-agbasa mmetụta nke na-eweta ndụ, obi ike, enyemaka, na ezi ọgwụgwọ.”</w:t>
      </w:r>
    </w:p>
    <w:p>
      <w:pPr>
        <w:pStyle w:val="ArticleScripture"/>
        <w:jc w:val="left"/>
      </w:pPr>
      <w:r>
        <w:rPr>
          <w:rFonts w:ascii="Times New Roman" w:hAnsi="Times New Roman" w:eastAsia="Times New Roman" w:cs="Times New Roman"/>
        </w:rPr>
        <w:t>« La venue du Christ aura lieu durant la période la plus sombre de l’histoire de cette terre. Les jours de Noé et de Lot représentent l’état du monde immédiatement avant la venue du Fils de l’homme. Les Écritures, désignant prophétiquement ce temps, déclarent que Satan agira avec toute puissance et « avec toutes les séductions de l’iniquité ». 2 Thessaloniciens 2:9, 10. Son action se manifeste clairement dans les ténèbres qui s’épaississent rapidement, ainsi que dans les erreurs, les hérésies et les illusions innombrables de ces derniers jours. Non seulement Satan tient le monde en captivité, mais ses séductions imprègnent aussi les Églises qui professent appartenir à notre Seigneur Jésus-Christ. La grande apostasie se développera en des ténèbres profondes comme la nuit de minuit. Pour le peuple de Dieu, ce sera une nuit d’épreuve, une nuit de pleurs, une nuit de persécution à cause de la vérité. Mais de cette nuit de ténèbres resplendira la lumière de Dieu. » Prophètes et Rois,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Quatre-vingt-seize</dc:title>
  <dc:subject>La Triple Application de la Prophétie : Déverrouiller le cadre prophétique des derniers jours</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