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Tisini na Nane</w:t>
      </w:r>
    </w:p>
    <w:p>
      <w:pPr>
        <w:pStyle w:val="ArticleSubtitle"/>
        <w:jc w:val="left"/>
      </w:pPr>
      <w:r>
        <w:rPr>
          <w:rFonts w:ascii="Arial" w:hAnsi="Arial" w:eastAsia="Arial" w:cs="Arial"/>
        </w:rPr>
        <w:t>Utatu wa Matumizi ya Eliya na Hukumu ya Siku za Mwisho: Kuelewa Awamu za Upelelezi na Utekelezaji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L’application triple d’Élie a identifié que, dans les derniers jours, il y aurait un Élie au commencement des derniers jours et à la fin des derniers jours. Les « derniers jours » sont les jours du jugement, lequel est progressif et se divise en deux types de jugement. Le jugement investigatif, qui a commencé au commencement des derniers jours, et le jugement exécutif, qui a lieu à la fin des derniers jours. L’application triple d’Élie représente principalement l’histoire du jugement exécutif, qui commence à l’imminence de la loi du dimanche.</w:t>
      </w:r>
    </w:p>
    <w:p>
      <w:pPr>
        <w:pStyle w:val="ArticleBody"/>
        <w:jc w:val="left"/>
      </w:pPr>
      <w:r>
        <w:rPr>
          <w:rFonts w:ascii="Times New Roman" w:hAnsi="Times New Roman" w:eastAsia="Times New Roman" w:cs="Times New Roman"/>
        </w:rPr>
        <w:t>Jipisþiha tari iññaqtaqtuq kisiani taakkununnga kisiani, ukuat nalunaipkutingitut Maligumautijaujumavlutik Guutimut, hivulliqpaamik nalunaiqtaullugu toqqaannartumik uqariiqsimaarnikkut, kisiani ikinnerpaanik pisuni ilaliullugu toqqaannanngitsumik inuuniarnikkut nalunaiqtautikkut.</w:t>
      </w:r>
    </w:p>
    <w:p>
      <w:pPr>
        <w:pStyle w:val="ArticleScripture"/>
        <w:jc w:val="left"/>
      </w:pPr>
      <w:r>
        <w:rPr>
          <w:rFonts w:ascii="Times New Roman" w:hAnsi="Times New Roman" w:eastAsia="Times New Roman" w:cs="Times New Roman"/>
        </w:rPr>
        <w:t>(Car ce ne sont pas ceux qui écoutent la loi qui sont justes devant Dieu, mais ce sont ceux qui mettent la loi en pratique qui seront justifiés. Quand les païens, qui n’ont point la loi, font naturellement ce que prescrit la loi, eux qui n’ont point la loi, ils sont une loi pour eux-mêmes; ils montrent que l’œuvre de la loi est écrite dans leurs cœurs, leur conscience en rendant témoignage, et leurs pensées s’accusant ou se défendant tour à tour.) Romains 2:13–15.</w:t>
      </w:r>
    </w:p>
    <w:p>
      <w:pPr>
        <w:pStyle w:val="ArticleBody"/>
        <w:jc w:val="left"/>
      </w:pPr>
      <w:r>
        <w:rPr>
          <w:rFonts w:ascii="Times New Roman" w:hAnsi="Times New Roman" w:eastAsia="Times New Roman" w:cs="Times New Roman"/>
        </w:rPr>
        <w:t>Faamasinoga su‘esu‘e e lua ona vaevaega autū, auā na amata i le su‘esu‘eina o olaga o ē ua oti (mai aso o Atamu aga‘i i luma), o ē na tautino sa talitonu i le Atua moni, ma iā Setema 11, 2001, na amata ai le faagasologa o le “faamasinoga” su‘esu‘e o ē o ola. E iai fo‘i se isi vaevaega o le faamasinoga su‘esu‘e, e sili atu nai lo le na o ē ua oti ma ē o ola, auā e amata le faamasinoga i le aiga o le Atua, ma i aso e gata ai o le aiga o le Atua o le Adventism Laotisea. A uma loa le faamasinoga o le aiga o le Atua i le tulafono o le Aso Sa o loo lata mai, ona faamasinoina lea o le isi lafu a le Atua o loo i Papelonia i lenā taimi.</w:t>
      </w:r>
    </w:p>
    <w:p>
      <w:pPr>
        <w:pStyle w:val="ArticleBody"/>
        <w:jc w:val="left"/>
      </w:pPr>
      <w:r>
        <w:rPr>
          <w:rFonts w:ascii="Times New Roman" w:hAnsi="Times New Roman" w:eastAsia="Times New Roman" w:cs="Times New Roman"/>
        </w:rPr>
        <w:t>Хоҷасозии иҷрошаванда ҷазои Худо бар онҳост, ки пешниҳоди наҷоти Ӯро рад карданд. Хоҷасозии иҷрошаванда аз қонуни наздикояндаи якшанбе оғоз меёбад. Он гоҳ Иёлоти Муттаҳида пиёлаи ғазаби худро, ки ҳамчунин пиёлаи замони имтиҳони он аст, пур хоҳад кард, ва аз пайи муртадии миллӣ харобии миллӣ хоҳад омад. Ҳар миллате бар рӯи тамоми сайёраи замин намунаи Иёлоти Муттаҳидаро дар ҷорӣ кардани қонуни якшанбе пайравӣ хоҳад кард, ва ҳар яке аз он миллатҳо низ он гоҳ пиёлаҳои худро пур карда, ҳамчунин харобии миллиро хоҳанд дид.</w:t>
      </w:r>
    </w:p>
    <w:p>
      <w:pPr>
        <w:pStyle w:val="ArticleScripture"/>
        <w:jc w:val="left"/>
      </w:pPr>
      <w:r>
        <w:rPr>
          <w:rFonts w:ascii="Times New Roman" w:hAnsi="Times New Roman" w:eastAsia="Times New Roman" w:cs="Times New Roman"/>
        </w:rPr>
        <w:t>«Mara tu Amerika, nchi ya uhuru wa kidini, itakapoungana na Upapa katika kulazimisha dhamiri na kuwashurutisha watu kuiheshimu sabato ya uongo, watu wa kila nchi duniani wataongozwa kufuata mfano wake.» Testimonies, juzuu ya 6, 18.</w:t>
      </w:r>
    </w:p>
    <w:p>
      <w:pPr>
        <w:pStyle w:val="ArticleBody"/>
        <w:jc w:val="left"/>
      </w:pPr>
      <w:r>
        <w:rPr>
          <w:rFonts w:ascii="Times New Roman" w:hAnsi="Times New Roman" w:eastAsia="Times New Roman" w:cs="Times New Roman"/>
        </w:rPr>
        <w:t>Le jugement exécutif se divise également en deux parties. Depuis la loi du dimanche aux États-Unis jusqu’à la fin du temps de grâce pour l’humanité, lorsque Michel se lèvera, les jugements de Dieu sont mêlés de miséricorde; mais lorsque Michel se lèvera, la colère de Dieu, telle qu’elle est représentée par l’effusion des sept dernières plaies, ne contient aucune miséricorde. Durant la période de la crise de la loi du dimanche, les jugements exécutifs exercés sur les hommes et les nations seront mêlés de miséricorde, car il y aura encore dans Babylone certains qui recevront alors l’occasion de comprendre la distinction entre l’adoration du sabbat et celle du dimanche.</w:t>
      </w:r>
    </w:p>
    <w:p>
      <w:pPr>
        <w:pStyle w:val="ArticleScripture"/>
        <w:jc w:val="left"/>
      </w:pPr>
      <w:r>
        <w:rPr>
          <w:rFonts w:ascii="Times New Roman" w:hAnsi="Times New Roman" w:eastAsia="Times New Roman" w:cs="Times New Roman"/>
        </w:rPr>
        <w:t>“О, если бы народ знал время своего посещения! Есть многие, которые ещё не слышали испытывающей истины для настоящего времени. Есть многие, с кем борется Дух Божий. Время разрушительных судов Божиих есть время милости для тех, кто не имел возможности узнать, что есть истина. С нежностью воззрит на них Господь. Его милосердное сердце тронуто; Его рука всё ещё простёрта, чтобы спасать, тогда как дверь закрыта для тех, кто не пожелал войти.</w:t>
      </w:r>
    </w:p>
    <w:p>
      <w:pPr>
        <w:pStyle w:val="ArticleScripture"/>
        <w:jc w:val="left"/>
      </w:pPr>
      <w:r>
        <w:rPr>
          <w:rFonts w:ascii="Times New Roman" w:hAnsi="Times New Roman" w:eastAsia="Times New Roman" w:cs="Times New Roman"/>
        </w:rPr>
        <w:t>« La miséricorde de Dieu se manifeste dans sa longue patience. Il retient ses jugements, attendant que le message d’avertissement soit proclamé à tous. Oh, si notre peuple ressentait comme il le devrait la responsabilité qui repose sur lui de donner au monde le dernier message de miséricorde, quelle œuvre merveilleuse serait accomplie ! » Testimonies, volume 9, p. 97.</w:t>
      </w:r>
    </w:p>
    <w:p>
      <w:pPr>
        <w:pStyle w:val="ArticleBody"/>
        <w:jc w:val="left"/>
      </w:pPr>
      <w:r>
        <w:rPr>
          <w:rFonts w:ascii="Times New Roman" w:hAnsi="Times New Roman" w:eastAsia="Times New Roman" w:cs="Times New Roman"/>
        </w:rPr>
        <w:t>Il “tempo dei giudizi distruttivi di Dio è il tempo della misericordia per coloro che non hanno avuto alcuna opportunità di apprendere che cosa sia la verità”. Quei due “tempi” cominciano insieme quando “la porta è chiusa” sugli Avventisti Laodicei “che non vollero entrare”.</w:t>
      </w:r>
    </w:p>
    <w:p>
      <w:pPr>
        <w:pStyle w:val="ArticleScripture"/>
        <w:jc w:val="left"/>
      </w:pPr>
      <w:r>
        <w:rPr>
          <w:rFonts w:ascii="Times New Roman" w:hAnsi="Times New Roman" w:eastAsia="Times New Roman" w:cs="Times New Roman"/>
        </w:rPr>
        <w:t>“Ndzi vonile leswaku Savata yo kwetsima i, naswona yi ta tshama yi ri, rirhangu leri hambanisaka Israele wa Xikwembu wa ntiyiso ni lava nga pfumeriki; naswona leswaku Savata hi yona mhaka leyikulu, yo hlanganisa timbilu ta vakwetsimi va Xikwembu lava rhandzekaka, lava rindzeleke. Naswona loko munhu a pfumerile, a hlayisa Savata, a amukerile mikateko leyi fambisanaka na yona, kutani endzhaku a yi tshika, a tlula nawu lowo kwetsima, a a ta tivalela tinyangwa ta Muti lowo Kwetsima, hilaha swi tiyeke hakona leswaku ku ni Xikwembu lexi fumaka etilweni ehenhla. Ndzi vonile leswaku Xikwembu a xi ri ni vana, lava nga yi voniki naswona va nga yi hlayisiki Savata. A va si ala ku vonakala loku ehenhla ka yona. Naswona eku sunguleni ka nkarhi wa mahlomulo, hi tele hi Moya lowo Kwetsima loko hi huma hi ya twarisa Savata hi ku helela lokukulu. Leswi swi hlundzukise kereke ni Vaadventista va vito ntsena, hikuva a va nga swi koti ku kaneta ntiyiso wa Savata. Naswona hi nkarhi lowu, vahlawuriwa va Xikwembu hinkwavo va vone hi ku tshembeka leswaku a hi ri ni ntiyiso, kutani va huma va ta tiyisela ku xanisiwa swin’we na hina.” A Word to the Little Flock, 18, 19.</w:t>
      </w:r>
    </w:p>
    <w:p>
      <w:pPr>
        <w:pStyle w:val="ArticleBody"/>
        <w:jc w:val="left"/>
      </w:pPr>
      <w:r>
        <w:rPr>
          <w:rFonts w:ascii="Times New Roman" w:hAnsi="Times New Roman" w:eastAsia="Times New Roman" w:cs="Times New Roman"/>
        </w:rPr>
        <w:t>La porte se ferme lors de la loi dominicale imminente, faisant de la période qui précède la loi dominicale « le temps » de la « visitation » du peuple de Dieu.</w:t>
      </w:r>
    </w:p>
    <w:p>
      <w:pPr>
        <w:pStyle w:val="ArticleScripture"/>
        <w:jc w:val="left"/>
      </w:pPr>
      <w:r>
        <w:rPr>
          <w:rFonts w:ascii="Times New Roman" w:hAnsi="Times New Roman" w:eastAsia="Times New Roman" w:cs="Times New Roman"/>
        </w:rPr>
        <w:t>Comment dites-vous: Nous sommes sages, et la loi de l’Éternel est avec nous? Voici, c’est en vain qu’il l’a faite; la plume des scribes est en vain. Les sages sont couverts de honte, ils sont consternés et pris; voici, ils ont rejeté la parole de l’Éternel; et quelle sagesse y a-t-il en eux? C’est pourquoi je donnerai leurs femmes à d’autres, et leurs champs à ceux qui en hériteront; car depuis le plus petit jusqu’au plus grand, tous sont adonnés à la cupidité; depuis le prophète jusqu’au sacrificateur, tous agissent faussement. Ils ont pansé à la légère la plaie de la fille de mon peuple, en disant: Paix, paix! quand il n’y a point de paix. Ont-ils eu honte quand ils ont commis l’abomination? Non, ils n’ont eu aucune honte, et ils n’ont pas su rougir; c’est pourquoi ils tomberont parmi ceux qui tombent; au temps de leur visitation ils seront renversés, dit l’Éternel. Jérémie 8:8–12.</w:t>
      </w:r>
    </w:p>
    <w:p>
      <w:pPr>
        <w:pStyle w:val="ArticleBody"/>
        <w:jc w:val="left"/>
      </w:pPr>
      <w:r>
        <w:rPr>
          <w:rFonts w:ascii="Times New Roman" w:hAnsi="Times New Roman" w:eastAsia="Times New Roman" w:cs="Times New Roman"/>
        </w:rPr>
        <w:t>Da bi ancient Israel, da bi modern Israel, de er begge ødelagt, fordi de ikke kjente tiden da de ble besøkt. Tiden for Guds besøkelse for laodikeisk adventisme begynte den 11. september 2001 og avsluttes ved den snart kommende søndagsloven.</w:t>
      </w:r>
    </w:p>
    <w:p>
      <w:pPr>
        <w:pStyle w:val="ArticleScripture"/>
        <w:jc w:val="left"/>
      </w:pP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அருகிலே</w:t>
      </w:r>
      <w:r>
        <w:rPr>
          <w:rFonts w:ascii="Times New Roman" w:hAnsi="Times New Roman" w:eastAsia="Times New Roman" w:cs="Times New Roman"/>
        </w:rPr>
        <w:t xml:space="preserve"> </w:t>
      </w:r>
      <w:r>
        <w:rPr>
          <w:rFonts w:ascii="Nirmala UI" w:hAnsi="Nirmala UI" w:eastAsia="Nirmala UI" w:cs="Nirmala UI"/>
        </w:rPr>
        <w:t>வந்தபோது</w:t>
      </w:r>
      <w:r>
        <w:rPr>
          <w:rFonts w:ascii="Times New Roman" w:hAnsi="Times New Roman" w:eastAsia="Times New Roman" w:cs="Times New Roman"/>
        </w:rPr>
        <w:t xml:space="preserve">, </w:t>
      </w:r>
      <w:r>
        <w:rPr>
          <w:rFonts w:ascii="Nirmala UI" w:hAnsi="Nirmala UI" w:eastAsia="Nirmala UI" w:cs="Nirmala UI"/>
        </w:rPr>
        <w:t>நகரத்தை</w:t>
      </w:r>
      <w:r>
        <w:rPr>
          <w:rFonts w:ascii="Times New Roman" w:hAnsi="Times New Roman" w:eastAsia="Times New Roman" w:cs="Times New Roman"/>
        </w:rPr>
        <w:t xml:space="preserve"> </w:t>
      </w:r>
      <w:r>
        <w:rPr>
          <w:rFonts w:ascii="Nirmala UI" w:hAnsi="Nirmala UI" w:eastAsia="Nirmala UI" w:cs="Nirmala UI"/>
        </w:rPr>
        <w:t>நோக்கி</w:t>
      </w:r>
      <w:r>
        <w:rPr>
          <w:rFonts w:ascii="Times New Roman" w:hAnsi="Times New Roman" w:eastAsia="Times New Roman" w:cs="Times New Roman"/>
        </w:rPr>
        <w:t xml:space="preserve"> </w:t>
      </w:r>
      <w:r>
        <w:rPr>
          <w:rFonts w:ascii="Nirmala UI" w:hAnsi="Nirmala UI" w:eastAsia="Nirmala UI" w:cs="Nirmala UI"/>
        </w:rPr>
        <w:t>அதைக்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அதின்மேல்</w:t>
      </w:r>
      <w:r>
        <w:rPr>
          <w:rFonts w:ascii="Times New Roman" w:hAnsi="Times New Roman" w:eastAsia="Times New Roman" w:cs="Times New Roman"/>
        </w:rPr>
        <w:t xml:space="preserve"> </w:t>
      </w:r>
      <w:r>
        <w:rPr>
          <w:rFonts w:ascii="Nirmala UI" w:hAnsi="Nirmala UI" w:eastAsia="Nirmala UI" w:cs="Nirmala UI"/>
        </w:rPr>
        <w:t>அழுதார்</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சொல்லினார்</w:t>
      </w:r>
      <w:r>
        <w:rPr>
          <w:rFonts w:ascii="Times New Roman" w:hAnsi="Times New Roman" w:eastAsia="Times New Roman" w:cs="Times New Roman"/>
        </w:rPr>
        <w:t xml:space="preserve">: </w:t>
      </w:r>
      <w:r>
        <w:rPr>
          <w:rFonts w:ascii="Nirmala UI" w:hAnsi="Nirmala UI" w:eastAsia="Nirmala UI" w:cs="Nirmala UI"/>
        </w:rPr>
        <w:t>நீயாவது</w:t>
      </w:r>
      <w:r>
        <w:rPr>
          <w:rFonts w:ascii="Times New Roman" w:hAnsi="Times New Roman" w:eastAsia="Times New Roman" w:cs="Times New Roman"/>
        </w:rPr>
        <w:t xml:space="preserve">, </w:t>
      </w:r>
      <w:r>
        <w:rPr>
          <w:rFonts w:ascii="Nirmala UI" w:hAnsi="Nirmala UI" w:eastAsia="Nirmala UI" w:cs="Nirmala UI"/>
        </w:rPr>
        <w:t>குறைந்தபட்சம்</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நாளிலே</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சமாதானத்திற்கு</w:t>
      </w:r>
      <w:r>
        <w:rPr>
          <w:rFonts w:ascii="Times New Roman" w:hAnsi="Times New Roman" w:eastAsia="Times New Roman" w:cs="Times New Roman"/>
        </w:rPr>
        <w:t xml:space="preserve"> </w:t>
      </w:r>
      <w:r>
        <w:rPr>
          <w:rFonts w:ascii="Nirmala UI" w:hAnsi="Nirmala UI" w:eastAsia="Nirmala UI" w:cs="Nirmala UI"/>
        </w:rPr>
        <w:t>உரியவற்றை</w:t>
      </w:r>
      <w:r>
        <w:rPr>
          <w:rFonts w:ascii="Times New Roman" w:hAnsi="Times New Roman" w:eastAsia="Times New Roman" w:cs="Times New Roman"/>
        </w:rPr>
        <w:t xml:space="preserve"> </w:t>
      </w:r>
      <w:r>
        <w:rPr>
          <w:rFonts w:ascii="Nirmala UI" w:hAnsi="Nirmala UI" w:eastAsia="Nirmala UI" w:cs="Nirmala UI"/>
        </w:rPr>
        <w:t>அறிந்திருந்தாயானால்</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இப்பொழுது</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கண்களுக்கு</w:t>
      </w:r>
      <w:r>
        <w:rPr>
          <w:rFonts w:ascii="Times New Roman" w:hAnsi="Times New Roman" w:eastAsia="Times New Roman" w:cs="Times New Roman"/>
        </w:rPr>
        <w:t xml:space="preserve"> </w:t>
      </w:r>
      <w:r>
        <w:rPr>
          <w:rFonts w:ascii="Nirmala UI" w:hAnsi="Nirmala UI" w:eastAsia="Nirmala UI" w:cs="Nirmala UI"/>
        </w:rPr>
        <w:t>மறைக்கப்பட்டிருக்கின்றன</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உன்மேல்</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வரும்</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சத்துருக்கள்</w:t>
      </w:r>
      <w:r>
        <w:rPr>
          <w:rFonts w:ascii="Times New Roman" w:hAnsi="Times New Roman" w:eastAsia="Times New Roman" w:cs="Times New Roman"/>
        </w:rPr>
        <w:t xml:space="preserve"> </w:t>
      </w:r>
      <w:r>
        <w:rPr>
          <w:rFonts w:ascii="Nirmala UI" w:hAnsi="Nirmala UI" w:eastAsia="Nirmala UI" w:cs="Nirmala UI"/>
        </w:rPr>
        <w:t>உன்னைச்</w:t>
      </w:r>
      <w:r>
        <w:rPr>
          <w:rFonts w:ascii="Times New Roman" w:hAnsi="Times New Roman" w:eastAsia="Times New Roman" w:cs="Times New Roman"/>
        </w:rPr>
        <w:t xml:space="preserve"> </w:t>
      </w:r>
      <w:r>
        <w:rPr>
          <w:rFonts w:ascii="Nirmala UI" w:hAnsi="Nirmala UI" w:eastAsia="Nirmala UI" w:cs="Nirmala UI"/>
        </w:rPr>
        <w:t>சுற்றி</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அரணை</w:t>
      </w:r>
      <w:r>
        <w:rPr>
          <w:rFonts w:ascii="Times New Roman" w:hAnsi="Times New Roman" w:eastAsia="Times New Roman" w:cs="Times New Roman"/>
        </w:rPr>
        <w:t xml:space="preserve"> </w:t>
      </w:r>
      <w:r>
        <w:rPr>
          <w:rFonts w:ascii="Nirmala UI" w:hAnsi="Nirmala UI" w:eastAsia="Nirmala UI" w:cs="Nirmala UI"/>
        </w:rPr>
        <w:t>எழுப்பி</w:t>
      </w:r>
      <w:r>
        <w:rPr>
          <w:rFonts w:ascii="Times New Roman" w:hAnsi="Times New Roman" w:eastAsia="Times New Roman" w:cs="Times New Roman"/>
        </w:rPr>
        <w:t xml:space="preserve">, </w:t>
      </w:r>
      <w:r>
        <w:rPr>
          <w:rFonts w:ascii="Nirmala UI" w:hAnsi="Nirmala UI" w:eastAsia="Nirmala UI" w:cs="Nirmala UI"/>
        </w:rPr>
        <w:t>உன்னை</w:t>
      </w:r>
      <w:r>
        <w:rPr>
          <w:rFonts w:ascii="Times New Roman" w:hAnsi="Times New Roman" w:eastAsia="Times New Roman" w:cs="Times New Roman"/>
        </w:rPr>
        <w:t xml:space="preserve"> </w:t>
      </w:r>
      <w:r>
        <w:rPr>
          <w:rFonts w:ascii="Nirmala UI" w:hAnsi="Nirmala UI" w:eastAsia="Nirmala UI" w:cs="Nirmala UI"/>
        </w:rPr>
        <w:t>வட்டமாய்</w:t>
      </w:r>
      <w:r>
        <w:rPr>
          <w:rFonts w:ascii="Times New Roman" w:hAnsi="Times New Roman" w:eastAsia="Times New Roman" w:cs="Times New Roman"/>
        </w:rPr>
        <w:t xml:space="preserve"> </w:t>
      </w:r>
      <w:r>
        <w:rPr>
          <w:rFonts w:ascii="Nirmala UI" w:hAnsi="Nirmala UI" w:eastAsia="Nirmala UI" w:cs="Nirmala UI"/>
        </w:rPr>
        <w:t>முற்றுகையிட்டு</w:t>
      </w:r>
      <w:r>
        <w:rPr>
          <w:rFonts w:ascii="Times New Roman" w:hAnsi="Times New Roman" w:eastAsia="Times New Roman" w:cs="Times New Roman"/>
        </w:rPr>
        <w:t xml:space="preserve">, </w:t>
      </w:r>
      <w:r>
        <w:rPr>
          <w:rFonts w:ascii="Nirmala UI" w:hAnsi="Nirmala UI" w:eastAsia="Nirmala UI" w:cs="Nirmala UI"/>
        </w:rPr>
        <w:t>எல்லாத்</w:t>
      </w:r>
      <w:r>
        <w:rPr>
          <w:rFonts w:ascii="Times New Roman" w:hAnsi="Times New Roman" w:eastAsia="Times New Roman" w:cs="Times New Roman"/>
        </w:rPr>
        <w:t xml:space="preserve"> </w:t>
      </w:r>
      <w:r>
        <w:rPr>
          <w:rFonts w:ascii="Nirmala UI" w:hAnsi="Nirmala UI" w:eastAsia="Nirmala UI" w:cs="Nirmala UI"/>
        </w:rPr>
        <w:t>திசையிலும்</w:t>
      </w:r>
      <w:r>
        <w:rPr>
          <w:rFonts w:ascii="Times New Roman" w:hAnsi="Times New Roman" w:eastAsia="Times New Roman" w:cs="Times New Roman"/>
        </w:rPr>
        <w:t xml:space="preserve"> </w:t>
      </w:r>
      <w:r>
        <w:rPr>
          <w:rFonts w:ascii="Nirmala UI" w:hAnsi="Nirmala UI" w:eastAsia="Nirmala UI" w:cs="Nirmala UI"/>
        </w:rPr>
        <w:t>உன்னை</w:t>
      </w:r>
      <w:r>
        <w:rPr>
          <w:rFonts w:ascii="Times New Roman" w:hAnsi="Times New Roman" w:eastAsia="Times New Roman" w:cs="Times New Roman"/>
        </w:rPr>
        <w:t xml:space="preserve"> </w:t>
      </w:r>
      <w:r>
        <w:rPr>
          <w:rFonts w:ascii="Nirmala UI" w:hAnsi="Nirmala UI" w:eastAsia="Nirmala UI" w:cs="Nirmala UI"/>
        </w:rPr>
        <w:t>நெருக்கிப்பிடிப்பார்கள்</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உன்னையும்</w:t>
      </w:r>
      <w:r>
        <w:rPr>
          <w:rFonts w:ascii="Times New Roman" w:hAnsi="Times New Roman" w:eastAsia="Times New Roman" w:cs="Times New Roman"/>
        </w:rPr>
        <w:t xml:space="preserve"> </w:t>
      </w:r>
      <w:r>
        <w:rPr>
          <w:rFonts w:ascii="Nirmala UI" w:hAnsi="Nirmala UI" w:eastAsia="Nirmala UI" w:cs="Nirmala UI"/>
        </w:rPr>
        <w:t>உனக்குள்</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பிள்ளைகளையும்</w:t>
      </w:r>
      <w:r>
        <w:rPr>
          <w:rFonts w:ascii="Times New Roman" w:hAnsi="Times New Roman" w:eastAsia="Times New Roman" w:cs="Times New Roman"/>
        </w:rPr>
        <w:t xml:space="preserve"> </w:t>
      </w:r>
      <w:r>
        <w:rPr>
          <w:rFonts w:ascii="Nirmala UI" w:hAnsi="Nirmala UI" w:eastAsia="Nirmala UI" w:cs="Nirmala UI"/>
        </w:rPr>
        <w:t>தரையோடு</w:t>
      </w:r>
      <w:r>
        <w:rPr>
          <w:rFonts w:ascii="Times New Roman" w:hAnsi="Times New Roman" w:eastAsia="Times New Roman" w:cs="Times New Roman"/>
        </w:rPr>
        <w:t xml:space="preserve"> </w:t>
      </w:r>
      <w:r>
        <w:rPr>
          <w:rFonts w:ascii="Nirmala UI" w:hAnsi="Nirmala UI" w:eastAsia="Nirmala UI" w:cs="Nirmala UI"/>
        </w:rPr>
        <w:t>சமமாக்கி</w:t>
      </w:r>
      <w:r>
        <w:rPr>
          <w:rFonts w:ascii="Times New Roman" w:hAnsi="Times New Roman" w:eastAsia="Times New Roman" w:cs="Times New Roman"/>
        </w:rPr>
        <w:t xml:space="preserve">, </w:t>
      </w:r>
      <w:r>
        <w:rPr>
          <w:rFonts w:ascii="Nirmala UI" w:hAnsi="Nirmala UI" w:eastAsia="Nirmala UI" w:cs="Nirmala UI"/>
        </w:rPr>
        <w:t>உன்னுள்</w:t>
      </w:r>
      <w:r>
        <w:rPr>
          <w:rFonts w:ascii="Times New Roman" w:hAnsi="Times New Roman" w:eastAsia="Times New Roman" w:cs="Times New Roman"/>
        </w:rPr>
        <w:t xml:space="preserve"> </w:t>
      </w:r>
      <w:r>
        <w:rPr>
          <w:rFonts w:ascii="Nirmala UI" w:hAnsi="Nirmala UI" w:eastAsia="Nirmala UI" w:cs="Nirmala UI"/>
        </w:rPr>
        <w:t>கல்லின்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கல்</w:t>
      </w:r>
      <w:r>
        <w:rPr>
          <w:rFonts w:ascii="Times New Roman" w:hAnsi="Times New Roman" w:eastAsia="Times New Roman" w:cs="Times New Roman"/>
        </w:rPr>
        <w:t xml:space="preserve"> </w:t>
      </w:r>
      <w:r>
        <w:rPr>
          <w:rFonts w:ascii="Nirmala UI" w:hAnsi="Nirmala UI" w:eastAsia="Nirmala UI" w:cs="Nirmala UI"/>
        </w:rPr>
        <w:t>ஒன்றையும்</w:t>
      </w:r>
      <w:r>
        <w:rPr>
          <w:rFonts w:ascii="Times New Roman" w:hAnsi="Times New Roman" w:eastAsia="Times New Roman" w:cs="Times New Roman"/>
        </w:rPr>
        <w:t xml:space="preserve"> </w:t>
      </w:r>
      <w:r>
        <w:rPr>
          <w:rFonts w:ascii="Nirmala UI" w:hAnsi="Nirmala UI" w:eastAsia="Nirmala UI" w:cs="Nirmala UI"/>
        </w:rPr>
        <w:t>விடமாட்டார்கள்</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சந்திப்பின்</w:t>
      </w:r>
      <w:r>
        <w:rPr>
          <w:rFonts w:ascii="Times New Roman" w:hAnsi="Times New Roman" w:eastAsia="Times New Roman" w:cs="Times New Roman"/>
        </w:rPr>
        <w:t xml:space="preserve"> </w:t>
      </w:r>
      <w:r>
        <w:rPr>
          <w:rFonts w:ascii="Nirmala UI" w:hAnsi="Nirmala UI" w:eastAsia="Nirmala UI" w:cs="Nirmala UI"/>
        </w:rPr>
        <w:t>காலத்தை</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அறியவில்லை</w:t>
      </w:r>
      <w:r>
        <w:rPr>
          <w:rFonts w:ascii="Times New Roman" w:hAnsi="Times New Roman" w:eastAsia="Times New Roman" w:cs="Times New Roman"/>
        </w:rPr>
        <w:t xml:space="preserve">. </w:t>
      </w:r>
      <w:r>
        <w:rPr>
          <w:rFonts w:ascii="Nirmala UI" w:hAnsi="Nirmala UI" w:eastAsia="Nirmala UI" w:cs="Nirmala UI"/>
        </w:rPr>
        <w:t>லூக்கா</w:t>
      </w:r>
      <w:r>
        <w:rPr>
          <w:rFonts w:ascii="Times New Roman" w:hAnsi="Times New Roman" w:eastAsia="Times New Roman" w:cs="Times New Roman"/>
        </w:rPr>
        <w:t xml:space="preserve"> 19:41–44.</w:t>
      </w:r>
    </w:p>
    <w:p>
      <w:pPr>
        <w:pStyle w:val="ArticleBody"/>
        <w:jc w:val="left"/>
      </w:pPr>
      <w:r>
        <w:rPr>
          <w:rFonts w:ascii="Times New Roman" w:hAnsi="Times New Roman" w:eastAsia="Times New Roman" w:cs="Times New Roman"/>
        </w:rPr>
        <w:t>Sa oras ng pagdalaw ng Diyos, ang marurunong at ang mga hangal ay magpakailanmang ihihiwalay.</w:t>
      </w:r>
    </w:p>
    <w:p>
      <w:pPr>
        <w:pStyle w:val="ArticleScripture"/>
        <w:jc w:val="left"/>
      </w:pPr>
      <w:r>
        <w:rPr>
          <w:rFonts w:ascii="Times New Roman" w:hAnsi="Times New Roman" w:eastAsia="Times New Roman" w:cs="Times New Roman"/>
        </w:rPr>
        <w:t>« Nous savons que des Adventistes du septième jour non consacrés, qui ont une connaissance de la vérité, mais qui se sont liés aux gens du monde, abandonneront entièrement la foi, prêtant l’oreille à des esprits séducteurs. L’ennemi se fera volontiers un plaisir de leur offrir des attraits, afin de les amener à faire la guerre au peuple de Dieu. Mais ceux qui sont vrais et fermes auront en Dieu une défense forte et puissante. » Manuscript Releases, volume 7, 186.</w:t>
      </w:r>
    </w:p>
    <w:p>
      <w:pPr>
        <w:pStyle w:val="ArticleBody"/>
        <w:jc w:val="left"/>
      </w:pPr>
      <w:r>
        <w:rPr>
          <w:rFonts w:ascii="Times New Roman" w:hAnsi="Times New Roman" w:eastAsia="Times New Roman" w:cs="Times New Roman"/>
        </w:rPr>
        <w:t>Loka ya etelo na bango ebandaki na mokolo ya 11 Sɛtɛmbɛ 2001, ndenge emonisamaki na elili ya ntango ya etelo oyo ekwelaki mangomba ya Protesta na mokolo ya 11 Août 1840, mpe lokola ntango ya etelo ebandaki mpo na Yisraele ya kala ntango Molimo Mosantu akitaki na libatisi ya Klisto.</w:t>
      </w:r>
    </w:p>
    <w:p>
      <w:pPr>
        <w:pStyle w:val="ArticleBody"/>
        <w:jc w:val="left"/>
      </w:pP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አስፈጻሚው</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የሚጀምረው</w:t>
      </w:r>
      <w:r>
        <w:rPr>
          <w:rFonts w:ascii="Times New Roman" w:hAnsi="Times New Roman" w:eastAsia="Times New Roman" w:cs="Times New Roman"/>
        </w:rPr>
        <w:t xml:space="preserve"> </w:t>
      </w:r>
      <w:r>
        <w:rPr>
          <w:rFonts w:ascii="Ebrima" w:hAnsi="Ebrima" w:eastAsia="Ebrima" w:cs="Ebrima"/>
        </w:rPr>
        <w:t>አሜሪካ</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በሚመጣው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የፈተናዋን</w:t>
      </w:r>
      <w:r>
        <w:rPr>
          <w:rFonts w:ascii="Times New Roman" w:hAnsi="Times New Roman" w:eastAsia="Times New Roman" w:cs="Times New Roman"/>
        </w:rPr>
        <w:t xml:space="preserve"> </w:t>
      </w:r>
      <w:r>
        <w:rPr>
          <w:rFonts w:ascii="Ebrima" w:hAnsi="Ebrima" w:eastAsia="Ebrima" w:cs="Ebrima"/>
        </w:rPr>
        <w:t>ጽዋ</w:t>
      </w:r>
      <w:r>
        <w:rPr>
          <w:rFonts w:ascii="Times New Roman" w:hAnsi="Times New Roman" w:eastAsia="Times New Roman" w:cs="Times New Roman"/>
        </w:rPr>
        <w:t xml:space="preserve"> </w:t>
      </w:r>
      <w:r>
        <w:rPr>
          <w:rFonts w:ascii="Ebrima" w:hAnsi="Ebrima" w:eastAsia="Ebrima" w:cs="Ebrima"/>
        </w:rPr>
        <w:t>ስትሞላ</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የሎዶቅያ</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ጽዋቸውን</w:t>
      </w:r>
      <w:r>
        <w:rPr>
          <w:rFonts w:ascii="Times New Roman" w:hAnsi="Times New Roman" w:eastAsia="Times New Roman" w:cs="Times New Roman"/>
        </w:rPr>
        <w:t xml:space="preserve"> </w:t>
      </w:r>
      <w:r>
        <w:rPr>
          <w:rFonts w:ascii="Ebrima" w:hAnsi="Ebrima" w:eastAsia="Ebrima" w:cs="Ebrima"/>
        </w:rPr>
        <w:t>የሞሉበት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ለአሜሪካ</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የተበላሹ</w:t>
      </w:r>
      <w:r>
        <w:rPr>
          <w:rFonts w:ascii="Times New Roman" w:hAnsi="Times New Roman" w:eastAsia="Times New Roman" w:cs="Times New Roman"/>
        </w:rPr>
        <w:t xml:space="preserve"> </w:t>
      </w:r>
      <w:r>
        <w:rPr>
          <w:rFonts w:ascii="Ebrima" w:hAnsi="Ebrima" w:eastAsia="Ebrima" w:cs="Ebrima"/>
        </w:rPr>
        <w:t>ቀንዶች</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ጊዜያቸው</w:t>
      </w:r>
      <w:r>
        <w:rPr>
          <w:rFonts w:ascii="Times New Roman" w:hAnsi="Times New Roman" w:eastAsia="Times New Roman" w:cs="Times New Roman"/>
        </w:rPr>
        <w:t xml:space="preserve"> </w:t>
      </w:r>
      <w:r>
        <w:rPr>
          <w:rFonts w:ascii="Ebrima" w:hAnsi="Ebrima" w:eastAsia="Ebrima" w:cs="Ebrima"/>
        </w:rPr>
        <w:t>ጽዋ</w:t>
      </w:r>
      <w:r>
        <w:rPr>
          <w:rFonts w:ascii="Times New Roman" w:hAnsi="Times New Roman" w:eastAsia="Times New Roman" w:cs="Times New Roman"/>
        </w:rPr>
        <w:t xml:space="preserve"> </w:t>
      </w:r>
      <w:r>
        <w:rPr>
          <w:rFonts w:ascii="Ebrima" w:hAnsi="Ebrima" w:eastAsia="Ebrima" w:cs="Ebrima"/>
        </w:rPr>
        <w:t>ይሞላል።</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በሎዶቅያ</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የፕሮቴስታንትነት</w:t>
      </w:r>
      <w:r>
        <w:rPr>
          <w:rFonts w:ascii="Times New Roman" w:hAnsi="Times New Roman" w:eastAsia="Times New Roman" w:cs="Times New Roman"/>
        </w:rPr>
        <w:t xml:space="preserve"> </w:t>
      </w:r>
      <w:r>
        <w:rPr>
          <w:rFonts w:ascii="Ebrima" w:hAnsi="Ebrima" w:eastAsia="Ebrima" w:cs="Ebrima"/>
        </w:rPr>
        <w:t>የተበላሸ</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ይቋረጣል፤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ፊላዴልፍያዊ</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የፕሮቴስታንትነት</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ዓርማ</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የተደረገች</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ትሆናለች።</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ከሚዋጋ</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አድራጊቱ</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ትለወጣለች።</w:t>
      </w:r>
    </w:p>
    <w:p>
      <w:pPr>
        <w:pStyle w:val="ArticleBody"/>
        <w:jc w:val="left"/>
      </w:pPr>
      <w:r>
        <w:rPr>
          <w:rFonts w:ascii="Times New Roman" w:hAnsi="Times New Roman" w:eastAsia="Times New Roman" w:cs="Times New Roman"/>
        </w:rPr>
        <w:t>Le jugement exécutif commence, avec le temps des jugements destructeurs de Dieu, qui est aussi un temps de miséricorde pour l’autre troupeau de Dieu qui est encore à Babylone. Il commence lorsque prend fin le temps de la visitation de Dieu sur l’adventisme laodicéen. Le jugement exécutif se poursuit jusqu’aux Sept Dernières Plaies, où les jugements ne sont plus mêlés de miséricorde, puis Jésus revient.</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लौटेंगे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सहस्राब्दि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अकेला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उतरते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जंजीर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इब्लीस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भरमाए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छूटना</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20:1–3.</w:t>
      </w:r>
    </w:p>
    <w:p>
      <w:pPr>
        <w:pStyle w:val="ArticleBody"/>
        <w:jc w:val="left"/>
      </w:pP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ಸಾವಿರ</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ವಿಮೋಚಿತರು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ನ್ಯಾಯತೀರ್ಪುಗಳ</w:t>
      </w:r>
      <w:r>
        <w:rPr>
          <w:rFonts w:ascii="Times New Roman" w:hAnsi="Times New Roman" w:eastAsia="Times New Roman" w:cs="Times New Roman"/>
        </w:rPr>
        <w:t xml:space="preserve"> </w:t>
      </w:r>
      <w:r>
        <w:rPr>
          <w:rFonts w:ascii="Nirmala UI" w:hAnsi="Nirmala UI" w:eastAsia="Nirmala UI" w:cs="Nirmala UI"/>
        </w:rPr>
        <w:t>ಅಂತ್ಯವನ್ನು</w:t>
      </w:r>
      <w:r>
        <w:rPr>
          <w:rFonts w:ascii="Times New Roman" w:hAnsi="Times New Roman" w:eastAsia="Times New Roman" w:cs="Times New Roman"/>
        </w:rPr>
        <w:t xml:space="preserve"> </w:t>
      </w:r>
      <w:r>
        <w:rPr>
          <w:rFonts w:ascii="Nirmala UI" w:hAnsi="Nirmala UI" w:eastAsia="Nirmala UI" w:cs="Nirmala UI"/>
        </w:rPr>
        <w:t>ನಿರೀಕ್ಷಿಸುತ್ತಾ</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ಸಮಾಧಿಗಳಲ್ಲಿ</w:t>
      </w:r>
      <w:r>
        <w:rPr>
          <w:rFonts w:ascii="Times New Roman" w:hAnsi="Times New Roman" w:eastAsia="Times New Roman" w:cs="Times New Roman"/>
        </w:rPr>
        <w:t xml:space="preserve"> </w:t>
      </w:r>
      <w:r>
        <w:rPr>
          <w:rFonts w:ascii="Nirmala UI" w:hAnsi="Nirmala UI" w:eastAsia="Nirmala UI" w:cs="Nirmala UI"/>
        </w:rPr>
        <w:t>ನಿದ್ರಿಸುತ್ತಿರುವ</w:t>
      </w:r>
      <w:r>
        <w:rPr>
          <w:rFonts w:ascii="Times New Roman" w:hAnsi="Times New Roman" w:eastAsia="Times New Roman" w:cs="Times New Roman"/>
        </w:rPr>
        <w:t xml:space="preserve"> </w:t>
      </w:r>
      <w:r>
        <w:rPr>
          <w:rFonts w:ascii="Nirmala UI" w:hAnsi="Nirmala UI" w:eastAsia="Nirmala UI" w:cs="Nirmala UI"/>
        </w:rPr>
        <w:t>ನಷ್ಟರಾದವರ</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ಪರಿಶೋಧನಾ</w:t>
      </w:r>
      <w:r>
        <w:rPr>
          <w:rFonts w:ascii="Times New Roman" w:hAnsi="Times New Roman" w:eastAsia="Times New Roman" w:cs="Times New Roman"/>
        </w:rPr>
        <w:t xml:space="preserve"> </w:t>
      </w:r>
      <w:r>
        <w:rPr>
          <w:rFonts w:ascii="Nirmala UI" w:hAnsi="Nirmala UI" w:eastAsia="Nirmala UI" w:cs="Nirmala UI"/>
        </w:rPr>
        <w:t>ನ್ಯಾಯತೀರ್ಪನ್ನು</w:t>
      </w:r>
      <w:r>
        <w:rPr>
          <w:rFonts w:ascii="Times New Roman" w:hAnsi="Times New Roman" w:eastAsia="Times New Roman" w:cs="Times New Roman"/>
        </w:rPr>
        <w:t xml:space="preserve"> </w:t>
      </w:r>
      <w:r>
        <w:rPr>
          <w:rFonts w:ascii="Nirmala UI" w:hAnsi="Nirmala UI" w:eastAsia="Nirmala UI" w:cs="Nirmala UI"/>
        </w:rPr>
        <w:t>ನೆರವೇರಿಸುವರು</w:t>
      </w:r>
      <w:r>
        <w:rPr>
          <w:rFonts w:ascii="Times New Roman" w:hAnsi="Times New Roman" w:eastAsia="Times New Roman" w:cs="Times New Roman"/>
        </w:rPr>
        <w:t xml:space="preserve">. </w:t>
      </w:r>
      <w:r>
        <w:rPr>
          <w:rFonts w:ascii="Nirmala UI" w:hAnsi="Nirmala UI" w:eastAsia="Nirmala UI" w:cs="Nirmala UI"/>
        </w:rPr>
        <w:t>ಸಾವಿರ</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ಅಂತ್ಯದಲ್ಲಿ</w:t>
      </w:r>
      <w:r>
        <w:rPr>
          <w:rFonts w:ascii="Times New Roman" w:hAnsi="Times New Roman" w:eastAsia="Times New Roman" w:cs="Times New Roman"/>
        </w:rPr>
        <w:t xml:space="preserve"> </w:t>
      </w:r>
      <w:r>
        <w:rPr>
          <w:rFonts w:ascii="Nirmala UI" w:hAnsi="Nirmala UI" w:eastAsia="Nirmala UI" w:cs="Nirmala UI"/>
        </w:rPr>
        <w:t>ಯಾರಿಗೆ</w:t>
      </w:r>
      <w:r>
        <w:rPr>
          <w:rFonts w:ascii="Times New Roman" w:hAnsi="Times New Roman" w:eastAsia="Times New Roman" w:cs="Times New Roman"/>
        </w:rPr>
        <w:t xml:space="preserve"> </w:t>
      </w:r>
      <w:r>
        <w:rPr>
          <w:rFonts w:ascii="Nirmala UI" w:hAnsi="Nirmala UI" w:eastAsia="Nirmala UI" w:cs="Nirmala UI"/>
        </w:rPr>
        <w:t>ಹೆಚ್ಚಿನ</w:t>
      </w:r>
      <w:r>
        <w:rPr>
          <w:rFonts w:ascii="Times New Roman" w:hAnsi="Times New Roman" w:eastAsia="Times New Roman" w:cs="Times New Roman"/>
        </w:rPr>
        <w:t xml:space="preserve"> </w:t>
      </w:r>
      <w:r>
        <w:rPr>
          <w:rFonts w:ascii="Nirmala UI" w:hAnsi="Nirmala UI" w:eastAsia="Nirmala UI" w:cs="Nirmala UI"/>
        </w:rPr>
        <w:t>ದಂಡನೆ</w:t>
      </w:r>
      <w:r>
        <w:rPr>
          <w:rFonts w:ascii="Times New Roman" w:hAnsi="Times New Roman" w:eastAsia="Times New Roman" w:cs="Times New Roman"/>
        </w:rPr>
        <w:t xml:space="preserve"> </w:t>
      </w:r>
      <w:r>
        <w:rPr>
          <w:rFonts w:ascii="Nirmala UI" w:hAnsi="Nirmala UI" w:eastAsia="Nirmala UI" w:cs="Nirmala UI"/>
        </w:rPr>
        <w:t>ಯೋಗ್ಯವೆಂಬುದನ್ನು</w:t>
      </w:r>
      <w:r>
        <w:rPr>
          <w:rFonts w:ascii="Times New Roman" w:hAnsi="Times New Roman" w:eastAsia="Times New Roman" w:cs="Times New Roman"/>
        </w:rPr>
        <w:t xml:space="preserve"> </w:t>
      </w:r>
      <w:r>
        <w:rPr>
          <w:rFonts w:ascii="Nirmala UI" w:hAnsi="Nirmala UI" w:eastAsia="Nirmala UI" w:cs="Nirmala UI"/>
        </w:rPr>
        <w:t>ನಿರ್ಧರಿಸುವ</w:t>
      </w:r>
      <w:r>
        <w:rPr>
          <w:rFonts w:ascii="Times New Roman" w:hAnsi="Times New Roman" w:eastAsia="Times New Roman" w:cs="Times New Roman"/>
        </w:rPr>
        <w:t xml:space="preserve"> </w:t>
      </w:r>
      <w:r>
        <w:rPr>
          <w:rFonts w:ascii="Nirmala UI" w:hAnsi="Nirmala UI" w:eastAsia="Nirmala UI" w:cs="Nirmala UI"/>
        </w:rPr>
        <w:t>ಸಲುವಾಗಿ</w:t>
      </w:r>
      <w:r>
        <w:rPr>
          <w:rFonts w:ascii="Times New Roman" w:hAnsi="Times New Roman" w:eastAsia="Times New Roman" w:cs="Times New Roman"/>
        </w:rPr>
        <w:t xml:space="preserve">, </w:t>
      </w:r>
      <w:r>
        <w:rPr>
          <w:rFonts w:ascii="Nirmala UI" w:hAnsi="Nirmala UI" w:eastAsia="Nirmala UI" w:cs="Nirmala UI"/>
        </w:rPr>
        <w:t>ವಿಮೋಚಿತರು</w:t>
      </w:r>
      <w:r>
        <w:rPr>
          <w:rFonts w:ascii="Times New Roman" w:hAnsi="Times New Roman" w:eastAsia="Times New Roman" w:cs="Times New Roman"/>
        </w:rPr>
        <w:t xml:space="preserve"> </w:t>
      </w:r>
      <w:r>
        <w:rPr>
          <w:rFonts w:ascii="Nirmala UI" w:hAnsi="Nirmala UI" w:eastAsia="Nirmala UI" w:cs="Nirmala UI"/>
        </w:rPr>
        <w:t>ಸೈತಾನನನ್ನೂ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ದೂತರನ್ನೂ</w:t>
      </w:r>
      <w:r>
        <w:rPr>
          <w:rFonts w:ascii="Times New Roman" w:hAnsi="Times New Roman" w:eastAsia="Times New Roman" w:cs="Times New Roman"/>
        </w:rPr>
        <w:t xml:space="preserve"> </w:t>
      </w:r>
      <w:r>
        <w:rPr>
          <w:rFonts w:ascii="Nirmala UI" w:hAnsi="Nirmala UI" w:eastAsia="Nirmala UI" w:cs="Nirmala UI"/>
        </w:rPr>
        <w:t>ಒಳಗೊಂಡು</w:t>
      </w:r>
      <w:r>
        <w:rPr>
          <w:rFonts w:ascii="Times New Roman" w:hAnsi="Times New Roman" w:eastAsia="Times New Roman" w:cs="Times New Roman"/>
        </w:rPr>
        <w:t xml:space="preserve"> </w:t>
      </w:r>
      <w:r>
        <w:rPr>
          <w:rFonts w:ascii="Nirmala UI" w:hAnsi="Nirmala UI" w:eastAsia="Nirmala UI" w:cs="Nirmala UI"/>
        </w:rPr>
        <w:t>ನಷ್ಟರಾದವರ</w:t>
      </w:r>
      <w:r>
        <w:rPr>
          <w:rFonts w:ascii="Times New Roman" w:hAnsi="Times New Roman" w:eastAsia="Times New Roman" w:cs="Times New Roman"/>
        </w:rPr>
        <w:t xml:space="preserve"> </w:t>
      </w:r>
      <w:r>
        <w:rPr>
          <w:rFonts w:ascii="Nirmala UI" w:hAnsi="Nirmala UI" w:eastAsia="Nirmala UI" w:cs="Nirmala UI"/>
        </w:rPr>
        <w:t>ಜೀವನಗಳನ್ನೂ</w:t>
      </w:r>
      <w:r>
        <w:rPr>
          <w:rFonts w:ascii="Times New Roman" w:hAnsi="Times New Roman" w:eastAsia="Times New Roman" w:cs="Times New Roman"/>
        </w:rPr>
        <w:t xml:space="preserve"> </w:t>
      </w:r>
      <w:r>
        <w:rPr>
          <w:rFonts w:ascii="Nirmala UI" w:hAnsi="Nirmala UI" w:eastAsia="Nirmala UI" w:cs="Nirmala UI"/>
        </w:rPr>
        <w:t>ಪರಿಸ್ಥಿತಿಗಳನ್ನೂ</w:t>
      </w:r>
      <w:r>
        <w:rPr>
          <w:rFonts w:ascii="Times New Roman" w:hAnsi="Times New Roman" w:eastAsia="Times New Roman" w:cs="Times New Roman"/>
        </w:rPr>
        <w:t xml:space="preserve"> </w:t>
      </w:r>
      <w:r>
        <w:rPr>
          <w:rFonts w:ascii="Nirmala UI" w:hAnsi="Nirmala UI" w:eastAsia="Nirmala UI" w:cs="Nirmala UI"/>
        </w:rPr>
        <w:t>ಪರಿಗಣಿಸುವರು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je vis des trônes, et ils s’y assirent, et le jugement leur fut donné ; et je vis les âmes de ceux qui avaient été décapités à cause du témoignage de Jésus et à cause de la parole de Dieu, et de ceux qui n’avaient adoré ni la bête ni son image, et qui n’avaient reçu sa marque ni sur leur front ni sur leurs mains ; et ils revinrent à la vie et régnèrent avec Christ pendant mille ans. Apocalypse 20:4.</w:t>
      </w:r>
    </w:p>
    <w:p>
      <w:pPr>
        <w:pStyle w:val="ArticleBody"/>
        <w:jc w:val="left"/>
      </w:pPr>
      <w:r>
        <w:rPr>
          <w:rFonts w:ascii="Times New Roman" w:hAnsi="Times New Roman" w:eastAsia="Times New Roman" w:cs="Times New Roman"/>
        </w:rPr>
        <w:t>Senkyèm ane yo, kidonk, gen ladan yo yon jijman ankèt ki, lè li fini, mennen nan jijman egzekitif final la lè mechan ki mouri yo resisite; epi Satan, ki lè sa a gen kontwòl total sou yo, konvenk mechan yo pou yo atake Jerizalèm, ki nan fen mil ane yo desann soti nan syèl la. Pandan mechan yo ap lanse atak yo, dife desann soti nan syèl la, epi jijman egzekitif final la akonpli.</w:t>
      </w:r>
    </w:p>
    <w:p>
      <w:pPr>
        <w:pStyle w:val="ArticleScripture"/>
        <w:jc w:val="left"/>
      </w:pPr>
      <w:r>
        <w:rPr>
          <w:rFonts w:ascii="Times New Roman" w:hAnsi="Times New Roman" w:eastAsia="Times New Roman" w:cs="Times New Roman"/>
        </w:rPr>
        <w:t>Et lorsque les mille ans seront accomplis, Satan sera relâché de sa prison, et il sortira pour séduire les nations qui sont aux quatre coins de la terre, Gog et Magog, afin de les rassembler pour le combat : leur nombre est comme le sable de la mer. Et ils montèrent sur toute l’étendue de la terre, et ils environnèrent le camp des saints et la cité bien-aimée ; et un feu descendit du ciel, d’auprès de Dieu, et les dévora. Apocalypse 20:7–9.</w:t>
      </w:r>
    </w:p>
    <w:p>
      <w:pPr>
        <w:pStyle w:val="ArticleBody"/>
        <w:jc w:val="left"/>
      </w:pP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ইলিয়াহর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চুক্তির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হঠাৎ</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ঘনিষ্ঠভাবে</w:t>
      </w:r>
      <w:r>
        <w:rPr>
          <w:rFonts w:ascii="Times New Roman" w:hAnsi="Times New Roman" w:eastAsia="Times New Roman" w:cs="Times New Roman"/>
        </w:rPr>
        <w:t xml:space="preserve"> </w:t>
      </w:r>
      <w:r>
        <w:rPr>
          <w:rFonts w:ascii="Nirmala UI" w:hAnsi="Nirmala UI" w:eastAsia="Nirmala UI" w:cs="Nirmala UI"/>
        </w:rPr>
        <w:t>পরস্পর</w:t>
      </w:r>
      <w:r>
        <w:rPr>
          <w:rFonts w:ascii="Times New Roman" w:hAnsi="Times New Roman" w:eastAsia="Times New Roman" w:cs="Times New Roman"/>
        </w:rPr>
        <w:t>-</w:t>
      </w:r>
      <w:r>
        <w:rPr>
          <w:rFonts w:ascii="Nirmala UI" w:hAnsi="Nirmala UI" w:eastAsia="Nirmala UI" w:cs="Nirmala UI"/>
        </w:rPr>
        <w:t>সম্পর্কিত</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কার্য্যের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পার্থক্য</w:t>
      </w:r>
      <w:r>
        <w:rPr>
          <w:rFonts w:ascii="Times New Roman" w:hAnsi="Times New Roman" w:eastAsia="Times New Roman" w:cs="Times New Roman"/>
        </w:rPr>
        <w:t xml:space="preserve"> </w:t>
      </w:r>
      <w:r>
        <w:rPr>
          <w:rFonts w:ascii="Nirmala UI" w:hAnsi="Nirmala UI" w:eastAsia="Nirmala UI" w:cs="Nirmala UI"/>
        </w:rPr>
        <w:t>লক্ষ্য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w:t>
      </w:r>
      <w:r>
        <w:rPr>
          <w:rFonts w:ascii="Nirmala UI" w:hAnsi="Nirmala UI" w:eastAsia="Nirmala UI" w:cs="Nirmala UI"/>
        </w:rPr>
        <w:t>ইলিয়াহ</w:t>
      </w:r>
      <w:r>
        <w:rPr>
          <w:rFonts w:ascii="Times New Roman" w:hAnsi="Times New Roman" w:eastAsia="Times New Roman" w:cs="Times New Roman"/>
        </w:rPr>
        <w:t xml:space="preserve"> </w:t>
      </w:r>
      <w:r>
        <w:rPr>
          <w:rFonts w:ascii="Nirmala UI" w:hAnsi="Nirmala UI" w:eastAsia="Nirmala UI" w:cs="Nirmala UI"/>
        </w:rPr>
        <w:t>প্রধানত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সংশ্লিষ্ট</w:t>
      </w:r>
      <w:r>
        <w:rPr>
          <w:rFonts w:ascii="Times New Roman" w:hAnsi="Times New Roman" w:eastAsia="Times New Roman" w:cs="Times New Roman"/>
        </w:rPr>
        <w:t xml:space="preserve"> </w:t>
      </w:r>
      <w:r>
        <w:rPr>
          <w:rFonts w:ascii="Nirmala UI" w:hAnsi="Nirmala UI" w:eastAsia="Nirmala UI" w:cs="Nirmala UI"/>
        </w:rPr>
        <w:t>আন্দোলনকে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নিকটাগত</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কার্যনির্বাহী</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চুক্তির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প্রধানত</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কার্যকে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অনুসন্ধানমূলক</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লাওদিকেয়ীয়</w:t>
      </w:r>
      <w:r>
        <w:rPr>
          <w:rFonts w:ascii="Times New Roman" w:hAnsi="Times New Roman" w:eastAsia="Times New Roman" w:cs="Times New Roman"/>
        </w:rPr>
        <w:t xml:space="preserve"> </w:t>
      </w:r>
      <w:r>
        <w:rPr>
          <w:rFonts w:ascii="Nirmala UI" w:hAnsi="Nirmala UI" w:eastAsia="Nirmala UI" w:cs="Nirmala UI"/>
        </w:rPr>
        <w:t>অ্যাডভেন্টবাদ</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পরিদর্শনের</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সময়কালকে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Не го разбираат ни пораката на „сегашната вистина“ што се објавува во времето на нивното посетување. Од нив се бараше да ги познаваат и судот, и пораката на тие денови. Исто така, од нив се бараше да го познаваат гласникот на тој временски период. Во своето лаодикиско слепило тие ѝ се противат на пораката на часот, го негираат времето на своето посетување со порака за „мир и безбедност“ и не се сигурни кој е избраниот гласник на тој период. Оваа вистина беше јасно определена во сведоштвото на вториот Илија, кој беше Јован Крстител.</w:t>
      </w:r>
    </w:p>
    <w:p>
      <w:pPr>
        <w:pStyle w:val="ArticleBody"/>
        <w:jc w:val="left"/>
      </w:pPr>
      <w:r>
        <w:rPr>
          <w:rFonts w:ascii="Times New Roman" w:hAnsi="Times New Roman" w:eastAsia="Times New Roman" w:cs="Times New Roman"/>
        </w:rPr>
        <w:t>Jøderne vidste, at profetien udpegede en budbærer, som skulle komme, og Jesus lærte direkte, at Johannes var den budbærer, som skulle komme.</w:t>
      </w:r>
    </w:p>
    <w:p>
      <w:pPr>
        <w:pStyle w:val="ArticleScripture"/>
        <w:jc w:val="left"/>
      </w:pPr>
      <w:r>
        <w:rPr>
          <w:rFonts w:ascii="Times New Roman" w:hAnsi="Times New Roman" w:eastAsia="Times New Roman" w:cs="Times New Roman"/>
        </w:rPr>
        <w:t>Car tous les prophètes et la loi ont prophétisé jusqu’à Jean. Et si vous voulez le recevoir, c’est Élie qui devait venir. Que celui qui a des oreilles pour entendre entende. Matthieu 11:13–15.</w:t>
      </w:r>
    </w:p>
    <w:p>
      <w:pPr>
        <w:pStyle w:val="ArticleBody"/>
        <w:jc w:val="left"/>
      </w:pPr>
      <w:r>
        <w:rPr>
          <w:rFonts w:ascii="Times New Roman" w:hAnsi="Times New Roman" w:eastAsia="Times New Roman" w:cs="Times New Roman"/>
        </w:rPr>
        <w:t>در پایانِ بسیارِ دورهٔ بازدیدِ ایشان (آن زمان در تاریخ مسیح که به‌صورت نمادین قانون یکشنبهٔ قریب‌الوقوع را مجسم می‌سازد)، هنگامی که مسیح بر صلیب آویخته بود، یهودیان گمان می‌بردند که آیا ایلیا در آن هنگام خواهد آمد تا عیسی را نجات دهد. اگر آنان آن رسولی را که می‌بایست راه را برای رسولِ عهد آماده سازد، و آن رسولِ عهد در آن زمان عهد را با خونِ خود تأیید می‌کرد، نشناختند، پس نمی‌توانستند مسیحِ خود را بشناسند. ادونتیسمِ لائودیکیه‌ای در ایام آخر موظف است داوریِ خود را بشناسد، که همان زمانِ بازدیدِ اوست. بر ایشان لازم است که پیامِ آن دورهٔ زمانی را تشخیص دهند، و نیز لازم است که رسولِ برگزیدهٔ آن زمان را بشناسند. عصیانِ 1888، یازدهم سپتامبر 2001 را مجسم ساخت، زمانی که فرشتهٔ مکاشفه باب هجده نازل شد. یاغیانِ 1888 از پذیرفتنِ رسولانِ برگزیدهٔ تاریخی که ایام آخر را به‌صورت نمادین مجسم می‌ساخت، سرباز زدند.</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یهوه، خدای اسرائیل، چنین به من فرمود: «این جامِ شرابِ خشم را از دست من بگیر و همهٔ قوم‌هایی را که تو را نزد ایشان می‌فرستم، از آن بنوشان. و خواهند نوشید، و متزلزل خواهند شد، و دیوانه خواهند گشت، به سبب شمشیری که در میان ایشان خواهم فرستاد.» پس جام را از دست یهوه گرفتم و همهٔ قوم‌هایی را که یهوه مرا نزد ایشان فرستاده بود نوشانیدم؛ یعنی اورشلیم و شهرهای یهودا و پادشاهان آن و سروران آن را، تا ایشان را ویرانی و مایهٔ حیرت و سوتِ استهزا و لعنت گرداند، چنان‌که امروز هست؛ فرعون، پادشاه مصر، و خادمانش و سرورانش و تمامی قومش؛ و همهٔ اقوام آمیخته، و همهٔ پادشاهان سرزمینِ عوص، و همهٔ پادشاهان سرزمین فلسطینیان، و اشقلون و غزه و عقرون و بازماندهٔ اَشدود؛ ادوم و موآب و بنی‌عمون؛ و همهٔ پادشاهان صور، و همهٔ پادشاهان صیدون، و پادشاهان جزایری که آن سوی دریا هستند؛ دِدان و تیما و بوز و همهٔ آنان که موی شقیقهٔ خود را کوتاه می‌کنند؛ و همهٔ پادشاهان عرب، و همهٔ پادشاهان اقوام آمیخته‌ای که در بیابان ساکن‌اند؛ و همهٔ پادشاهان زِمری، و همهٔ پادشاهان عیلام، و همهٔ پادشاهان ماد؛ و همهٔ پادشاهان شمال، دور و نزدیک، یکی با دیگری، و همهٔ ممالک جهان که بر روی زمین‌اند؛ و پادشاه شیشک بعد از ایشان خواهد نوشید. «پس ایشان را بگو: یهوهٔ صبایوت، خدای اسرائیل، چنین می‌فرماید: بنوشید و مست شوید و قی کنید و بیفتید و دیگر برنخیزید، به سبب شمشیری که در میان شما خواهم فرستاد. و چنین خواهد شد که اگر از گرفتن جام از دست تو برای نوشیدن سر باز زنند، آنگاه به ایشان بگو: یهوهٔ صبایوت چنین می‌فرماید: شما یقیناً خواهید نوشید. زیرا اینک من آغاز کرده‌ام که بلا را بر شهری که به نام من نامیده می‌شود فرود آورم؛ و آیا شما به‌کلی بی‌مجازات خواهید ماند؟ بی‌مجازات نخواهید ماند؛ زیرا من شمشیری را بر تمامی ساکنان زمین فراخواهم خواند،» یهوهٔ صبایوت می‌فرماید. «پس تو بر ضد ایشان تمامی این سخنان را نبوّت کن و بدیشان بگو: یهوه از اعلی خواهد غرید و از مسکن قدس خویش آواز خود را بلند خواهد کرد؛ او بر مسکن خویش سخت غریو خواهد کشید؛ همچون آنان که انگور را پایمال می‌کنند، بر ضد تمامی ساکنان زمین بانگ خواهد زد. غوغایی تا کران‌های زمین خواهد رسید؛ زیرا یهوه با امت‌ها مرافعه‌ای دارد، با تمامی بشر محاکمه خواهد کرد؛ شریران را به شمشیر خواهد سپرد،» یهوه می‌فرماید. یهوهٔ صبایوت چنین می‌فرماید: «اینک بلا از امتی به امتی دیگر بیرون خواهد رفت، و گردبادی عظیم از کرانه‌های زمین برانگیخته خواهد شد. و کشتگانِ یهوه در آن روز از یک کران زمین تا کران دیگر زمین خواهند بود؛ بر ایشان نوحه نخواهند کرد، و جمع نخواهند شد، و دفن نخواهند گردید؛ ایشان بر روی زمین چون سرگین خواهند بود.» ارمیا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Tisini na Nane</dc:title>
  <dc:subject>Utatu wa Matumizi ya Eliya na Hukumu ya Siku za Mwisho: Kuelewa Awamu za Upelelezi na Utekelezaji</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