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quatre-vingt-dix-neuf</w:t>
      </w:r>
    </w:p>
    <w:p>
      <w:pPr>
        <w:pStyle w:val="ArticleSubtitle"/>
        <w:jc w:val="left"/>
      </w:pPr>
      <w:r>
        <w:rPr>
          <w:rFonts w:ascii="Arial" w:hAnsi="Arial" w:eastAsia="Arial" w:cs="Arial"/>
        </w:rPr>
        <w:t>Les derniers jours et le jugement de Dieu : dévoilement des perspectives prophétiques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“Les derniers jours” représentent l’annonce de l’ouverture du jugement dans le mouvement du premier ange, et, dans le mouvement du troisième ange, la clôture du jugement est annoncée. Dans “les derniers jours”, le peuple de Dieu a été, et est, suscité pour annoncer le jugement de Dieu; mais, pour être un messager du jugement de Dieu, il faut comprendre le jugement. Une caractéristique fondamentale de l’adventisme laodicéen, tant parmi la classe instruite que parmi la classe non instruite, est qu’ils ne connaissent pas le jugement de Dieu. Tous les prophètes s’adressent plus particulièrement aux derniers jours qu’aux jours dans lesquels ils ont vécu.</w:t>
      </w:r>
    </w:p>
    <w:p>
      <w:pPr>
        <w:pStyle w:val="ArticleScripture"/>
        <w:jc w:val="left"/>
      </w:pPr>
      <w:r>
        <w:rPr>
          <w:rFonts w:ascii="Times New Roman" w:hAnsi="Times New Roman" w:eastAsia="Times New Roman" w:cs="Times New Roman"/>
        </w:rPr>
        <w:t>« Chacun des anciens prophètes parla moins pour son propre temps que pour le nôtre, de sorte que ses prophéties sont en vigueur pour nous. “Or toutes ces choses leur arrivèrent pour servir d’exemples; et elles ont été écrites pour notre instruction, à nous sur qui la fin des siècles est parvenue.” 1 Corinthiens 10:11. » Messages choisis, livre 3, 338.</w:t>
      </w:r>
    </w:p>
    <w:p>
      <w:pPr>
        <w:pStyle w:val="ArticleBody"/>
        <w:jc w:val="left"/>
      </w:pPr>
      <w:r>
        <w:rPr>
          <w:rFonts w:ascii="Times New Roman" w:hAnsi="Times New Roman" w:eastAsia="Times New Roman" w:cs="Times New Roman"/>
        </w:rPr>
        <w:t>Waprofi bonke bayavumelana omunye nomunye, ngakho-ke zonke iziprofetho zabo ziveza umfanekiso ofanayo, futhi lowo mfanekiso ungowezinsuku zokugcina, okuyizinsuku zokwahlulela.</w:t>
      </w:r>
    </w:p>
    <w:p>
      <w:pPr>
        <w:pStyle w:val="ArticleScripture"/>
        <w:jc w:val="left"/>
      </w:pPr>
      <w:r>
        <w:rPr>
          <w:rFonts w:ascii="Times New Roman" w:hAnsi="Times New Roman" w:eastAsia="Times New Roman" w:cs="Times New Roman"/>
        </w:rPr>
        <w:t>Og åndene i profetene er underordnet profetene. For Gud er ikke uordens opphavsmann, men fredens, slik som i alle de helliges menigheter. 1 Korinterbrev 14:32, 33.</w:t>
      </w:r>
    </w:p>
    <w:p>
      <w:pPr>
        <w:pStyle w:val="ArticleBody"/>
        <w:jc w:val="left"/>
      </w:pPr>
      <w:r>
        <w:rPr>
          <w:rFonts w:ascii="Times New Roman" w:hAnsi="Times New Roman" w:eastAsia="Times New Roman" w:cs="Times New Roman"/>
        </w:rPr>
        <w:t>Yerusalemu katika maono ya Ezekieli yanayoanza katika sura ya nane, ni kanisa la Mungu, ambalo ni kanisa la Waadventista Wasabato wa Laodikia katika siku za mwisho. Sura ya nane na ya tisa za Ezekieli zinatambulisha makundi mawili ya waabuduo katika hitimisho la hukumu ya nyumba ya Mungu. Kundi moja linawakilishwa na wale wazee ishirini na watano wakiinama kuiabudu jua, lakini wale wanaougua na kulia kwa sababu ya machukizo yanayofanywa katika kanisa na katika nchi, wanapokea muhuri wa Mungu. Katika sura ya kumi na moja, maono ya Ezekieli yanaendeleza mfano wa adhabu ya wale wanaume ishirini na watano wanaoinamia jua.</w:t>
      </w:r>
    </w:p>
    <w:p>
      <w:pPr>
        <w:pStyle w:val="ArticleScripture"/>
        <w:jc w:val="left"/>
      </w:pPr>
      <w:r>
        <w:rPr>
          <w:rFonts w:ascii="Times New Roman" w:hAnsi="Times New Roman" w:eastAsia="Times New Roman" w:cs="Times New Roman"/>
        </w:rPr>
        <w:t>De plus, l’Esprit m’enleva et me conduisit à la porte orientale de la maison de l’Éternel, celle qui regarde vers l’orient; et voici, à l’entrée de la porte, il y avait vingt-cinq hommes, parmi lesquels je vis Jaazania, fils d’Azur, et Pelatia, fils de Benaja, chefs du peuple. Et il me dit: Fils de l’homme, ce sont là les hommes qui méditent l’iniquité et donnent de mauvais conseils dans cette ville. Ils disent: Le temps n’est pas proche; bâtissons des maisons: cette ville est la chaudière, et nous sommes la chair. C’est pourquoi prophétise contre eux, prophétise, fils de l’homme. Et l’Esprit de l’Éternel tomba sur moi, et il me dit: Parle; ainsi parle l’Éternel: Ainsi avez-vous parlé, maison d’Israël; et les choses qui montent dans votre esprit, je les connais, chacune d’elles. Vous avez multiplié vos morts dans cette ville, et vous en avez rempli les rues de morts. C’est pourquoi ainsi parle le Seigneur, l’Éternel: Vos morts que vous avez étendus au milieu d’elle, ce sont eux la chair, et cette ville est la chaudière; mais vous, je vous ferai sortir du milieu d’elle. Vous avez craint l’épée, et je ferai venir sur vous l’épée, dit le Seigneur, l’Éternel. Je vous ferai sortir du milieu d’elle, je vous livrerai entre les mains des étrangers, et j’exécuterai parmi vous mes jugements. Ézéchiel 11:1–9.</w:t>
      </w:r>
    </w:p>
    <w:p>
      <w:pPr>
        <w:pStyle w:val="ArticleBody"/>
        <w:jc w:val="left"/>
      </w:pPr>
      <w:r>
        <w:rPr>
          <w:rFonts w:ascii="Times New Roman" w:hAnsi="Times New Roman" w:eastAsia="Times New Roman" w:cs="Times New Roman"/>
        </w:rPr>
        <w:t>Yerusalem “qozon” deb tanitiladi, Yerusalimdagi xalq esa qozonda, ya’ni bir idishda pishirilayotgan “go‘sht”dir. Qo‘llarida halokat qurollari bo‘lgan farishtalar tomonidan amalga oshiriladigan yovuzlarning hukmi, yuz qirq to‘rt ming kishining muhrlanishi vaqtida (chunki Opa Uayt Hizqiyo kitobining to‘qqizinchi bobidagi muhrlash Vahiy kitobining yettinchi bobidagi muhrlash bilan bir xil ekanini aytadi), yovuzlarning Yerusalimdan olib tashlanishi haqidagi haqiqatni o‘z ichiga oladi. Tez orada keladigan yakshanba qonuni paytida ruhiy Yerusalem poklanadi va barcha tog‘lar uzra bir bayroq singari yuksaltiriladi.</w:t>
      </w:r>
    </w:p>
    <w:p>
      <w:pPr>
        <w:pStyle w:val="ArticleScripture"/>
        <w:jc w:val="left"/>
      </w:pPr>
      <w:r>
        <w:rPr>
          <w:rFonts w:ascii="Times New Roman" w:hAnsi="Times New Roman" w:eastAsia="Times New Roman" w:cs="Times New Roman"/>
        </w:rPr>
        <w:t>And it shall come to pass in the last days, that the mountain of the Lord’s house shall be established in the top of the mountains, and shall be exalted above the hills; and all nations shall flow unto it. And many people shall go and say, Come ye, and let us go up to the mountain of the Lord, to the house of the God of Jacob; and he will teach us of his ways, and we will walk in his paths: for out of Zion shall go forth the law, and the word of the Lord from Jerusalem. Isaiah 2:2, 3.</w:t>
      </w:r>
    </w:p>
    <w:p>
      <w:pPr>
        <w:pStyle w:val="ArticleBody"/>
        <w:jc w:val="left"/>
      </w:pPr>
      <w:r>
        <w:rPr>
          <w:rFonts w:ascii="Times New Roman" w:hAnsi="Times New Roman" w:eastAsia="Times New Roman" w:cs="Times New Roman"/>
        </w:rPr>
        <w:t>جمрале</w:t>
      </w:r>
      <w:r>
        <w:rPr>
          <w:rFonts w:ascii="Nirmala UI" w:hAnsi="Nirmala UI" w:eastAsia="Nirmala UI" w:cs="Nirmala UI"/>
        </w:rPr>
        <w:t>ब</w:t>
      </w:r>
      <w:r>
        <w:rPr>
          <w:rFonts w:ascii="Times New Roman" w:hAnsi="Times New Roman" w:eastAsia="Times New Roman" w:cs="Times New Roman"/>
        </w:rPr>
        <w:t xml:space="preserve"> Йер</w:t>
      </w:r>
      <w:r>
        <w:rPr>
          <w:rFonts w:ascii="Nirmala UI" w:hAnsi="Nirmala UI" w:eastAsia="Nirmala UI" w:cs="Nirmala UI"/>
        </w:rPr>
        <w:t>ुस</w:t>
      </w:r>
      <w:r>
        <w:rPr>
          <w:rFonts w:ascii="Times New Roman" w:hAnsi="Times New Roman" w:eastAsia="Times New Roman" w:cs="Times New Roman"/>
        </w:rPr>
        <w:t>алим</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व्यवस्थाको</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सम्पन्न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शुद्धीकरण</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स्वभावका</w:t>
      </w:r>
      <w:r>
        <w:rPr>
          <w:rFonts w:ascii="Times New Roman" w:hAnsi="Times New Roman" w:eastAsia="Times New Roman" w:cs="Times New Roman"/>
        </w:rPr>
        <w:t xml:space="preserve"> </w:t>
      </w:r>
      <w:r>
        <w:rPr>
          <w:rFonts w:ascii="Nirmala UI" w:hAnsi="Nirmala UI" w:eastAsia="Nirmala UI" w:cs="Nirmala UI"/>
        </w:rPr>
        <w:t>एडभेन्टिस्टहरूको</w:t>
      </w:r>
      <w:r>
        <w:rPr>
          <w:rFonts w:ascii="Times New Roman" w:hAnsi="Times New Roman" w:eastAsia="Times New Roman" w:cs="Times New Roman"/>
        </w:rPr>
        <w:t xml:space="preserve"> </w:t>
      </w:r>
      <w:r>
        <w:rPr>
          <w:rFonts w:ascii="Nirmala UI" w:hAnsi="Nirmala UI" w:eastAsia="Nirmala UI" w:cs="Nirmala UI"/>
        </w:rPr>
        <w:t>हटाइँ</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फिलाडेल्फिया</w:t>
      </w:r>
      <w:r>
        <w:rPr>
          <w:rFonts w:ascii="Times New Roman" w:hAnsi="Times New Roman" w:eastAsia="Times New Roman" w:cs="Times New Roman"/>
        </w:rPr>
        <w:t xml:space="preserve"> </w:t>
      </w:r>
      <w:r>
        <w:rPr>
          <w:rFonts w:ascii="Nirmala UI" w:hAnsi="Nirmala UI" w:eastAsia="Nirmala UI" w:cs="Nirmala UI"/>
        </w:rPr>
        <w:t>स्वभावका</w:t>
      </w:r>
      <w:r>
        <w:rPr>
          <w:rFonts w:ascii="Times New Roman" w:hAnsi="Times New Roman" w:eastAsia="Times New Roman" w:cs="Times New Roman"/>
        </w:rPr>
        <w:t xml:space="preserve"> </w:t>
      </w:r>
      <w:r>
        <w:rPr>
          <w:rFonts w:ascii="Nirmala UI" w:hAnsi="Nirmala UI" w:eastAsia="Nirmala UI" w:cs="Nirmala UI"/>
        </w:rPr>
        <w:t>एडभेन्टिस्टहरू</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रहन्छन्।</w:t>
      </w:r>
      <w:r>
        <w:rPr>
          <w:rFonts w:ascii="Times New Roman" w:hAnsi="Times New Roman" w:eastAsia="Times New Roman" w:cs="Times New Roman"/>
        </w:rPr>
        <w:t xml:space="preserve"> </w:t>
      </w:r>
      <w:r>
        <w:rPr>
          <w:rFonts w:ascii="Nirmala UI" w:hAnsi="Nirmala UI" w:eastAsia="Nirmala UI" w:cs="Nirmala UI"/>
        </w:rPr>
        <w:t>त्यसपछि</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निगमीय</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अन्त्य</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व्यवस्थामा</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सरकार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नियन्त्रणकारी</w:t>
      </w:r>
      <w:r>
        <w:rPr>
          <w:rFonts w:ascii="Times New Roman" w:hAnsi="Times New Roman" w:eastAsia="Times New Roman" w:cs="Times New Roman"/>
        </w:rPr>
        <w:t xml:space="preserve"> </w:t>
      </w:r>
      <w:r>
        <w:rPr>
          <w:rFonts w:ascii="Nirmala UI" w:hAnsi="Nirmala UI" w:eastAsia="Nirmala UI" w:cs="Nirmala UI"/>
        </w:rPr>
        <w:t>सत्ता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अमेरिकाको</w:t>
      </w:r>
      <w:r>
        <w:rPr>
          <w:rFonts w:ascii="Times New Roman" w:hAnsi="Times New Roman" w:eastAsia="Times New Roman" w:cs="Times New Roman"/>
        </w:rPr>
        <w:t xml:space="preserve"> </w:t>
      </w:r>
      <w:r>
        <w:rPr>
          <w:rFonts w:ascii="Nirmala UI" w:hAnsi="Nirmala UI" w:eastAsia="Nirmala UI" w:cs="Nirmala UI"/>
        </w:rPr>
        <w:t>सरकारले</w:t>
      </w:r>
      <w:r>
        <w:rPr>
          <w:rFonts w:ascii="Times New Roman" w:hAnsi="Times New Roman" w:eastAsia="Times New Roman" w:cs="Times New Roman"/>
        </w:rPr>
        <w:t xml:space="preserve"> </w:t>
      </w:r>
      <w:r>
        <w:rPr>
          <w:rFonts w:ascii="Nirmala UI" w:hAnsi="Nirmala UI" w:eastAsia="Nirmala UI" w:cs="Nirmala UI"/>
        </w:rPr>
        <w:t>देशभरि</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पालनलाई</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गराउँछ</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सेभेन्थ</w:t>
      </w:r>
      <w:r>
        <w:rPr>
          <w:rFonts w:ascii="Times New Roman" w:hAnsi="Times New Roman" w:eastAsia="Times New Roman" w:cs="Times New Roman"/>
        </w:rPr>
        <w:t>-</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मण्डलीको</w:t>
      </w:r>
      <w:r>
        <w:rPr>
          <w:rFonts w:ascii="Times New Roman" w:hAnsi="Times New Roman" w:eastAsia="Times New Roman" w:cs="Times New Roman"/>
        </w:rPr>
        <w:t xml:space="preserve"> </w:t>
      </w:r>
      <w:r>
        <w:rPr>
          <w:rFonts w:ascii="Nirmala UI" w:hAnsi="Nirmala UI" w:eastAsia="Nirmala UI" w:cs="Nirmala UI"/>
        </w:rPr>
        <w:t>निगमीय</w:t>
      </w:r>
      <w:r>
        <w:rPr>
          <w:rFonts w:ascii="Times New Roman" w:hAnsi="Times New Roman" w:eastAsia="Times New Roman" w:cs="Times New Roman"/>
        </w:rPr>
        <w:t xml:space="preserve"> </w:t>
      </w:r>
      <w:r>
        <w:rPr>
          <w:rFonts w:ascii="Nirmala UI" w:hAnsi="Nirmala UI" w:eastAsia="Nirmala UI" w:cs="Nirmala UI"/>
        </w:rPr>
        <w:t>संरचना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विघटित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सम्भवतः</w:t>
      </w:r>
      <w:r>
        <w:rPr>
          <w:rFonts w:ascii="Times New Roman" w:hAnsi="Times New Roman" w:eastAsia="Times New Roman" w:cs="Times New Roman"/>
        </w:rPr>
        <w:t xml:space="preserve"> </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कानुनी</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परिवर्तन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सन्डे</w:t>
      </w:r>
      <w:r>
        <w:rPr>
          <w:rFonts w:ascii="Times New Roman" w:hAnsi="Times New Roman" w:eastAsia="Times New Roman" w:cs="Times New Roman"/>
        </w:rPr>
        <w:t xml:space="preserve"> </w:t>
      </w:r>
      <w:r>
        <w:rPr>
          <w:rFonts w:ascii="Nirmala UI" w:hAnsi="Nirmala UI" w:eastAsia="Nirmala UI" w:cs="Nirmala UI"/>
        </w:rPr>
        <w:t>एडभेन्टिस्ट</w:t>
      </w:r>
      <w:r>
        <w:rPr>
          <w:rFonts w:ascii="Times New Roman" w:hAnsi="Times New Roman" w:eastAsia="Times New Roman" w:cs="Times New Roman"/>
        </w:rPr>
        <w:t xml:space="preserve"> </w:t>
      </w:r>
      <w:r>
        <w:rPr>
          <w:rFonts w:ascii="Nirmala UI" w:hAnsi="Nirmala UI" w:eastAsia="Nirmala UI" w:cs="Nirmala UI"/>
        </w:rPr>
        <w:t>चर्चजस्तो</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राखिन्छ।</w:t>
      </w:r>
    </w:p>
    <w:p>
      <w:pPr>
        <w:pStyle w:val="ArticleBody"/>
        <w:jc w:val="left"/>
      </w:pPr>
      <w:r>
        <w:rPr>
          <w:rFonts w:ascii="Times New Roman" w:hAnsi="Times New Roman" w:eastAsia="Times New Roman" w:cs="Times New Roman"/>
        </w:rPr>
        <w:t>Lorsque les méchants qui sont à Jérusalem sont retirés du chaudron par les anges destructeurs, l’Église adventiste laodicéenne prend fin, et le mouvement philadelphien devient la Jérusalem spirituelle qui est élevée comme une bannière. Michée s’adresse aux anciens, que Ésaïe appelle les hommes moqueurs, qui appellent le bien mal et le mal bien, et, par une question, il montre que les anciens auraient dû connaître le « jugement ». Ils auraient dû connaître le temps de leur visitation.</w:t>
      </w:r>
    </w:p>
    <w:p>
      <w:pPr>
        <w:pStyle w:val="ArticleScripture"/>
        <w:jc w:val="left"/>
      </w:pPr>
      <w:r>
        <w:rPr>
          <w:rFonts w:ascii="Microsoft YaHei" w:hAnsi="Microsoft YaHei" w:eastAsia="Microsoft YaHei" w:cs="Microsoft YaHei"/>
        </w:rPr>
        <w:t>我說：雅各的首領、以色列家的官長啊</w:t>
      </w:r>
      <w:r>
        <w:rPr>
          <w:rFonts w:ascii="Times New Roman" w:hAnsi="Times New Roman" w:eastAsia="Times New Roman" w:cs="Times New Roman"/>
        </w:rPr>
        <w:t>,</w:t>
      </w:r>
      <w:r>
        <w:rPr>
          <w:rFonts w:ascii="Microsoft YaHei" w:hAnsi="Microsoft YaHei" w:eastAsia="Microsoft YaHei" w:cs="Microsoft YaHei"/>
        </w:rPr>
        <w:t>請你們聽！你們不當知道公平嗎？你們惡善好惡</w:t>
      </w:r>
      <w:r>
        <w:rPr>
          <w:rFonts w:ascii="Times New Roman" w:hAnsi="Times New Roman" w:eastAsia="Times New Roman" w:cs="Times New Roman"/>
        </w:rPr>
        <w:t>,</w:t>
      </w:r>
      <w:r>
        <w:rPr>
          <w:rFonts w:ascii="Microsoft YaHei" w:hAnsi="Microsoft YaHei" w:eastAsia="Microsoft YaHei" w:cs="Microsoft YaHei"/>
        </w:rPr>
        <w:t>剝去他們身上的皮</w:t>
      </w:r>
      <w:r>
        <w:rPr>
          <w:rFonts w:ascii="Times New Roman" w:hAnsi="Times New Roman" w:eastAsia="Times New Roman" w:cs="Times New Roman"/>
        </w:rPr>
        <w:t>,</w:t>
      </w:r>
      <w:r>
        <w:rPr>
          <w:rFonts w:ascii="Microsoft YaHei" w:hAnsi="Microsoft YaHei" w:eastAsia="Microsoft YaHei" w:cs="Microsoft YaHei"/>
        </w:rPr>
        <w:t>拆下他們骨上的肉</w:t>
      </w:r>
      <w:r>
        <w:rPr>
          <w:rFonts w:ascii="Times New Roman" w:hAnsi="Times New Roman" w:eastAsia="Times New Roman" w:cs="Times New Roman"/>
        </w:rPr>
        <w:t>;</w:t>
      </w:r>
      <w:r>
        <w:rPr>
          <w:rFonts w:ascii="Microsoft YaHei" w:hAnsi="Microsoft YaHei" w:eastAsia="Microsoft YaHei" w:cs="Microsoft YaHei"/>
        </w:rPr>
        <w:t>你們吃我民的肉</w:t>
      </w:r>
      <w:r>
        <w:rPr>
          <w:rFonts w:ascii="Times New Roman" w:hAnsi="Times New Roman" w:eastAsia="Times New Roman" w:cs="Times New Roman"/>
        </w:rPr>
        <w:t>,</w:t>
      </w:r>
      <w:r>
        <w:rPr>
          <w:rFonts w:ascii="Microsoft YaHei" w:hAnsi="Microsoft YaHei" w:eastAsia="Microsoft YaHei" w:cs="Microsoft YaHei"/>
        </w:rPr>
        <w:t>剝他們的皮</w:t>
      </w:r>
      <w:r>
        <w:rPr>
          <w:rFonts w:ascii="Times New Roman" w:hAnsi="Times New Roman" w:eastAsia="Times New Roman" w:cs="Times New Roman"/>
        </w:rPr>
        <w:t>,</w:t>
      </w:r>
      <w:r>
        <w:rPr>
          <w:rFonts w:ascii="Microsoft YaHei" w:hAnsi="Microsoft YaHei" w:eastAsia="Microsoft YaHei" w:cs="Microsoft YaHei"/>
        </w:rPr>
        <w:t>打折他們的骨頭</w:t>
      </w:r>
      <w:r>
        <w:rPr>
          <w:rFonts w:ascii="Times New Roman" w:hAnsi="Times New Roman" w:eastAsia="Times New Roman" w:cs="Times New Roman"/>
        </w:rPr>
        <w:t>,</w:t>
      </w:r>
      <w:r>
        <w:rPr>
          <w:rFonts w:ascii="Microsoft YaHei" w:hAnsi="Microsoft YaHei" w:eastAsia="Microsoft YaHei" w:cs="Microsoft YaHei"/>
        </w:rPr>
        <w:t>切成塊子</w:t>
      </w:r>
      <w:r>
        <w:rPr>
          <w:rFonts w:ascii="Times New Roman" w:hAnsi="Times New Roman" w:eastAsia="Times New Roman" w:cs="Times New Roman"/>
        </w:rPr>
        <w:t>,</w:t>
      </w:r>
      <w:r>
        <w:rPr>
          <w:rFonts w:ascii="Microsoft YaHei" w:hAnsi="Microsoft YaHei" w:eastAsia="Microsoft YaHei" w:cs="Microsoft YaHei"/>
        </w:rPr>
        <w:t>像要下鍋</w:t>
      </w:r>
      <w:r>
        <w:rPr>
          <w:rFonts w:ascii="Times New Roman" w:hAnsi="Times New Roman" w:eastAsia="Times New Roman" w:cs="Times New Roman"/>
        </w:rPr>
        <w:t>,</w:t>
      </w:r>
      <w:r>
        <w:rPr>
          <w:rFonts w:ascii="Microsoft YaHei" w:hAnsi="Microsoft YaHei" w:eastAsia="Microsoft YaHei" w:cs="Microsoft YaHei"/>
        </w:rPr>
        <w:t>又如釜中的肉</w:t>
      </w:r>
      <w:r>
        <w:rPr>
          <w:rFonts w:ascii="Times New Roman" w:hAnsi="Times New Roman" w:eastAsia="Times New Roman" w:cs="Times New Roman"/>
        </w:rPr>
        <w:t>.</w:t>
      </w:r>
      <w:r>
        <w:rPr>
          <w:rFonts w:ascii="Microsoft YaHei" w:hAnsi="Microsoft YaHei" w:eastAsia="Microsoft YaHei" w:cs="Microsoft YaHei"/>
        </w:rPr>
        <w:t>彌迦書</w:t>
      </w:r>
      <w:r>
        <w:rPr>
          <w:rFonts w:ascii="Times New Roman" w:hAnsi="Times New Roman" w:eastAsia="Times New Roman" w:cs="Times New Roman"/>
        </w:rPr>
        <w:t xml:space="preserve"> 3:1–3</w:t>
      </w:r>
    </w:p>
    <w:p>
      <w:pPr>
        <w:pStyle w:val="ArticleBody"/>
        <w:jc w:val="left"/>
      </w:pPr>
      <w:r>
        <w:rPr>
          <w:rFonts w:ascii="Times New Roman" w:hAnsi="Times New Roman" w:eastAsia="Times New Roman" w:cs="Times New Roman"/>
        </w:rPr>
        <w:t>God a fermement voulu, et veut encore, que son peuple des derniers jours « connaisse le jugement », et le jugement n’est pas un concept singulier. C’est une histoire progressive, comportant plusieurs éléments et des jalons précis. C’est une période prophétique qui a commencé en 1798 et se poursuit jusqu’à la fin du millénium. Il est à la fois investigatif et exécutif. Il s’accomplit sur tout homme ayant jamais vécu sur la planète terre, ainsi que sur les anges qui furent chassés du ciel. Les périodes du jugement constituent une compréhension essentielle pour les fidèles de Dieu dans les derniers jours, car la réponse à la question de Michée est : « oui, Israël doit comprendre le jugement. »</w:t>
      </w:r>
    </w:p>
    <w:p>
      <w:pPr>
        <w:pStyle w:val="ArticleBody"/>
        <w:jc w:val="left"/>
      </w:pPr>
      <w:r>
        <w:rPr>
          <w:rFonts w:ascii="Nirmala UI" w:hAnsi="Nirmala UI" w:eastAsia="Nirmala UI" w:cs="Nirmala UI"/>
        </w:rPr>
        <w:t>ਯਿਰਮਿਯਾਹ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ਸਦੀਵੀ</w:t>
      </w:r>
      <w:r>
        <w:rPr>
          <w:rFonts w:ascii="Times New Roman" w:hAnsi="Times New Roman" w:eastAsia="Times New Roman" w:cs="Times New Roman"/>
        </w:rPr>
        <w:t xml:space="preserve"> </w:t>
      </w:r>
      <w:r>
        <w:rPr>
          <w:rFonts w:ascii="Nirmala UI" w:hAnsi="Nirmala UI" w:eastAsia="Nirmala UI" w:cs="Nirmala UI"/>
        </w:rPr>
        <w:t>ਪਿੱਠ</w:t>
      </w:r>
      <w:r>
        <w:rPr>
          <w:rFonts w:ascii="Times New Roman" w:hAnsi="Times New Roman" w:eastAsia="Times New Roman" w:cs="Times New Roman"/>
        </w:rPr>
        <w:t>-</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ਪਰਾਕਾਸ਼ਠਾ</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ਪ੍ਰਤੀਨਿਧਿਤਵ</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ਵਧਦੀ</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ਪੀੜ੍ਹੀਆਂ</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ਹਿਜ਼ਕੀਏਲ</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ਅੱਠ</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ਕ੍ਰਮਵੱਧ</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ਘਿਣੌਣੀਆਂ</w:t>
      </w:r>
      <w:r>
        <w:rPr>
          <w:rFonts w:ascii="Times New Roman" w:hAnsi="Times New Roman" w:eastAsia="Times New Roman" w:cs="Times New Roman"/>
        </w:rPr>
        <w:t xml:space="preserve"> </w:t>
      </w:r>
      <w:r>
        <w:rPr>
          <w:rFonts w:ascii="Nirmala UI" w:hAnsi="Nirmala UI" w:eastAsia="Nirmala UI" w:cs="Nirmala UI"/>
        </w:rPr>
        <w:t>ਕਰਤੂਤਾਂ</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ਪੁਰਾਤਨ</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ਆਤਮਵਾਦ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ਲਿਪਟੇ</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ਸੂਰਜ</w:t>
      </w:r>
      <w:r>
        <w:rPr>
          <w:rFonts w:ascii="Times New Roman" w:hAnsi="Times New Roman" w:eastAsia="Times New Roman" w:cs="Times New Roman"/>
        </w:rPr>
        <w:t xml:space="preserve">, </w:t>
      </w:r>
      <w:r>
        <w:rPr>
          <w:rFonts w:ascii="Nirmala UI" w:hAnsi="Nirmala UI" w:eastAsia="Nirmala UI" w:cs="Nirmala UI"/>
        </w:rPr>
        <w:t>ਚੰਦ੍ਰਮਾ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ਉਪਾਸਨਾ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ਡਿੱਗਣਗੇ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ਉੱਠਣਗੇ</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ਅਸਵੀਕਾਰ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ਲੱਛਣਾਂ</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ਯਿਰਮਿਯਾਹ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ਜਾਣਦੇ।</w:t>
      </w:r>
      <w:r>
        <w:rPr>
          <w:rFonts w:ascii="Times New Roman" w:hAnsi="Times New Roman" w:eastAsia="Times New Roman" w:cs="Times New Roman"/>
        </w:rPr>
        <w:t>”</w:t>
      </w:r>
    </w:p>
    <w:p>
      <w:pPr>
        <w:pStyle w:val="ArticleScripture"/>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ଯିହୂଦାର</w:t>
      </w:r>
      <w:r>
        <w:rPr>
          <w:rFonts w:ascii="Times New Roman" w:hAnsi="Times New Roman" w:eastAsia="Times New Roman" w:cs="Times New Roman"/>
        </w:rPr>
        <w:t xml:space="preserve"> </w:t>
      </w:r>
      <w:r>
        <w:rPr>
          <w:rFonts w:ascii="Nirmala UI" w:hAnsi="Nirmala UI" w:eastAsia="Nirmala UI" w:cs="Nirmala UI"/>
        </w:rPr>
        <w:t>ରାଜାମାନଙ୍କର</w:t>
      </w:r>
      <w:r>
        <w:rPr>
          <w:rFonts w:ascii="Times New Roman" w:hAnsi="Times New Roman" w:eastAsia="Times New Roman" w:cs="Times New Roman"/>
        </w:rPr>
        <w:t xml:space="preserve"> </w:t>
      </w:r>
      <w:r>
        <w:rPr>
          <w:rFonts w:ascii="Nirmala UI" w:hAnsi="Nirmala UI" w:eastAsia="Nirmala UI" w:cs="Nirmala UI"/>
        </w:rPr>
        <w:t>ହାଡ଼</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ସରଦାରମାନଙ୍କର</w:t>
      </w:r>
      <w:r>
        <w:rPr>
          <w:rFonts w:ascii="Times New Roman" w:hAnsi="Times New Roman" w:eastAsia="Times New Roman" w:cs="Times New Roman"/>
        </w:rPr>
        <w:t xml:space="preserve"> </w:t>
      </w:r>
      <w:r>
        <w:rPr>
          <w:rFonts w:ascii="Nirmala UI" w:hAnsi="Nirmala UI" w:eastAsia="Nirmala UI" w:cs="Nirmala UI"/>
        </w:rPr>
        <w:t>ହାଡ଼</w:t>
      </w:r>
      <w:r>
        <w:rPr>
          <w:rFonts w:ascii="Times New Roman" w:hAnsi="Times New Roman" w:eastAsia="Times New Roman" w:cs="Times New Roman"/>
        </w:rPr>
        <w:t xml:space="preserve">, </w:t>
      </w:r>
      <w:r>
        <w:rPr>
          <w:rFonts w:ascii="Nirmala UI" w:hAnsi="Nirmala UI" w:eastAsia="Nirmala UI" w:cs="Nirmala UI"/>
        </w:rPr>
        <w:t>ଯାଜକମାନଙ୍କର</w:t>
      </w:r>
      <w:r>
        <w:rPr>
          <w:rFonts w:ascii="Times New Roman" w:hAnsi="Times New Roman" w:eastAsia="Times New Roman" w:cs="Times New Roman"/>
        </w:rPr>
        <w:t xml:space="preserve"> </w:t>
      </w:r>
      <w:r>
        <w:rPr>
          <w:rFonts w:ascii="Nirmala UI" w:hAnsi="Nirmala UI" w:eastAsia="Nirmala UI" w:cs="Nirmala UI"/>
        </w:rPr>
        <w:t>ହାଡ଼</w:t>
      </w:r>
      <w:r>
        <w:rPr>
          <w:rFonts w:ascii="Times New Roman" w:hAnsi="Times New Roman" w:eastAsia="Times New Roman" w:cs="Times New Roman"/>
        </w:rPr>
        <w:t xml:space="preserve">, </w:t>
      </w:r>
      <w:r>
        <w:rPr>
          <w:rFonts w:ascii="Nirmala UI" w:hAnsi="Nirmala UI" w:eastAsia="Nirmala UI" w:cs="Nirmala UI"/>
        </w:rPr>
        <w:t>ଭବିଷ୍ୟଦ୍ବକ୍ତାମାନଙ୍କର</w:t>
      </w:r>
      <w:r>
        <w:rPr>
          <w:rFonts w:ascii="Times New Roman" w:hAnsi="Times New Roman" w:eastAsia="Times New Roman" w:cs="Times New Roman"/>
        </w:rPr>
        <w:t xml:space="preserve"> </w:t>
      </w:r>
      <w:r>
        <w:rPr>
          <w:rFonts w:ascii="Nirmala UI" w:hAnsi="Nirmala UI" w:eastAsia="Nirmala UI" w:cs="Nirmala UI"/>
        </w:rPr>
        <w:t>ହାଡ଼</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ବାସିନ୍ଦାମାନଙ୍କର</w:t>
      </w:r>
      <w:r>
        <w:rPr>
          <w:rFonts w:ascii="Times New Roman" w:hAnsi="Times New Roman" w:eastAsia="Times New Roman" w:cs="Times New Roman"/>
        </w:rPr>
        <w:t xml:space="preserve"> </w:t>
      </w:r>
      <w:r>
        <w:rPr>
          <w:rFonts w:ascii="Nirmala UI" w:hAnsi="Nirmala UI" w:eastAsia="Nirmala UI" w:cs="Nirmala UI"/>
        </w:rPr>
        <w:t>ହାଡ଼କୁ</w:t>
      </w:r>
      <w:r>
        <w:rPr>
          <w:rFonts w:ascii="Times New Roman" w:hAnsi="Times New Roman" w:eastAsia="Times New Roman" w:cs="Times New Roman"/>
        </w:rPr>
        <w:t xml:space="preserve"> </w:t>
      </w:r>
      <w:r>
        <w:rPr>
          <w:rFonts w:ascii="Nirmala UI" w:hAnsi="Nirmala UI" w:eastAsia="Nirmala UI" w:cs="Nirmala UI"/>
        </w:rPr>
        <w:t>ସେମାନଙ୍କର</w:t>
      </w:r>
      <w:r>
        <w:rPr>
          <w:rFonts w:ascii="Times New Roman" w:hAnsi="Times New Roman" w:eastAsia="Times New Roman" w:cs="Times New Roman"/>
        </w:rPr>
        <w:t xml:space="preserve"> </w:t>
      </w:r>
      <w:r>
        <w:rPr>
          <w:rFonts w:ascii="Nirmala UI" w:hAnsi="Nirmala UI" w:eastAsia="Nirmala UI" w:cs="Nirmala UI"/>
        </w:rPr>
        <w:t>ସମାଧିରୁ</w:t>
      </w:r>
      <w:r>
        <w:rPr>
          <w:rFonts w:ascii="Times New Roman" w:hAnsi="Times New Roman" w:eastAsia="Times New Roman" w:cs="Times New Roman"/>
        </w:rPr>
        <w:t xml:space="preserve"> </w:t>
      </w:r>
      <w:r>
        <w:rPr>
          <w:rFonts w:ascii="Nirmala UI" w:hAnsi="Nirmala UI" w:eastAsia="Nirmala UI" w:cs="Nirmala UI"/>
        </w:rPr>
        <w:t>ବାହାର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ହାଡ଼ଗୁଡ଼ିକୁ</w:t>
      </w:r>
      <w:r>
        <w:rPr>
          <w:rFonts w:ascii="Times New Roman" w:hAnsi="Times New Roman" w:eastAsia="Times New Roman" w:cs="Times New Roman"/>
        </w:rPr>
        <w:t xml:space="preserve"> </w:t>
      </w:r>
      <w:r>
        <w:rPr>
          <w:rFonts w:ascii="Nirmala UI" w:hAnsi="Nirmala UI" w:eastAsia="Nirmala UI" w:cs="Nirmala UI"/>
        </w:rPr>
        <w:t>ସୂର୍ଯ୍ୟ</w:t>
      </w:r>
      <w:r>
        <w:rPr>
          <w:rFonts w:ascii="Times New Roman" w:hAnsi="Times New Roman" w:eastAsia="Times New Roman" w:cs="Times New Roman"/>
        </w:rPr>
        <w:t xml:space="preserve">, </w:t>
      </w:r>
      <w:r>
        <w:rPr>
          <w:rFonts w:ascii="Nirmala UI" w:hAnsi="Nirmala UI" w:eastAsia="Nirmala UI" w:cs="Nirmala UI"/>
        </w:rPr>
        <w:t>ଚନ୍ଦ୍ର</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ଆକାଶମଣ୍ଡଳୀୟ</w:t>
      </w:r>
      <w:r>
        <w:rPr>
          <w:rFonts w:ascii="Times New Roman" w:hAnsi="Times New Roman" w:eastAsia="Times New Roman" w:cs="Times New Roman"/>
        </w:rPr>
        <w:t xml:space="preserve"> </w:t>
      </w:r>
      <w:r>
        <w:rPr>
          <w:rFonts w:ascii="Nirmala UI" w:hAnsi="Nirmala UI" w:eastAsia="Nirmala UI" w:cs="Nirmala UI"/>
        </w:rPr>
        <w:t>ସେନାର</w:t>
      </w:r>
      <w:r>
        <w:rPr>
          <w:rFonts w:ascii="Times New Roman" w:hAnsi="Times New Roman" w:eastAsia="Times New Roman" w:cs="Times New Roman"/>
        </w:rPr>
        <w:t xml:space="preserve"> </w:t>
      </w:r>
      <w:r>
        <w:rPr>
          <w:rFonts w:ascii="Nirmala UI" w:hAnsi="Nirmala UI" w:eastAsia="Nirmala UI" w:cs="Nirmala UI"/>
        </w:rPr>
        <w:t>ସାମ୍ନାରେ</w:t>
      </w:r>
      <w:r>
        <w:rPr>
          <w:rFonts w:ascii="Times New Roman" w:hAnsi="Times New Roman" w:eastAsia="Times New Roman" w:cs="Times New Roman"/>
        </w:rPr>
        <w:t xml:space="preserve"> </w:t>
      </w:r>
      <w:r>
        <w:rPr>
          <w:rFonts w:ascii="Nirmala UI" w:hAnsi="Nirmala UI" w:eastAsia="Nirmala UI" w:cs="Nirmala UI"/>
        </w:rPr>
        <w:t>ପ୍ରସାରିତ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ଯେମାନଙ୍କୁ</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ଭଲପାଇଥିଲେ</w:t>
      </w:r>
      <w:r>
        <w:rPr>
          <w:rFonts w:ascii="Times New Roman" w:hAnsi="Times New Roman" w:eastAsia="Times New Roman" w:cs="Times New Roman"/>
        </w:rPr>
        <w:t xml:space="preserve">, </w:t>
      </w:r>
      <w:r>
        <w:rPr>
          <w:rFonts w:ascii="Nirmala UI" w:hAnsi="Nirmala UI" w:eastAsia="Nirmala UI" w:cs="Nirmala UI"/>
        </w:rPr>
        <w:t>ଯେମାନଙ୍କୁ</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ସେବା</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ଯେମାନଙ୍କ</w:t>
      </w:r>
      <w:r>
        <w:rPr>
          <w:rFonts w:ascii="Times New Roman" w:hAnsi="Times New Roman" w:eastAsia="Times New Roman" w:cs="Times New Roman"/>
        </w:rPr>
        <w:t xml:space="preserve"> </w:t>
      </w:r>
      <w:r>
        <w:rPr>
          <w:rFonts w:ascii="Nirmala UI" w:hAnsi="Nirmala UI" w:eastAsia="Nirmala UI" w:cs="Nirmala UI"/>
        </w:rPr>
        <w:t>ପଛରେ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ଚାଲିଥିଲେ</w:t>
      </w:r>
      <w:r>
        <w:rPr>
          <w:rFonts w:ascii="Times New Roman" w:hAnsi="Times New Roman" w:eastAsia="Times New Roman" w:cs="Times New Roman"/>
        </w:rPr>
        <w:t xml:space="preserve">, </w:t>
      </w:r>
      <w:r>
        <w:rPr>
          <w:rFonts w:ascii="Nirmala UI" w:hAnsi="Nirmala UI" w:eastAsia="Nirmala UI" w:cs="Nirmala UI"/>
        </w:rPr>
        <w:t>ଯେମାନଙ୍କୁ</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ଖୋଜିଥିଲେ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ଯେମାନଙ୍କୁ</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ପୂଜା</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ସଂଗ୍ରହ</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କିମ୍ବା</w:t>
      </w:r>
      <w:r>
        <w:rPr>
          <w:rFonts w:ascii="Times New Roman" w:hAnsi="Times New Roman" w:eastAsia="Times New Roman" w:cs="Times New Roman"/>
        </w:rPr>
        <w:t xml:space="preserve"> </w:t>
      </w:r>
      <w:r>
        <w:rPr>
          <w:rFonts w:ascii="Nirmala UI" w:hAnsi="Nirmala UI" w:eastAsia="Nirmala UI" w:cs="Nirmala UI"/>
        </w:rPr>
        <w:t>ସମାଧିସ୍ଥ</w:t>
      </w:r>
      <w:r>
        <w:rPr>
          <w:rFonts w:ascii="Times New Roman" w:hAnsi="Times New Roman" w:eastAsia="Times New Roman" w:cs="Times New Roman"/>
        </w:rPr>
        <w:t xml:space="preserve"> </w:t>
      </w:r>
      <w:r>
        <w:rPr>
          <w:rFonts w:ascii="Nirmala UI" w:hAnsi="Nirmala UI" w:eastAsia="Nirmala UI" w:cs="Nirmala UI"/>
        </w:rPr>
        <w:t>କରାଯିବ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ସେଗୁଡ଼ିକ</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ପୃଷ୍ଠରେ</w:t>
      </w:r>
      <w:r>
        <w:rPr>
          <w:rFonts w:ascii="Times New Roman" w:hAnsi="Times New Roman" w:eastAsia="Times New Roman" w:cs="Times New Roman"/>
        </w:rPr>
        <w:t xml:space="preserve"> </w:t>
      </w:r>
      <w:r>
        <w:rPr>
          <w:rFonts w:ascii="Nirmala UI" w:hAnsi="Nirmala UI" w:eastAsia="Nirmala UI" w:cs="Nirmala UI"/>
        </w:rPr>
        <w:t>ମଳ</w:t>
      </w:r>
      <w:r>
        <w:rPr>
          <w:rFonts w:ascii="Times New Roman" w:hAnsi="Times New Roman" w:eastAsia="Times New Roman" w:cs="Times New Roman"/>
        </w:rPr>
        <w:t xml:space="preserve"> </w:t>
      </w:r>
      <w:r>
        <w:rPr>
          <w:rFonts w:ascii="Nirmala UI" w:hAnsi="Nirmala UI" w:eastAsia="Nirmala UI" w:cs="Nirmala UI"/>
        </w:rPr>
        <w:t>ସଦୃଶ</w:t>
      </w:r>
      <w:r>
        <w:rPr>
          <w:rFonts w:ascii="Times New Roman" w:hAnsi="Times New Roman" w:eastAsia="Times New Roman" w:cs="Times New Roman"/>
        </w:rPr>
        <w:t xml:space="preserve"> </w:t>
      </w:r>
      <w:r>
        <w:rPr>
          <w:rFonts w:ascii="Nirmala UI" w:hAnsi="Nirmala UI" w:eastAsia="Nirmala UI" w:cs="Nirmala UI"/>
        </w:rPr>
        <w:t>ହେବ।</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ଦୁଷ୍ଟ</w:t>
      </w:r>
      <w:r>
        <w:rPr>
          <w:rFonts w:ascii="Times New Roman" w:hAnsi="Times New Roman" w:eastAsia="Times New Roman" w:cs="Times New Roman"/>
        </w:rPr>
        <w:t xml:space="preserve"> </w:t>
      </w:r>
      <w:r>
        <w:rPr>
          <w:rFonts w:ascii="Nirmala UI" w:hAnsi="Nirmala UI" w:eastAsia="Nirmala UI" w:cs="Nirmala UI"/>
        </w:rPr>
        <w:t>କୁଟୁମ୍ବର</w:t>
      </w:r>
      <w:r>
        <w:rPr>
          <w:rFonts w:ascii="Times New Roman" w:hAnsi="Times New Roman" w:eastAsia="Times New Roman" w:cs="Times New Roman"/>
        </w:rPr>
        <w:t xml:space="preserve"> </w:t>
      </w:r>
      <w:r>
        <w:rPr>
          <w:rFonts w:ascii="Nirmala UI" w:hAnsi="Nirmala UI" w:eastAsia="Nirmala UI" w:cs="Nirmala UI"/>
        </w:rPr>
        <w:t>ଅବଶିଷ୍ଟମାନଙ୍କ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ରହିଯିବେ</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ସମସ୍ତ</w:t>
      </w:r>
      <w:r>
        <w:rPr>
          <w:rFonts w:ascii="Times New Roman" w:hAnsi="Times New Roman" w:eastAsia="Times New Roman" w:cs="Times New Roman"/>
        </w:rPr>
        <w:t xml:space="preserve"> </w:t>
      </w:r>
      <w:r>
        <w:rPr>
          <w:rFonts w:ascii="Nirmala UI" w:hAnsi="Nirmala UI" w:eastAsia="Nirmala UI" w:cs="Nirmala UI"/>
        </w:rPr>
        <w:t>ସ୍ଥାନରେ</w:t>
      </w:r>
      <w:r>
        <w:rPr>
          <w:rFonts w:ascii="Times New Roman" w:hAnsi="Times New Roman" w:eastAsia="Times New Roman" w:cs="Times New Roman"/>
        </w:rPr>
        <w:t xml:space="preserve"> </w:t>
      </w:r>
      <w:r>
        <w:rPr>
          <w:rFonts w:ascii="Nirmala UI" w:hAnsi="Nirmala UI" w:eastAsia="Nirmala UI" w:cs="Nirmala UI"/>
        </w:rPr>
        <w:t>ରହିଯାଇଛନ୍ତି</w:t>
      </w:r>
      <w:r>
        <w:rPr>
          <w:rFonts w:ascii="Times New Roman" w:hAnsi="Times New Roman" w:eastAsia="Times New Roman" w:cs="Times New Roman"/>
        </w:rPr>
        <w:t xml:space="preserve"> </w:t>
      </w:r>
      <w:r>
        <w:rPr>
          <w:rFonts w:ascii="Nirmala UI" w:hAnsi="Nirmala UI" w:eastAsia="Nirmala UI" w:cs="Nirmala UI"/>
        </w:rPr>
        <w:t>ଯେଉଁଠାରେ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ତାଡ଼ିଦେଇଛି</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ସବୁଠାରୁ</w:t>
      </w:r>
      <w:r>
        <w:rPr>
          <w:rFonts w:ascii="Times New Roman" w:hAnsi="Times New Roman" w:eastAsia="Times New Roman" w:cs="Times New Roman"/>
        </w:rPr>
        <w:t xml:space="preserve"> </w:t>
      </w:r>
      <w:r>
        <w:rPr>
          <w:rFonts w:ascii="Nirmala UI" w:hAnsi="Nirmala UI" w:eastAsia="Nirmala UI" w:cs="Nirmala UI"/>
        </w:rPr>
        <w:t>ଜୀବନଠାରୁ</w:t>
      </w:r>
      <w:r>
        <w:rPr>
          <w:rFonts w:ascii="Times New Roman" w:hAnsi="Times New Roman" w:eastAsia="Times New Roman" w:cs="Times New Roman"/>
        </w:rPr>
        <w:t xml:space="preserve"> </w:t>
      </w:r>
      <w:r>
        <w:rPr>
          <w:rFonts w:ascii="Nirmala UI" w:hAnsi="Nirmala UI" w:eastAsia="Nirmala UI" w:cs="Nirmala UI"/>
        </w:rPr>
        <w:t>ମୃତ୍ୟୁକୁ</w:t>
      </w:r>
      <w:r>
        <w:rPr>
          <w:rFonts w:ascii="Times New Roman" w:hAnsi="Times New Roman" w:eastAsia="Times New Roman" w:cs="Times New Roman"/>
        </w:rPr>
        <w:t xml:space="preserve"> </w:t>
      </w:r>
      <w:r>
        <w:rPr>
          <w:rFonts w:ascii="Nirmala UI" w:hAnsi="Nirmala UI" w:eastAsia="Nirmala UI" w:cs="Nirmala UI"/>
        </w:rPr>
        <w:t>ବାଛାଯିବ</w:t>
      </w:r>
      <w:r>
        <w:rPr>
          <w:rFonts w:ascii="Times New Roman" w:hAnsi="Times New Roman" w:eastAsia="Times New Roman" w:cs="Times New Roman"/>
        </w:rPr>
        <w:t xml:space="preserve">, </w:t>
      </w:r>
      <w:r>
        <w:rPr>
          <w:rFonts w:ascii="Nirmala UI" w:hAnsi="Nirmala UI" w:eastAsia="Nirmala UI" w:cs="Nirmala UI"/>
        </w:rPr>
        <w:t>ସେନାଧିଶ</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ତଦୁପରି</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କହିବ</w:t>
      </w:r>
      <w:r>
        <w:rPr>
          <w:rFonts w:ascii="Times New Roman" w:hAnsi="Times New Roman" w:eastAsia="Times New Roman" w:cs="Times New Roman"/>
        </w:rPr>
        <w:t xml:space="preserve">, </w:t>
      </w:r>
      <w:r>
        <w:rPr>
          <w:rFonts w:ascii="Nirmala UI" w:hAnsi="Nirmala UI" w:eastAsia="Nirmala UI" w:cs="Nirmala UI"/>
        </w:rPr>
        <w:t>ପ୍ରଭୁ</w:t>
      </w:r>
      <w:r>
        <w:rPr>
          <w:rFonts w:ascii="Times New Roman" w:hAnsi="Times New Roman" w:eastAsia="Times New Roman" w:cs="Times New Roman"/>
        </w:rPr>
        <w:t xml:space="preserve"> </w:t>
      </w:r>
      <w:r>
        <w:rPr>
          <w:rFonts w:ascii="Nirmala UI" w:hAnsi="Nirmala UI" w:eastAsia="Nirmala UI" w:cs="Nirmala UI"/>
        </w:rPr>
        <w:t>ଏପରି</w:t>
      </w:r>
      <w:r>
        <w:rPr>
          <w:rFonts w:ascii="Times New Roman" w:hAnsi="Times New Roman" w:eastAsia="Times New Roman" w:cs="Times New Roman"/>
        </w:rPr>
        <w:t xml:space="preserve"> </w:t>
      </w:r>
      <w:r>
        <w:rPr>
          <w:rFonts w:ascii="Nirmala UI" w:hAnsi="Nirmala UI" w:eastAsia="Nirmala UI" w:cs="Nirmala UI"/>
        </w:rPr>
        <w:t>କହନ୍ତି</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ପଡ଼ିଗଲେ</w:t>
      </w:r>
      <w:r>
        <w:rPr>
          <w:rFonts w:ascii="Times New Roman" w:hAnsi="Times New Roman" w:eastAsia="Times New Roman" w:cs="Times New Roman"/>
        </w:rPr>
        <w:t xml:space="preserve"> </w:t>
      </w:r>
      <w:r>
        <w:rPr>
          <w:rFonts w:ascii="Nirmala UI" w:hAnsi="Nirmala UI" w:eastAsia="Nirmala UI" w:cs="Nirmala UI"/>
        </w:rPr>
        <w:t>ପୁଣି</w:t>
      </w:r>
      <w:r>
        <w:rPr>
          <w:rFonts w:ascii="Times New Roman" w:hAnsi="Times New Roman" w:eastAsia="Times New Roman" w:cs="Times New Roman"/>
        </w:rPr>
        <w:t xml:space="preserve"> </w:t>
      </w:r>
      <w:r>
        <w:rPr>
          <w:rFonts w:ascii="Nirmala UI" w:hAnsi="Nirmala UI" w:eastAsia="Nirmala UI" w:cs="Nirmala UI"/>
        </w:rPr>
        <w:t>ଉଠନ୍ତି</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ବିମୁଖ</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ପୁଣି</w:t>
      </w:r>
      <w:r>
        <w:rPr>
          <w:rFonts w:ascii="Times New Roman" w:hAnsi="Times New Roman" w:eastAsia="Times New Roman" w:cs="Times New Roman"/>
        </w:rPr>
        <w:t xml:space="preserve"> </w:t>
      </w:r>
      <w:r>
        <w:rPr>
          <w:rFonts w:ascii="Nirmala UI" w:hAnsi="Nirmala UI" w:eastAsia="Nirmala UI" w:cs="Nirmala UI"/>
        </w:rPr>
        <w:t>ଫେରି</w:t>
      </w:r>
      <w:r>
        <w:rPr>
          <w:rFonts w:ascii="Times New Roman" w:hAnsi="Times New Roman" w:eastAsia="Times New Roman" w:cs="Times New Roman"/>
        </w:rPr>
        <w:t xml:space="preserve"> </w:t>
      </w:r>
      <w:r>
        <w:rPr>
          <w:rFonts w:ascii="Nirmala UI" w:hAnsi="Nirmala UI" w:eastAsia="Nirmala UI" w:cs="Nirmala UI"/>
        </w:rPr>
        <w:t>ଆସେ</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ଯିରୁଶାଲେମର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ଜନମାନେ</w:t>
      </w:r>
      <w:r>
        <w:rPr>
          <w:rFonts w:ascii="Times New Roman" w:hAnsi="Times New Roman" w:eastAsia="Times New Roman" w:cs="Times New Roman"/>
        </w:rPr>
        <w:t xml:space="preserve"> </w:t>
      </w:r>
      <w:r>
        <w:rPr>
          <w:rFonts w:ascii="Nirmala UI" w:hAnsi="Nirmala UI" w:eastAsia="Nirmala UI" w:cs="Nirmala UI"/>
        </w:rPr>
        <w:t>କାହିଁକି</w:t>
      </w:r>
      <w:r>
        <w:rPr>
          <w:rFonts w:ascii="Times New Roman" w:hAnsi="Times New Roman" w:eastAsia="Times New Roman" w:cs="Times New Roman"/>
        </w:rPr>
        <w:t xml:space="preserve"> </w:t>
      </w:r>
      <w:r>
        <w:rPr>
          <w:rFonts w:ascii="Nirmala UI" w:hAnsi="Nirmala UI" w:eastAsia="Nirmala UI" w:cs="Nirmala UI"/>
        </w:rPr>
        <w:t>ଚିରସ୍ଥାୟୀ</w:t>
      </w:r>
      <w:r>
        <w:rPr>
          <w:rFonts w:ascii="Times New Roman" w:hAnsi="Times New Roman" w:eastAsia="Times New Roman" w:cs="Times New Roman"/>
        </w:rPr>
        <w:t xml:space="preserve"> </w:t>
      </w:r>
      <w:r>
        <w:rPr>
          <w:rFonts w:ascii="Nirmala UI" w:hAnsi="Nirmala UI" w:eastAsia="Nirmala UI" w:cs="Nirmala UI"/>
        </w:rPr>
        <w:t>ପଶ୍ଚାତ୍ପାତରେ</w:t>
      </w:r>
      <w:r>
        <w:rPr>
          <w:rFonts w:ascii="Times New Roman" w:hAnsi="Times New Roman" w:eastAsia="Times New Roman" w:cs="Times New Roman"/>
        </w:rPr>
        <w:t xml:space="preserve"> </w:t>
      </w:r>
      <w:r>
        <w:rPr>
          <w:rFonts w:ascii="Nirmala UI" w:hAnsi="Nirmala UI" w:eastAsia="Nirmala UI" w:cs="Nirmala UI"/>
        </w:rPr>
        <w:t>ପଛକୁ</w:t>
      </w:r>
      <w:r>
        <w:rPr>
          <w:rFonts w:ascii="Times New Roman" w:hAnsi="Times New Roman" w:eastAsia="Times New Roman" w:cs="Times New Roman"/>
        </w:rPr>
        <w:t xml:space="preserve"> </w:t>
      </w:r>
      <w:r>
        <w:rPr>
          <w:rFonts w:ascii="Nirmala UI" w:hAnsi="Nirmala UI" w:eastAsia="Nirmala UI" w:cs="Nirmala UI"/>
        </w:rPr>
        <w:t>ସରିଯାଇଛନ୍ତି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ଛଳକୁ</w:t>
      </w:r>
      <w:r>
        <w:rPr>
          <w:rFonts w:ascii="Times New Roman" w:hAnsi="Times New Roman" w:eastAsia="Times New Roman" w:cs="Times New Roman"/>
        </w:rPr>
        <w:t xml:space="preserve"> </w:t>
      </w:r>
      <w:r>
        <w:rPr>
          <w:rFonts w:ascii="Nirmala UI" w:hAnsi="Nirmala UI" w:eastAsia="Nirmala UI" w:cs="Nirmala UI"/>
        </w:rPr>
        <w:t>ଦୃଢ଼ଭାବେ</w:t>
      </w:r>
      <w:r>
        <w:rPr>
          <w:rFonts w:ascii="Times New Roman" w:hAnsi="Times New Roman" w:eastAsia="Times New Roman" w:cs="Times New Roman"/>
        </w:rPr>
        <w:t xml:space="preserve"> </w:t>
      </w:r>
      <w:r>
        <w:rPr>
          <w:rFonts w:ascii="Nirmala UI" w:hAnsi="Nirmala UI" w:eastAsia="Nirmala UI" w:cs="Nirmala UI"/>
        </w:rPr>
        <w:t>ଧରିରଖିଛନ୍ତି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ଫେରିଆସିବାକୁ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ମନୋଯୋଗପୂର୍ବକ</w:t>
      </w:r>
      <w:r>
        <w:rPr>
          <w:rFonts w:ascii="Times New Roman" w:hAnsi="Times New Roman" w:eastAsia="Times New Roman" w:cs="Times New Roman"/>
        </w:rPr>
        <w:t xml:space="preserve"> </w:t>
      </w:r>
      <w:r>
        <w:rPr>
          <w:rFonts w:ascii="Nirmala UI" w:hAnsi="Nirmala UI" w:eastAsia="Nirmala UI" w:cs="Nirmala UI"/>
        </w:rPr>
        <w:t>ଶୁଣିଲି</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ଯଥାର୍ଥ</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କେହି</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ଦୁଷ୍ଟତା</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ଅନୁତାପ</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କରିଛି</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କହିଲା</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ପ୍ରତ୍ୟେକ</w:t>
      </w:r>
      <w:r>
        <w:rPr>
          <w:rFonts w:ascii="Times New Roman" w:hAnsi="Times New Roman" w:eastAsia="Times New Roman" w:cs="Times New Roman"/>
        </w:rPr>
        <w:t xml:space="preserve"> </w:t>
      </w:r>
      <w:r>
        <w:rPr>
          <w:rFonts w:ascii="Nirmala UI" w:hAnsi="Nirmala UI" w:eastAsia="Nirmala UI" w:cs="Nirmala UI"/>
        </w:rPr>
        <w:t>ଲୋକ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ପଥକୁ</w:t>
      </w:r>
      <w:r>
        <w:rPr>
          <w:rFonts w:ascii="Times New Roman" w:hAnsi="Times New Roman" w:eastAsia="Times New Roman" w:cs="Times New Roman"/>
        </w:rPr>
        <w:t xml:space="preserve"> </w:t>
      </w:r>
      <w:r>
        <w:rPr>
          <w:rFonts w:ascii="Nirmala UI" w:hAnsi="Nirmala UI" w:eastAsia="Nirmala UI" w:cs="Nirmala UI"/>
        </w:rPr>
        <w:t>ଫେରିଗଲା</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ଘୋଡ଼ା</w:t>
      </w:r>
      <w:r>
        <w:rPr>
          <w:rFonts w:ascii="Times New Roman" w:hAnsi="Times New Roman" w:eastAsia="Times New Roman" w:cs="Times New Roman"/>
        </w:rPr>
        <w:t xml:space="preserve"> </w:t>
      </w:r>
      <w:r>
        <w:rPr>
          <w:rFonts w:ascii="Nirmala UI" w:hAnsi="Nirmala UI" w:eastAsia="Nirmala UI" w:cs="Nirmala UI"/>
        </w:rPr>
        <w:t>ଯୁଦ୍ଧକୁ</w:t>
      </w:r>
      <w:r>
        <w:rPr>
          <w:rFonts w:ascii="Times New Roman" w:hAnsi="Times New Roman" w:eastAsia="Times New Roman" w:cs="Times New Roman"/>
        </w:rPr>
        <w:t xml:space="preserve"> </w:t>
      </w:r>
      <w:r>
        <w:rPr>
          <w:rFonts w:ascii="Nirmala UI" w:hAnsi="Nirmala UI" w:eastAsia="Nirmala UI" w:cs="Nirmala UI"/>
        </w:rPr>
        <w:t>ବେଗରେ</w:t>
      </w:r>
      <w:r>
        <w:rPr>
          <w:rFonts w:ascii="Times New Roman" w:hAnsi="Times New Roman" w:eastAsia="Times New Roman" w:cs="Times New Roman"/>
        </w:rPr>
        <w:t xml:space="preserve"> </w:t>
      </w:r>
      <w:r>
        <w:rPr>
          <w:rFonts w:ascii="Nirmala UI" w:hAnsi="Nirmala UI" w:eastAsia="Nirmala UI" w:cs="Nirmala UI"/>
        </w:rPr>
        <w:t>ଧାଉଥାଏ।</w:t>
      </w:r>
      <w:r>
        <w:rPr>
          <w:rFonts w:ascii="Times New Roman" w:hAnsi="Times New Roman" w:eastAsia="Times New Roman" w:cs="Times New Roman"/>
        </w:rPr>
        <w:t xml:space="preserve"> </w:t>
      </w:r>
      <w:r>
        <w:rPr>
          <w:rFonts w:ascii="Nirmala UI" w:hAnsi="Nirmala UI" w:eastAsia="Nirmala UI" w:cs="Nirmala UI"/>
        </w:rPr>
        <w:t>ଆକାଶରେ</w:t>
      </w:r>
      <w:r>
        <w:rPr>
          <w:rFonts w:ascii="Times New Roman" w:hAnsi="Times New Roman" w:eastAsia="Times New Roman" w:cs="Times New Roman"/>
        </w:rPr>
        <w:t xml:space="preserve"> </w:t>
      </w:r>
      <w:r>
        <w:rPr>
          <w:rFonts w:ascii="Nirmala UI" w:hAnsi="Nirmala UI" w:eastAsia="Nirmala UI" w:cs="Nirmala UI"/>
        </w:rPr>
        <w:t>ଥିବା</w:t>
      </w:r>
      <w:r>
        <w:rPr>
          <w:rFonts w:ascii="Times New Roman" w:hAnsi="Times New Roman" w:eastAsia="Times New Roman" w:cs="Times New Roman"/>
        </w:rPr>
        <w:t xml:space="preserve"> </w:t>
      </w:r>
      <w:r>
        <w:rPr>
          <w:rFonts w:ascii="Nirmala UI" w:hAnsi="Nirmala UI" w:eastAsia="Nirmala UI" w:cs="Nirmala UI"/>
        </w:rPr>
        <w:t>କଙ୍କ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ନିର୍ଦ୍ଧାରିତ</w:t>
      </w:r>
      <w:r>
        <w:rPr>
          <w:rFonts w:ascii="Times New Roman" w:hAnsi="Times New Roman" w:eastAsia="Times New Roman" w:cs="Times New Roman"/>
        </w:rPr>
        <w:t xml:space="preserve"> </w:t>
      </w:r>
      <w:r>
        <w:rPr>
          <w:rFonts w:ascii="Nirmala UI" w:hAnsi="Nirmala UI" w:eastAsia="Nirmala UI" w:cs="Nirmala UI"/>
        </w:rPr>
        <w:t>ସମୟକୁ</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ସାରସ</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ଚଟକ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ଆସିବାର</w:t>
      </w:r>
      <w:r>
        <w:rPr>
          <w:rFonts w:ascii="Times New Roman" w:hAnsi="Times New Roman" w:eastAsia="Times New Roman" w:cs="Times New Roman"/>
        </w:rPr>
        <w:t xml:space="preserve"> </w:t>
      </w:r>
      <w:r>
        <w:rPr>
          <w:rFonts w:ascii="Nirmala UI" w:hAnsi="Nirmala UI" w:eastAsia="Nirmala UI" w:cs="Nirmala UI"/>
        </w:rPr>
        <w:t>ସମୟକୁ</w:t>
      </w:r>
      <w:r>
        <w:rPr>
          <w:rFonts w:ascii="Times New Roman" w:hAnsi="Times New Roman" w:eastAsia="Times New Roman" w:cs="Times New Roman"/>
        </w:rPr>
        <w:t xml:space="preserve"> </w:t>
      </w:r>
      <w:r>
        <w:rPr>
          <w:rFonts w:ascii="Nirmala UI" w:hAnsi="Nirmala UI" w:eastAsia="Nirmala UI" w:cs="Nirmala UI"/>
        </w:rPr>
        <w:t>ମାନନ୍ତି</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w:t>
      </w:r>
      <w:r>
        <w:rPr>
          <w:rFonts w:ascii="Nirmala UI" w:hAnsi="Nirmala UI" w:eastAsia="Nirmala UI" w:cs="Nirmala UI"/>
        </w:rPr>
        <w:t>ମୋର</w:t>
      </w:r>
      <w:r>
        <w:rPr>
          <w:rFonts w:ascii="Times New Roman" w:hAnsi="Times New Roman" w:eastAsia="Times New Roman" w:cs="Times New Roman"/>
        </w:rPr>
        <w:t xml:space="preserve"> </w:t>
      </w:r>
      <w:r>
        <w:rPr>
          <w:rFonts w:ascii="Nirmala UI" w:hAnsi="Nirmala UI" w:eastAsia="Nirmala UI" w:cs="Nirmala UI"/>
        </w:rPr>
        <w:t>ପ୍ରଜା</w:t>
      </w:r>
      <w:r>
        <w:rPr>
          <w:rFonts w:ascii="Times New Roman" w:hAnsi="Times New Roman" w:eastAsia="Times New Roman" w:cs="Times New Roman"/>
        </w:rPr>
        <w:t xml:space="preserve"> </w:t>
      </w:r>
      <w:r>
        <w:rPr>
          <w:rFonts w:ascii="Nirmala UI" w:hAnsi="Nirmala UI" w:eastAsia="Nirmala UI" w:cs="Nirmala UI"/>
        </w:rPr>
        <w:t>ପ୍ରଭୁଙ୍କର</w:t>
      </w:r>
      <w:r>
        <w:rPr>
          <w:rFonts w:ascii="Times New Roman" w:hAnsi="Times New Roman" w:eastAsia="Times New Roman" w:cs="Times New Roman"/>
        </w:rPr>
        <w:t xml:space="preserve"> </w:t>
      </w:r>
      <w:r>
        <w:rPr>
          <w:rFonts w:ascii="Nirmala UI" w:hAnsi="Nirmala UI" w:eastAsia="Nirmala UI" w:cs="Nirmala UI"/>
        </w:rPr>
        <w:t>ବିଚାରକୁ</w:t>
      </w:r>
      <w:r>
        <w:rPr>
          <w:rFonts w:ascii="Times New Roman" w:hAnsi="Times New Roman" w:eastAsia="Times New Roman" w:cs="Times New Roman"/>
        </w:rPr>
        <w:t xml:space="preserve"> </w:t>
      </w:r>
      <w:r>
        <w:rPr>
          <w:rFonts w:ascii="Nirmala UI" w:hAnsi="Nirmala UI" w:eastAsia="Nirmala UI" w:cs="Nirmala UI"/>
        </w:rPr>
        <w:t>ଜାଣେ</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ତୁମେ</w:t>
      </w:r>
      <w:r>
        <w:rPr>
          <w:rFonts w:ascii="Times New Roman" w:hAnsi="Times New Roman" w:eastAsia="Times New Roman" w:cs="Times New Roman"/>
        </w:rPr>
        <w:t xml:space="preserve"> </w:t>
      </w:r>
      <w:r>
        <w:rPr>
          <w:rFonts w:ascii="Nirmala UI" w:hAnsi="Nirmala UI" w:eastAsia="Nirmala UI" w:cs="Nirmala UI"/>
        </w:rPr>
        <w:t>କିପରି</w:t>
      </w:r>
      <w:r>
        <w:rPr>
          <w:rFonts w:ascii="Times New Roman" w:hAnsi="Times New Roman" w:eastAsia="Times New Roman" w:cs="Times New Roman"/>
        </w:rPr>
        <w:t xml:space="preserve"> </w:t>
      </w:r>
      <w:r>
        <w:rPr>
          <w:rFonts w:ascii="Nirmala UI" w:hAnsi="Nirmala UI" w:eastAsia="Nirmala UI" w:cs="Nirmala UI"/>
        </w:rPr>
        <w:t>କହୁଛ</w:t>
      </w:r>
      <w:r>
        <w:rPr>
          <w:rFonts w:ascii="Times New Roman" w:hAnsi="Times New Roman" w:eastAsia="Times New Roman" w:cs="Times New Roman"/>
        </w:rPr>
        <w:t>,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ଜ୍ଞାନୀ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ପ୍ରଭୁଙ୍କର</w:t>
      </w:r>
      <w:r>
        <w:rPr>
          <w:rFonts w:ascii="Times New Roman" w:hAnsi="Times New Roman" w:eastAsia="Times New Roman" w:cs="Times New Roman"/>
        </w:rPr>
        <w:t xml:space="preserve"> </w:t>
      </w:r>
      <w:r>
        <w:rPr>
          <w:rFonts w:ascii="Nirmala UI" w:hAnsi="Nirmala UI" w:eastAsia="Nirmala UI" w:cs="Nirmala UI"/>
        </w:rPr>
        <w:t>ବ୍ୟବସ୍ଥା</w:t>
      </w:r>
      <w:r>
        <w:rPr>
          <w:rFonts w:ascii="Times New Roman" w:hAnsi="Times New Roman" w:eastAsia="Times New Roman" w:cs="Times New Roman"/>
        </w:rPr>
        <w:t xml:space="preserve"> </w:t>
      </w:r>
      <w:r>
        <w:rPr>
          <w:rFonts w:ascii="Nirmala UI" w:hAnsi="Nirmala UI" w:eastAsia="Nirmala UI" w:cs="Nirmala UI"/>
        </w:rPr>
        <w:t>ଆମ</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ଲେଖକମାନଙ୍କର</w:t>
      </w:r>
      <w:r>
        <w:rPr>
          <w:rFonts w:ascii="Times New Roman" w:hAnsi="Times New Roman" w:eastAsia="Times New Roman" w:cs="Times New Roman"/>
        </w:rPr>
        <w:t xml:space="preserve"> </w:t>
      </w:r>
      <w:r>
        <w:rPr>
          <w:rFonts w:ascii="Nirmala UI" w:hAnsi="Nirmala UI" w:eastAsia="Nirmala UI" w:cs="Nirmala UI"/>
        </w:rPr>
        <w:t>ଲେଖନୀ</w:t>
      </w:r>
      <w:r>
        <w:rPr>
          <w:rFonts w:ascii="Times New Roman" w:hAnsi="Times New Roman" w:eastAsia="Times New Roman" w:cs="Times New Roman"/>
        </w:rPr>
        <w:t xml:space="preserve"> </w:t>
      </w:r>
      <w:r>
        <w:rPr>
          <w:rFonts w:ascii="Nirmala UI" w:hAnsi="Nirmala UI" w:eastAsia="Nirmala UI" w:cs="Nirmala UI"/>
        </w:rPr>
        <w:t>ତାହାକୁ</w:t>
      </w:r>
      <w:r>
        <w:rPr>
          <w:rFonts w:ascii="Times New Roman" w:hAnsi="Times New Roman" w:eastAsia="Times New Roman" w:cs="Times New Roman"/>
        </w:rPr>
        <w:t xml:space="preserve"> </w:t>
      </w:r>
      <w:r>
        <w:rPr>
          <w:rFonts w:ascii="Nirmala UI" w:hAnsi="Nirmala UI" w:eastAsia="Nirmala UI" w:cs="Nirmala UI"/>
        </w:rPr>
        <w:t>ବ୍ୟର୍ଥ</w:t>
      </w:r>
      <w:r>
        <w:rPr>
          <w:rFonts w:ascii="Times New Roman" w:hAnsi="Times New Roman" w:eastAsia="Times New Roman" w:cs="Times New Roman"/>
        </w:rPr>
        <w:t xml:space="preserve"> </w:t>
      </w:r>
      <w:r>
        <w:rPr>
          <w:rFonts w:ascii="Nirmala UI" w:hAnsi="Nirmala UI" w:eastAsia="Nirmala UI" w:cs="Nirmala UI"/>
        </w:rPr>
        <w:t>କରିଦେଇଛି।</w:t>
      </w:r>
      <w:r>
        <w:rPr>
          <w:rFonts w:ascii="Times New Roman" w:hAnsi="Times New Roman" w:eastAsia="Times New Roman" w:cs="Times New Roman"/>
        </w:rPr>
        <w:t xml:space="preserve"> </w:t>
      </w:r>
      <w:r>
        <w:rPr>
          <w:rFonts w:ascii="Nirmala UI" w:hAnsi="Nirmala UI" w:eastAsia="Nirmala UI" w:cs="Nirmala UI"/>
        </w:rPr>
        <w:t>ଜ୍ଞାନୀମାନେ</w:t>
      </w:r>
      <w:r>
        <w:rPr>
          <w:rFonts w:ascii="Times New Roman" w:hAnsi="Times New Roman" w:eastAsia="Times New Roman" w:cs="Times New Roman"/>
        </w:rPr>
        <w:t xml:space="preserve"> </w:t>
      </w:r>
      <w:r>
        <w:rPr>
          <w:rFonts w:ascii="Nirmala UI" w:hAnsi="Nirmala UI" w:eastAsia="Nirmala UI" w:cs="Nirmala UI"/>
        </w:rPr>
        <w:t>ଲଜ୍ଜିତ</w:t>
      </w:r>
      <w:r>
        <w:rPr>
          <w:rFonts w:ascii="Times New Roman" w:hAnsi="Times New Roman" w:eastAsia="Times New Roman" w:cs="Times New Roman"/>
        </w:rPr>
        <w:t xml:space="preserve"> </w:t>
      </w:r>
      <w:r>
        <w:rPr>
          <w:rFonts w:ascii="Nirmala UI" w:hAnsi="Nirmala UI" w:eastAsia="Nirmala UI" w:cs="Nirmala UI"/>
        </w:rPr>
        <w:t>ହୋଇଛନ୍ତି</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ଭୀତ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ଧରାପଡ଼ିଛନ୍ତି</w:t>
      </w:r>
      <w:r>
        <w:rPr>
          <w:rFonts w:ascii="Times New Roman" w:hAnsi="Times New Roman" w:eastAsia="Times New Roman" w:cs="Times New Roman"/>
        </w:rPr>
        <w:t xml:space="preserve">; </w:t>
      </w:r>
      <w:r>
        <w:rPr>
          <w:rFonts w:ascii="Nirmala UI" w:hAnsi="Nirmala UI" w:eastAsia="Nirmala UI" w:cs="Nirmala UI"/>
        </w:rPr>
        <w:t>ଦେଖ</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ପ୍ରଭୁଙ୍କର</w:t>
      </w:r>
      <w:r>
        <w:rPr>
          <w:rFonts w:ascii="Times New Roman" w:hAnsi="Times New Roman" w:eastAsia="Times New Roman" w:cs="Times New Roman"/>
        </w:rPr>
        <w:t xml:space="preserve"> </w:t>
      </w:r>
      <w:r>
        <w:rPr>
          <w:rFonts w:ascii="Nirmala UI" w:hAnsi="Nirmala UI" w:eastAsia="Nirmala UI" w:cs="Nirmala UI"/>
        </w:rPr>
        <w:t>ବାକ୍ୟକୁ</w:t>
      </w:r>
      <w:r>
        <w:rPr>
          <w:rFonts w:ascii="Times New Roman" w:hAnsi="Times New Roman" w:eastAsia="Times New Roman" w:cs="Times New Roman"/>
        </w:rPr>
        <w:t xml:space="preserve"> </w:t>
      </w:r>
      <w:r>
        <w:rPr>
          <w:rFonts w:ascii="Nirmala UI" w:hAnsi="Nirmala UI" w:eastAsia="Nirmala UI" w:cs="Nirmala UI"/>
        </w:rPr>
        <w:t>ଅସ୍ୱୀକାର</w:t>
      </w:r>
      <w:r>
        <w:rPr>
          <w:rFonts w:ascii="Times New Roman" w:hAnsi="Times New Roman" w:eastAsia="Times New Roman" w:cs="Times New Roman"/>
        </w:rPr>
        <w:t xml:space="preserve"> </w:t>
      </w:r>
      <w:r>
        <w:rPr>
          <w:rFonts w:ascii="Nirmala UI" w:hAnsi="Nirmala UI" w:eastAsia="Nirmala UI" w:cs="Nirmala UI"/>
        </w:rPr>
        <w:t>କରିଛନ୍ତି</w:t>
      </w:r>
      <w:r>
        <w:rPr>
          <w:rFonts w:ascii="Times New Roman" w:hAnsi="Times New Roman" w:eastAsia="Times New Roman" w:cs="Times New Roman"/>
        </w:rPr>
        <w:t xml:space="preserve">; </w:t>
      </w:r>
      <w:r>
        <w:rPr>
          <w:rFonts w:ascii="Nirmala UI" w:hAnsi="Nirmala UI" w:eastAsia="Nirmala UI" w:cs="Nirmala UI"/>
        </w:rPr>
        <w:t>ତେବେ</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କେଉଁ</w:t>
      </w:r>
      <w:r>
        <w:rPr>
          <w:rFonts w:ascii="Times New Roman" w:hAnsi="Times New Roman" w:eastAsia="Times New Roman" w:cs="Times New Roman"/>
        </w:rPr>
        <w:t xml:space="preserve"> </w:t>
      </w:r>
      <w:r>
        <w:rPr>
          <w:rFonts w:ascii="Nirmala UI" w:hAnsi="Nirmala UI" w:eastAsia="Nirmala UI" w:cs="Nirmala UI"/>
        </w:rPr>
        <w:t>ଜ୍ଞାନ</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ଯିରିମିୟ</w:t>
      </w:r>
      <w:r>
        <w:rPr>
          <w:rFonts w:ascii="Times New Roman" w:hAnsi="Times New Roman" w:eastAsia="Times New Roman" w:cs="Times New Roman"/>
        </w:rPr>
        <w:t xml:space="preserve"> 8:1–9.</w:t>
      </w:r>
    </w:p>
    <w:p>
      <w:pPr>
        <w:pStyle w:val="ArticleBody"/>
        <w:jc w:val="left"/>
      </w:pPr>
      <w:r>
        <w:rPr>
          <w:rFonts w:ascii="Times New Roman" w:hAnsi="Times New Roman" w:eastAsia="Times New Roman" w:cs="Times New Roman"/>
        </w:rPr>
        <w:t>Au chapitre cinq, Jérémie désigne comme « insensés » ceux qui ne connaissent pas le jugement de l’Éternel.</w:t>
      </w:r>
    </w:p>
    <w:p>
      <w:pPr>
        <w:pStyle w:val="ArticleScripture"/>
        <w:jc w:val="left"/>
      </w:pPr>
      <w:r>
        <w:rPr>
          <w:rFonts w:ascii="Times New Roman" w:hAnsi="Times New Roman" w:eastAsia="Times New Roman" w:cs="Times New Roman"/>
        </w:rPr>
        <w:t>Jerusalem sina an suakzang hrangah kal chhuak ula, tuahchhuak rawh u, hria rawh u, a kawng lian zawkahte ah zawn ula, mi pakhat tal hmuh theih nan, rorêltu, thutak zawngtu a awm em tih en ula; chutiang mi chu a awm chuan, kei chuan khawpui chu ka ngaihdam ang. Mahse, “LALPA chu nung a ni” an ti tawh mah se, dik lo takin an tiam thung. Aw Lalpa, i mitte hi thutak lamah an thlir lo’m ni? Nangmah chuan anmahni chu i hrem tawh a, nimahsela an lungngai lo; i tihral tawh a, nimahsela zilhna dawn an duh lo: an hmai chu lung aiin an tihkhar zawk a; kir leh an hnial. Chuvangin kei chuan, “Hêngte hi mi rethei an ni ngei ang, an ngawl ve; LALPA kawng leh an Pathian rorêlna chu an hre lo,” ka ti a. Jeremiah 5:1–4.</w:t>
      </w:r>
    </w:p>
    <w:p>
      <w:pPr>
        <w:pStyle w:val="ArticleBody"/>
        <w:jc w:val="left"/>
      </w:pPr>
      <w:r>
        <w:rPr>
          <w:rFonts w:ascii="Times New Roman" w:hAnsi="Times New Roman" w:eastAsia="Times New Roman" w:cs="Times New Roman"/>
        </w:rPr>
        <w:t>Dalam hari-hari terakhir, Adventisme Laodikea, yaitu mereka yang dilambangkan sebagai gadis-gadis bodoh dalam perumpamaan tentang sepuluh gadis, yang oleh Sister White dinyatakan sebagai melambangkan “pengalaman umat Advent,” “tidak mengetahui jalan TUHAN, ataupun hukum Allah mereka.” Dalam pasal berikutnya Yeremia menyatakan bahwa “jalan” TUHAN itu ialah “jalan-jalan yang lama,” tetapi orang-orang Advent Laodikea yang bodoh itu menolak untuk berjalan di dalamnya, ataupun mendengarkan bunyi sangkakala. “Sangkakala” adalah lambang penghakiman, yang tentu saja tidak diketahui oleh orang-orang Advent Laodikea yang bodoh itu.</w:t>
      </w:r>
    </w:p>
    <w:p>
      <w:pPr>
        <w:pStyle w:val="ArticleScripture"/>
        <w:jc w:val="left"/>
      </w:pP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দাঁড়াও</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পথসমূহের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জিজ্ঞাসা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কোথায়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উত্তম</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তাহলেই</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প্রাণের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বিশ্রাম</w:t>
      </w:r>
      <w:r>
        <w:rPr>
          <w:rFonts w:ascii="Times New Roman" w:hAnsi="Times New Roman" w:eastAsia="Times New Roman" w:cs="Times New Roman"/>
        </w:rPr>
        <w:t xml:space="preserve"> </w:t>
      </w:r>
      <w:r>
        <w:rPr>
          <w:rFonts w:ascii="Nirmala UI" w:hAnsi="Nirmala UI" w:eastAsia="Nirmala UI" w:cs="Nirmala UI"/>
        </w:rPr>
        <w:t>পাবে।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চলব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আবার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প্রহরীদের</w:t>
      </w:r>
      <w:r>
        <w:rPr>
          <w:rFonts w:ascii="Times New Roman" w:hAnsi="Times New Roman" w:eastAsia="Times New Roman" w:cs="Times New Roman"/>
        </w:rPr>
        <w:t xml:space="preserve"> </w:t>
      </w:r>
      <w:r>
        <w:rPr>
          <w:rFonts w:ascii="Nirmala UI" w:hAnsi="Nirmala UI" w:eastAsia="Nirmala UI" w:cs="Nirmala UI"/>
        </w:rPr>
        <w:t>নিযুক্ত</w:t>
      </w:r>
      <w:r>
        <w:rPr>
          <w:rFonts w:ascii="Times New Roman" w:hAnsi="Times New Roman" w:eastAsia="Times New Roman" w:cs="Times New Roman"/>
        </w:rPr>
        <w:t xml:space="preserve"> </w:t>
      </w:r>
      <w:r>
        <w:rPr>
          <w:rFonts w:ascii="Nirmala UI" w:hAnsi="Nirmala UI" w:eastAsia="Nirmala UI" w:cs="Nirmala UI"/>
        </w:rPr>
        <w:t>করেছিলাম</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w:t>
      </w:r>
      <w:r>
        <w:rPr>
          <w:rFonts w:ascii="Nirmala UI" w:hAnsi="Nirmala UI" w:eastAsia="Nirmala UI" w:cs="Nirmala UI"/>
        </w:rPr>
        <w:t>তূর্যের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অতএব</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জাতিসকল</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জানো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শুন</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অমঙ্গল</w:t>
      </w:r>
      <w:r>
        <w:rPr>
          <w:rFonts w:ascii="Times New Roman" w:hAnsi="Times New Roman" w:eastAsia="Times New Roman" w:cs="Times New Roman"/>
        </w:rPr>
        <w:t xml:space="preserve"> </w:t>
      </w:r>
      <w:r>
        <w:rPr>
          <w:rFonts w:ascii="Nirmala UI" w:hAnsi="Nirmala UI" w:eastAsia="Nirmala UI" w:cs="Nirmala UI"/>
        </w:rPr>
        <w:t>আনব</w:t>
      </w:r>
      <w:r>
        <w:rPr>
          <w:rFonts w:ascii="Times New Roman" w:hAnsi="Times New Roman" w:eastAsia="Times New Roman" w:cs="Times New Roman"/>
        </w:rPr>
        <w:t xml:space="preserve">, </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চিন্তার</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কর্ণপাত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ব্যবস্থাকেও</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যিরমিয়</w:t>
      </w:r>
      <w:r>
        <w:rPr>
          <w:rFonts w:ascii="Times New Roman" w:hAnsi="Times New Roman" w:eastAsia="Times New Roman" w:cs="Times New Roman"/>
        </w:rPr>
        <w:t xml:space="preserve"> </w:t>
      </w:r>
      <w:r>
        <w:rPr>
          <w:rFonts w:ascii="Nirmala UI" w:hAnsi="Nirmala UI" w:eastAsia="Nirmala UI" w:cs="Nirmala UI"/>
        </w:rPr>
        <w:t>৬</w:t>
      </w:r>
      <w:r>
        <w:rPr>
          <w:rFonts w:ascii="Times New Roman" w:hAnsi="Times New Roman" w:eastAsia="Times New Roman" w:cs="Times New Roman"/>
        </w:rPr>
        <w:t>:</w:t>
      </w:r>
      <w:r>
        <w:rPr>
          <w:rFonts w:ascii="Nirmala UI" w:hAnsi="Nirmala UI" w:eastAsia="Nirmala UI" w:cs="Nirmala UI"/>
        </w:rPr>
        <w:t>১৬</w:t>
      </w:r>
      <w:r>
        <w:rPr>
          <w:rFonts w:ascii="Times New Roman" w:hAnsi="Times New Roman" w:eastAsia="Times New Roman" w:cs="Times New Roman"/>
        </w:rPr>
        <w:t>–</w:t>
      </w:r>
      <w:r>
        <w:rPr>
          <w:rFonts w:ascii="Nirmala UI" w:hAnsi="Nirmala UI" w:eastAsia="Nirmala UI" w:cs="Nirmala UI"/>
        </w:rPr>
        <w:t>১৯।</w:t>
      </w:r>
    </w:p>
    <w:p>
      <w:pPr>
        <w:pStyle w:val="ArticleBody"/>
        <w:jc w:val="left"/>
      </w:pPr>
      <w:r>
        <w:rPr>
          <w:rFonts w:ascii="Times New Roman" w:hAnsi="Times New Roman" w:eastAsia="Times New Roman" w:cs="Times New Roman"/>
        </w:rPr>
        <w:t>Le « mal » qui est amené sur la « congrégation » qui a refusé de « prêter l’oreille au son de la trompette » et de « marcher » dans « les anciens sentiers », où se trouverait le « repos » de la pluie de l’arrière-saison, survient lorsque la « congrégation » « rejette sa loi » lors de la loi dominicale qui doit bientôt venir.</w:t>
      </w:r>
    </w:p>
    <w:p>
      <w:pPr>
        <w:pStyle w:val="ArticleBody"/>
        <w:jc w:val="left"/>
      </w:pPr>
      <w:r>
        <w:rPr>
          <w:rFonts w:ascii="Times New Roman" w:hAnsi="Times New Roman" w:eastAsia="Times New Roman" w:cs="Times New Roman"/>
        </w:rPr>
        <w:t>Adeegsi saddex-geesoodka ah ee Eliyaah wuxuu aqoonsanayaa hawsha rasuul iyo dhaqdhaqaaq ka jira wakhtiga xukunka fulinta, kaas oo ka bilaabma sharciga Axadda ee dhowaan imanaya. Si dhow ula xidhiidha adeegsiga saddex-geesoodka ah ee Eliyaah waxaa ah adeegsiga saddex-geesoodka ah ee rasuulka diyaariya jidka loogu talagalay Rasuulka Axdiga. Adeegsiga saddex-geesoodka ah ee rasuulka diyaariya jidka wuxuu aqoonsanayaa hawl ay fuliyaan rasuul iyo dhaqdhaqaaq ku jira wakhtiga xukunka baaritaanka. Rasuulka diyaariya jidka, iyo Eliyaah, waa adeegsiyo saddex-geesood ah oo si dhow isugu xidhan, sida ay sidoo kale isugu xidhan yihiin adeegsiga saddex-geesoodka ah ee Rooma iyo adeegsiga saddex-geesoodka ah ee dhicitaanka Baabuloon; hase yeeshee, waxay leeyihiin kala duwanaanshooyin muhiim ah oo la xidhiidha xukunka Ilaah.</w:t>
      </w:r>
    </w:p>
    <w:p>
      <w:pPr>
        <w:pStyle w:val="ArticleBody"/>
        <w:jc w:val="left"/>
      </w:pPr>
      <w:r>
        <w:rPr>
          <w:rFonts w:ascii="Times New Roman" w:hAnsi="Times New Roman" w:eastAsia="Times New Roman" w:cs="Times New Roman"/>
        </w:rPr>
        <w:t>Les trois applications d’Élie et la triple application du messager qui prépare le chemin pour le Messager de l’Alliance sont associées à deux œuvres distinctes de jugement, accomplies par Dieu par l’intermédiaire de Son messager choisi et du mouvement qui se joint au message du messager. Ces deux œuvres sont liées à deux périodes distinctes de jugement, bien qu’il y ait un chevauchement entre les symboles.</w:t>
      </w:r>
    </w:p>
    <w:p>
      <w:pPr>
        <w:pStyle w:val="ArticleBody"/>
        <w:jc w:val="left"/>
      </w:pPr>
      <w:r>
        <w:rPr>
          <w:rFonts w:ascii="Times New Roman" w:hAnsi="Times New Roman" w:eastAsia="Times New Roman" w:cs="Times New Roman"/>
        </w:rPr>
        <w:t>Bikorwa by’Eliya wa gatatu kandi wa nyuma bifitanye isano n’urubanza rw’ishyirwa mu bikorwa ku bumwe bw’ibice bitatu bwa Babuloni ya none, kandi umurimo w’intumwa itegura inzira, ufitanye isano n’urubanza rw’igenzura no kwezwa kw’ubwoko bw’Imana. Malaki igice cya gatatu, gitangizwa n’umurongo wa nyuma w’igice cya kabiri.</w:t>
      </w:r>
    </w:p>
    <w:p>
      <w:pPr>
        <w:pStyle w:val="ArticleScripture"/>
        <w:jc w:val="left"/>
      </w:pPr>
      <w:r>
        <w:rPr>
          <w:rFonts w:ascii="Times New Roman" w:hAnsi="Times New Roman" w:eastAsia="Times New Roman" w:cs="Times New Roman"/>
        </w:rPr>
        <w:t>Umkhathele uJehova ngamazwi enu. Kepha nina nithi, Simkhathazé ngani na? Lapho nithi, Yilowo nalowo owenza okubi muhle emehlweni kaJehova, futhi uyathokoza ngabo; noma nithi, Uphi uNkulunkulu wokwahlulela? Bhekani, ngiyakuthuma isithunywa sami, siyakulungisa indlela phambi kwami; futhi iNkosi, eniyifunayo, iyakufika masinyane ethempelini layo, yebo, isithunywa sesivumelwano, enisithokozelayo: bhekani, siyakuza, usho uJehova Sebawoti. Kepha ngubani ongamelana nosuku lokuza kwaso na? Futhi ngubani oyakuma lapho sibonakala na? Ngokuba sinjengomlilo womncibilikisi, nanjengensipho yabahlanzi bezingubo; siyakuhlala njengomncibilikisi nomhlanzi wesiliva; siyakubahlanza abantwana bakaLevi, sibahlanze njengegolide nesiliva, ukuze banikele kuJehova umnikelo ngokulunga. Khona-ke umnikelo wakwaJuda noweJerusalema uyakuba mnandi kuJehova, njengasezinsukwini zasendulo, nanjengaseminyakeni yakuqala. Malaki 2:17–3:4.</w:t>
      </w:r>
    </w:p>
    <w:p>
      <w:pPr>
        <w:pStyle w:val="ArticleBody"/>
        <w:jc w:val="left"/>
      </w:pPr>
      <w:r>
        <w:rPr>
          <w:rFonts w:ascii="Times New Roman" w:hAnsi="Times New Roman" w:eastAsia="Times New Roman" w:cs="Times New Roman"/>
        </w:rPr>
        <w:t>Au jour de la fin, selon le témoignage de Malachie, Dieu est lassé de l’adventisme laodicéen qui s’attache à la rébellion de 1888. La rébellion de 1888 était préfigurée par la rébellion de Koré, de Dathan et d’Abiram, et l’argument doctrinal de la rébellion de Koré était de savoir si ceux qui font le mal sont néanmoins justes aux yeux du Seigneur.</w:t>
      </w:r>
    </w:p>
    <w:p>
      <w:pPr>
        <w:pStyle w:val="ArticleScripture"/>
        <w:jc w:val="left"/>
      </w:pPr>
      <w:r>
        <w:rPr>
          <w:rFonts w:ascii="Times New Roman" w:hAnsi="Times New Roman" w:eastAsia="Times New Roman" w:cs="Times New Roman"/>
        </w:rPr>
        <w:t>Ndipo Kora, mwana wa Izihari, mwana wa Kohathi, mwana wa Lawi, na Dathani na Abiramu, wana wa Eliabu, na Oni, mwana wa Pelethi, wana wa Reubeni, wakajitwalia watu; nao wakasimama mbele ya Musa, pamoja na baadhi ya wana wa Israeli, wakuu wa mkutano mia mbili na hamsini, watu wenye sifa katika kusanyiko, watu wa mashuhuri; nao wakakusanyika pamoja juu ya Musa na juu ya Haruni, wakawaambia, Mmejitwalia mno, kwa kuwa mkutano wote ni watakatifu, kila mmoja wao, naye Bwana yu kati yao; basi mbona mnajiinua juu ya mkutano wa Bwana? Hesabu 16:1–3.</w:t>
      </w:r>
    </w:p>
    <w:p>
      <w:pPr>
        <w:pStyle w:val="ArticleBody"/>
        <w:jc w:val="left"/>
      </w:pPr>
      <w:r>
        <w:rPr>
          <w:rFonts w:ascii="Times New Roman" w:hAnsi="Times New Roman" w:eastAsia="Times New Roman" w:cs="Times New Roman"/>
        </w:rPr>
        <w:t>Dans les derniers jours, Dieu est lassé de l’adventisme laodicéen, qui s’attache à la rébellion de 1957, laquelle n’est que la manifestation de la rébellion de 1888, consignée dans une déclaration officielle. Le livre Questions on Doctrine a consacré la rébellion de 1888, laquelle était une répétition de la rébellion de Koré, Dathan et Abiram, selon le témoignage de l’ange qui instruisit Sœur White qu’elle devait demeurer à la conférence de 1888 afin d’enregistrer la répétition, dans l’histoire, de la rébellion de Koré. Deux cent cinquante hommes de renom se rassemblèrent avec Koré, Dathan et Abiram contre Moïse, représentant de Dieu, dans cette rébellion.</w:t>
      </w:r>
    </w:p>
    <w:p>
      <w:pPr>
        <w:pStyle w:val="ArticleBody"/>
        <w:jc w:val="left"/>
      </w:pPr>
      <w:r>
        <w:rPr>
          <w:rFonts w:ascii="Times New Roman" w:hAnsi="Times New Roman" w:eastAsia="Times New Roman" w:cs="Times New Roman"/>
        </w:rPr>
        <w:t>Οι είκοσι πέντε άνδρες που προσκυνούν τον ήλιο στο όγδοο κεφάλαιο του Ιεζεκιήλ αντιπροσωπεύουν ένα δέκατο, ή την δεκάτην, των διακοσίων πεντήκοντα ανδρών που πρόσφεραν θυμίαμα στην ανταρσία του Κορέ, του Δαθάν και του Αβειρών, οι οποίοι προεικόνιζαν τους ηγέτες της αποστασίας του 1888, της οποίας η δογματική αποστασία επισημοποιήθηκε το 1957 με τη δημοσίευση του βιβλίου Questions on Doctrine.</w:t>
      </w:r>
    </w:p>
    <w:p>
      <w:pPr>
        <w:pStyle w:val="ArticleBody"/>
        <w:jc w:val="left"/>
      </w:pPr>
      <w:r>
        <w:rPr>
          <w:rFonts w:ascii="Times New Roman" w:hAnsi="Times New Roman" w:eastAsia="Times New Roman" w:cs="Times New Roman"/>
        </w:rPr>
        <w:t>Keberontakan Korah, Datan, dan Abiram menolak “hukuman” yang telah Allah tetapkan, yaitu keputusan bahwa mereka harus mengembara di padang gurun selama empat puluh tahun. Adventisme Laodikia mulai mengembara di padang gurun Laodikia pada tahun 1863, setelah mereka menolak pekabaran Laodikia yang telah disampaikan pada tahun 1856, yang mendatangkan hukuman berupa pengembaraan di padang gurun selama bertahun-tahun lagi, oleh karena kurangnya iman mereka. Dalam pemberontakan tahun 1888, mereka tetap tidak mau menerima pekabaran Laodikia yang dibawa oleh Penatua Jones dan Waggoner.</w:t>
      </w:r>
    </w:p>
    <w:p>
      <w:pPr>
        <w:pStyle w:val="ArticleBody"/>
        <w:jc w:val="left"/>
      </w:pPr>
      <w:r>
        <w:rPr>
          <w:rFonts w:ascii="Times New Roman" w:hAnsi="Times New Roman" w:eastAsia="Times New Roman" w:cs="Times New Roman"/>
        </w:rPr>
        <w:t>Тези, които се разбунтуваха през 1888 г., не само отхвърлиха духовния авторитет на старейшините Джоунс и Уагонър, но и авторитета на пророчицата Елън Уайт, както и авторитета на Светия Дух, защото постъпиха според представата, че цялото събрание е еднакво свято.</w:t>
      </w:r>
    </w:p>
    <w:p>
      <w:pPr>
        <w:pStyle w:val="ArticleBody"/>
        <w:jc w:val="left"/>
      </w:pPr>
      <w:r>
        <w:rPr>
          <w:rFonts w:ascii="Times New Roman" w:hAnsi="Times New Roman" w:eastAsia="Times New Roman" w:cs="Times New Roman"/>
        </w:rPr>
        <w:t>I 1863 vendte de tilbage for at spise sammen med den løgnagtige profet fra Betel, og dermed godtog de til sidst den frelsesforståelse, som blev repræsenteret ved Korahs oprør, og siden stadfæstede de officielt den falske lære i bogen Questions on Doctrine. Denne lære er en falsk definition af “retfærdiggørelse ved tro.”</w:t>
      </w:r>
    </w:p>
    <w:p>
      <w:pPr>
        <w:pStyle w:val="ArticleBody"/>
        <w:jc w:val="left"/>
      </w:pPr>
      <w:r>
        <w:rPr>
          <w:rFonts w:ascii="Times New Roman" w:hAnsi="Times New Roman" w:eastAsia="Times New Roman" w:cs="Times New Roman"/>
        </w:rPr>
        <w:t>Les faits ذکرés là sont déjà en français. Si « ff » désigne une autre langue, merci de préciser laquelle.</w:t>
      </w:r>
    </w:p>
    <w:p>
      <w:pPr>
        <w:pStyle w:val="ArticleScripture"/>
        <w:jc w:val="left"/>
      </w:pPr>
      <w:r>
        <w:rPr>
          <w:rFonts w:ascii="Times New Roman" w:hAnsi="Times New Roman" w:eastAsia="Times New Roman" w:cs="Times New Roman"/>
        </w:rPr>
        <w:t>Voici, son âme qui s’élève n’est pas droite en lui ; mais le juste vivra par sa foi. Habacuc 2:4.</w:t>
      </w:r>
    </w:p>
    <w:p>
      <w:pPr>
        <w:pStyle w:val="ArticleBody"/>
        <w:jc w:val="left"/>
      </w:pPr>
      <w:r>
        <w:rPr>
          <w:rFonts w:ascii="Times New Roman" w:hAnsi="Times New Roman" w:eastAsia="Times New Roman" w:cs="Times New Roman"/>
        </w:rPr>
        <w:t>“Imani” ya “mwenye haki” katika “mjadala” wa Habakuki sura ya pili, ilitegemea “ono” lililoandikwa waziwazi juu ya mbao. Katika uasi wa mwaka 1863, hatua ya kwanza ya kuondoa yale yaliyokuwa yameandikwa juu ya mbao ilitekelezwa na wale ambao hawakuwa tena na imani ya “mwenye haki.” Uasi wa mwaka 1863 uliwakilisha mbegu ya kwanza ya uasi ambao hatimaye ungeweka rasmi fasili ya uongo ya fundisho la kuhesabiwa haki kwa imani mwaka 1957.</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“Le Seigneur, dans Sa grande miséricorde, envoya à Son peuple, par l’intermédiaire des anciens Waggoner et Jones, un message des plus précieux. Ce message devait mettre plus éminemment devant le monde le Sauveur élevé, le sacrifice pour les péchés du monde entier. Il présentait la justification par la foi en le Garant; il invitait le peuple à recevoir la justice de Christ, laquelle se manifeste dans l’obéissance à tous les commandements de Dieu. Beaucoup avaient perdu de vue Jésus. Ils avaient besoin que leurs regards soient dirigés vers Sa personne divine, Ses mérites et Son amour immuable pour la famille humaine. Tout pouvoir a été remis entre Ses mains, afin qu’Il puisse dispenser aux hommes de riches dons, communiquant à l’agent humain impuissant le don inestimable de Sa propre justice. Tel est le message que Dieu a ordonné de donner au monde. C’est le message du troisième ange, qui doit être proclamé d’une voix forte, et accompagné d’une abondante effusion de Son Esprit.” Testimonies to Ministers, 91.</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အချိန်ကာလဤအတွက်</w:t>
      </w:r>
      <w:r>
        <w:rPr>
          <w:rFonts w:ascii="Times New Roman" w:hAnsi="Times New Roman" w:eastAsia="Times New Roman" w:cs="Times New Roman"/>
        </w:rPr>
        <w:t xml:space="preserve"> </w:t>
      </w:r>
      <w:r>
        <w:rPr>
          <w:rFonts w:ascii="Myanmar Text" w:hAnsi="Myanmar Text" w:eastAsia="Myanmar Text" w:cs="Myanmar Text"/>
        </w:rPr>
        <w:t>သမ္မာတရားတော်၊</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ကျယ်လောင်သောအသံဖြင့်</w:t>
      </w:r>
      <w:r>
        <w:rPr>
          <w:rFonts w:ascii="Times New Roman" w:hAnsi="Times New Roman" w:eastAsia="Times New Roman" w:cs="Times New Roman"/>
        </w:rPr>
        <w:t xml:space="preserve"> </w:t>
      </w:r>
      <w:r>
        <w:rPr>
          <w:rFonts w:ascii="Myanmar Text" w:hAnsi="Myanmar Text" w:eastAsia="Myanmar Text" w:cs="Myanmar Text"/>
        </w:rPr>
        <w:t>ကြေညာရမည်ဖြစ်သည်။</w:t>
      </w:r>
      <w:r>
        <w:rPr>
          <w:rFonts w:ascii="Times New Roman" w:hAnsi="Times New Roman" w:eastAsia="Times New Roman" w:cs="Times New Roman"/>
        </w:rPr>
        <w:t xml:space="preserve">” </w:t>
      </w:r>
      <w:r>
        <w:rPr>
          <w:rFonts w:ascii="Myanmar Text" w:hAnsi="Myanmar Text" w:eastAsia="Myanmar Text" w:cs="Myanmar Text"/>
        </w:rPr>
        <w:t>ဆိုသည်မှာ</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နောက်ဆုံးစမ်းသပ်ခြင်းသို့</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နီးကပ်လာသည်နှင့်အမျှ</w:t>
      </w:r>
      <w:r>
        <w:rPr>
          <w:rFonts w:ascii="Times New Roman" w:hAnsi="Times New Roman" w:eastAsia="Times New Roman" w:cs="Times New Roman"/>
        </w:rPr>
        <w:t xml:space="preserve"> </w:t>
      </w:r>
      <w:r>
        <w:rPr>
          <w:rFonts w:ascii="Myanmar Text" w:hAnsi="Myanmar Text" w:eastAsia="Myanmar Text" w:cs="Myanmar Text"/>
        </w:rPr>
        <w:t>တိုးများလာသော</w:t>
      </w:r>
      <w:r>
        <w:rPr>
          <w:rFonts w:ascii="Times New Roman" w:hAnsi="Times New Roman" w:eastAsia="Times New Roman" w:cs="Times New Roman"/>
        </w:rPr>
        <w:t xml:space="preserve"> </w:t>
      </w:r>
      <w:r>
        <w:rPr>
          <w:rFonts w:ascii="Myanmar Text" w:hAnsi="Myanmar Text" w:eastAsia="Myanmar Text" w:cs="Myanmar Text"/>
        </w:rPr>
        <w:t>တန်ခိုးအာနိသင်ဖြင့်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အဓိပ္ပာယ်ရသည်။</w:t>
      </w:r>
      <w:r>
        <w:rPr>
          <w:rFonts w:ascii="Times New Roman" w:hAnsi="Times New Roman" w:eastAsia="Times New Roman" w:cs="Times New Roman"/>
        </w:rPr>
        <w:t xml:space="preserve"> The 1888 Materials, 1710.</w:t>
      </w:r>
    </w:p>
    <w:p>
      <w:pPr>
        <w:pStyle w:val="ArticleScripture"/>
        <w:jc w:val="left"/>
      </w:pPr>
      <w:r>
        <w:rPr>
          <w:rFonts w:ascii="Times New Roman" w:hAnsi="Times New Roman" w:eastAsia="Times New Roman" w:cs="Times New Roman"/>
        </w:rPr>
        <w:t>“Le temps de l’épreuve est juste devant nous, car le grand cri du troisième ange a déjà commencé dans la révélation de la justice de Christ, le Rédempteur qui pardonne le péché. C’est là le commencement de la lumière de l’ange dont la gloire remplira toute la terre.” Selected Messages, livre 1, 362.</w:t>
      </w:r>
    </w:p>
    <w:p>
      <w:pPr>
        <w:pStyle w:val="ArticleScripture"/>
        <w:jc w:val="left"/>
      </w:pPr>
      <w:r>
        <w:rPr>
          <w:rFonts w:ascii="Times New Roman" w:hAnsi="Times New Roman" w:eastAsia="Times New Roman" w:cs="Times New Roman"/>
        </w:rPr>
        <w:t>«La pluie de l’arrière-saison doit tomber sur le peuple de Dieu. Un ange puissant doit descendre du ciel, et la terre entière doit être illuminée de sa gloire.» Review and Herald, 21 avril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quatre-vingt-dix-neuf</dc:title>
  <dc:subject>Les derniers jours et le jugement de Dieu : dévoilement des perspectives prophétiques</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