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Deux</w:t>
      </w:r>
    </w:p>
    <w:p>
      <w:pPr>
        <w:pStyle w:val="ArticleSubtitle"/>
        <w:jc w:val="left"/>
      </w:pPr>
      <w:r>
        <w:rPr>
          <w:rFonts w:ascii="Arial" w:hAnsi="Arial" w:eastAsia="Arial" w:cs="Arial"/>
        </w:rPr>
        <w:t>Kigendererwa eby’Obunnabbi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Dans l’article précédent, nous avons identifié Élie comme un symbole. En accord avec les règles de William Miller, les « symboles » peuvent avoir plus d’une signification. Par conséquent, Élie en tant que symbole peut aussi représenter l’une des deux parties du symbole double d’Élie et de Moïse. Le symbole double d’Élie et de Moïse parcourt tout le livre de l’Apocalypse, et être dans l’incertitude quant à ce que représente ce symbole double, c’est être dans l’incertitude quant au message du livre de l’Apocalypse qui est descellé juste avant la fermeture du temps de grâce. C’est pourquoi nous allons maintenant traiter plus précisément de certaines caractéristiques prophétiques qui sont associées au symbole d’Élie.</w:t>
      </w:r>
    </w:p>
    <w:p>
      <w:pPr>
        <w:pStyle w:val="ArticleBody"/>
        <w:jc w:val="left"/>
      </w:pPr>
      <w:r>
        <w:rPr>
          <w:rFonts w:ascii="Times New Roman" w:hAnsi="Times New Roman" w:eastAsia="Times New Roman" w:cs="Times New Roman"/>
        </w:rPr>
        <w:t>Nous avons trois témoins principaux pour établir ces caractéristiques prophétiques. Ces témoins sont le prophète Élie, Jean-Baptiste et William Miller, que l’inspiration identifie comme des symboles interchangeables.</w:t>
      </w:r>
    </w:p>
    <w:p>
      <w:pPr>
        <w:pStyle w:val="ArticleScripture"/>
        <w:jc w:val="left"/>
      </w:pPr>
      <w:r>
        <w:rPr>
          <w:rFonts w:ascii="Times New Roman" w:hAnsi="Times New Roman" w:eastAsia="Times New Roman" w:cs="Times New Roman"/>
        </w:rPr>
        <w:t>“E minia ha munu ‘amu ke tali ki he mo‘oni na‘e malanga‘i ‘e William Miller, pea na‘e fokotu‘u hake ‘a e kau sevāniti ‘a e ‘Otua ‘i he laumālie mo e mālohi ‘o ‘Ilaisiā ke fanongonongo ‘a e pōpoaki. Hangē ko Sione, ko e tokotaha mu‘aki ‘o Sīsū, ko kinautolu na‘a nau malanga‘i ‘a e pōpoaki mamafa ni na‘a nau ongo‘i kuo pau ke tuku ‘a e to‘i-toki ki he aka ‘o e ‘akau, pea ui ki he kakai ke nau fua mai ‘a e ngaahi fua ‘oku taau mo e fakatomala. Ko ‘enau fakamo‘oni na‘e fakataumu‘a ke fafangu hake mo uesia mālohi ‘a e ngaahi siasi pea fakahā ‘a honau anga mo‘oni. Pea ‘i he taimi na‘e fanongonongo ai ‘a e fakatokanga mamafa ke hola mei he houhau ka hoko mai, tokolahi ‘o kinautolu na‘e fakataha mo e ngaahi siasi na‘a nau ma‘u ‘a e pōpoaki fakamo‘ui; na‘a nau sio ki he‘enau hinga mei he tui, pea ‘i he lo‘imata kona ‘o e fakatomala mo e mamahi lahi ‘o e laumālie, na‘a nau fakatōkilalo‘i kinautolu ‘i he ‘ao ‘o e ‘Otua. Pea ‘i he‘ene nofo ‘a e Laumālie ‘o e ‘Otua kiate kinautolu, na‘a nau tokoni ke fanongonongo atu ‘a e tangi, ‘Mou manavahē ki he ‘Otua, pea tuku atu ‘a e lāngilangi kiate Ia; he kuo hoko mai ‘a e houa ‘o ‘Ene fakamaau.’” Early Writings, 233.</w:t>
      </w:r>
    </w:p>
    <w:p>
      <w:pPr>
        <w:pStyle w:val="ArticleBody"/>
        <w:jc w:val="left"/>
      </w:pPr>
      <w:r>
        <w:rPr>
          <w:rFonts w:ascii="Times New Roman" w:hAnsi="Times New Roman" w:eastAsia="Times New Roman" w:cs="Times New Roman"/>
        </w:rPr>
        <w:t>Élie, Jean-Baptiste et Miller reçurent un esprit particulier qui dirigeait et définissait leur œuvre. Leur témoignage était « propre à réveiller et à affecter puissamment les Églises, et à manifester » le « véritable caractère » de ces Églises. Que ce fût au temps d’Achab, de Jean-Baptiste ou de William Miller, les Églises auxquelles ils s’adressaient possédaient toutes un aveuglement laodicéen si profond et si ténébreux que le message devait être aussi direct que le fait de mettre « la cognée à la racine de l’arbre ». Il comprenait l’annonce de la fin du temps de grâce, ce qui, dans le cas de Jean-Baptiste, était l’avertissement de « la colère » qui était « sur le point de venir ». Le message de Miller, proclamant : « Craignez Dieu et donnez-lui gloire, car l’heure de son jugement est venue », était aussi un avertissement de la colère à venir.</w:t>
      </w:r>
    </w:p>
    <w:p>
      <w:pPr>
        <w:pStyle w:val="ArticleScripture"/>
        <w:jc w:val="left"/>
      </w:pPr>
      <w:r>
        <w:rPr>
          <w:rFonts w:ascii="Times New Roman" w:hAnsi="Times New Roman" w:eastAsia="Times New Roman" w:cs="Times New Roman"/>
        </w:rPr>
        <w:t>„Die Stimme des Johannes erhob sich wie eine Posaune. Sein Auftrag lautete: ‚Verkünde meinem Volk seine Übertretung und dem Hause Jakob seine Sünden‘ (Jesaja 58,1). Er hatte keine menschliche Gelehrsamkeit erlangt. Gott und die Natur waren seine Lehrer gewesen. Es bedurfte jedoch eines Menschen, der den Weg vor Christus bereitete und kühn genug war, seine Stimme wie die Propheten der Vorzeit erschallen zu lassen und die entartete Nation zur Buße zu rufen.“ Selected Messages, Buch 2, 148.</w:t>
      </w:r>
    </w:p>
    <w:p>
      <w:pPr>
        <w:pStyle w:val="ArticleBody"/>
        <w:jc w:val="left"/>
      </w:pPr>
      <w:r>
        <w:rPr>
          <w:rFonts w:ascii="Times New Roman" w:hAnsi="Times New Roman" w:eastAsia="Times New Roman" w:cs="Times New Roman"/>
        </w:rPr>
        <w:t>Élie ordonna à sa génération de choisir, ce jour-là, si elle servirait Dieu ou Baal, et cette génération ne répondit pas un mot, ce qui équivaut à choisir Baal.</w:t>
      </w:r>
    </w:p>
    <w:p>
      <w:pPr>
        <w:pStyle w:val="ArticleScripture"/>
        <w:jc w:val="left"/>
      </w:pPr>
      <w:r>
        <w:rPr>
          <w:rFonts w:ascii="Times New Roman" w:hAnsi="Times New Roman" w:eastAsia="Times New Roman" w:cs="Times New Roman"/>
        </w:rPr>
        <w:t>«Καμία άλλη στιγμή δεν υπήρξε μεγαλύτερη ανάγκη για πιστές προειδοποιήσεις και ελέγχους, και για στενή, ευθεία αντιμετώπιση, όσο αυτή ακριβώς η ώρα. Ο Σατανάς κατέβηκε με μεγάλη δύναμη, γνωρίζοντας ότι ο καιρός του είναι σύντομος. Κατακλύζει τον κόσμο με ευχάριστους μύθους, και ο λαός του Θεού αγαπά να του λέγονται ομαλά πράγματα. Η αμαρτία και η ανομία δεν αποστρέφονται. Μου δείχθηκε ότι ο λαός του Θεού πρέπει να καταβάλει πιο σταθερές, αποφασιστικές προσπάθειες για να απωθήσει το επερχόμενο σκοτάδι. Το στενό έργο του Πνεύματος του Θεού χρειάζεται τώρα όπως ποτέ προηγουμένως. Η νωθρότητα πρέπει να αποτιναχθεί. Πρέπει να αφυπνιστούμε από τον λήθαργο που θα αποβεί στην καταστροφή μας, αν δεν του αντισταθούμε. Ο Σατανάς ασκεί ισχυρή, κυριαρχική επιρροή πάνω στους νούς. Κήρυκες και λαός κινδυνεύουν να βρεθούν στο πλευρό των δυνάμεων του σκότους. Δεν υπάρχει τώρα ουδέτερη θέση. Όλοι μας είμαστε σαφώς είτε υπέρ του δικαίου είτε μαζί με το άδικο. Είπε ο Χριστός: “Όποιος δεν είναι με Εμένα, είναι εναντίον Μου· και όποιος δεν συνάγει μαζί Μου, σκορπίζει.”» Testimonies, τόμος 3, 327.</w:t>
      </w:r>
    </w:p>
    <w:p>
      <w:pPr>
        <w:pStyle w:val="ArticleBody"/>
        <w:jc w:val="left"/>
      </w:pPr>
      <w:r>
        <w:rPr>
          <w:rFonts w:ascii="Times New Roman" w:hAnsi="Times New Roman" w:eastAsia="Times New Roman" w:cs="Times New Roman"/>
        </w:rPr>
        <w:t>Johan noemde „de verdorven natie” van zijn geschiedenis „een adderengebroed”. De Millerieten identificeerden uiteindelijk de verdorven natie van hun geschiedenis als de dochters van Babylon. Of het nu Elia, Johannes of Miller was, geen van de drie was een theoloog. Zij waren allen geroepen uit de gewone standen van het leven.</w:t>
      </w:r>
    </w:p>
    <w:p>
      <w:pPr>
        <w:pStyle w:val="ArticleScripture"/>
        <w:jc w:val="left"/>
      </w:pPr>
      <w:r>
        <w:rPr>
          <w:rFonts w:ascii="Times New Roman" w:hAnsi="Times New Roman" w:eastAsia="Times New Roman" w:cs="Times New Roman"/>
        </w:rPr>
        <w:t>“Yeesu keessatti akka jirtutti dhugaan, akkuma Inni yeroo duumessa lallaafaa sanaan marfamee turetti lallabe, bara keenya kana keessattis dhugummaa fi dhugaa dha; akkuma yeroo darbanitti sammuu namoota isa simatan haaromse, ammas akkasuma dhuguma sammuu nama isa fudhatu ni haaromsa. Kiristoos, ‘Yoo isaan Musee fi Raajota hin dhageenye taʼe, namni tokko duʼaa kaʼe illee isaan hin amansiisu’ jedhee dubbateera. (Luqaas 16:31).</w:t>
      </w:r>
    </w:p>
    <w:p>
      <w:pPr>
        <w:pStyle w:val="ArticleScripture"/>
        <w:jc w:val="left"/>
      </w:pPr>
      <w:r>
        <w:rPr>
          <w:rFonts w:ascii="Times New Roman" w:hAnsi="Times New Roman" w:eastAsia="Times New Roman" w:cs="Times New Roman"/>
        </w:rPr>
        <w:t>“Fel egy népként el kell készítenünk az Úr útját, a Szentlélek mindent felülről irányító vezetése alatt, hogy az evangélium tisztaságában terjedhessen. Az élő víz folyama útja során egyre mélyebbé és szélesebbé kell hogy váljék. Minden mezőn, közelben és távolban, férfiak hivatnak majd el az eke mellől, valamint a közönségesebb kereskedelmi foglalkozásokból, amelyek nagyrészt lekötik az elmét, és olyan férfiakkal kapcsolatban nyernek majd képzést—olyan férfiakkal, akik tapasztalattal bírnak—akik értik az igazságot. Isten csodálatos munkálkodásai által a nehézségek hegyei elmozdíttatnak, és a tengerbe vettetnek. Dolgozzunk úgy, mint akik megtapasztalták az igazság erejét, amint az Jézusban van.”</w:t>
      </w:r>
    </w:p>
    <w:p>
      <w:pPr>
        <w:pStyle w:val="ArticleScripture"/>
        <w:jc w:val="left"/>
      </w:pPr>
      <w:r>
        <w:rPr>
          <w:rFonts w:ascii="Times New Roman" w:hAnsi="Times New Roman" w:eastAsia="Times New Roman" w:cs="Times New Roman"/>
        </w:rPr>
        <w:t>“</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ಕಾಲಘಟ್ಟದಲ್ಲಿ</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ಪರಿಸ್ಥಿತಿಯ</w:t>
      </w:r>
      <w:r>
        <w:rPr>
          <w:rFonts w:ascii="Times New Roman" w:hAnsi="Times New Roman" w:eastAsia="Times New Roman" w:cs="Times New Roman"/>
        </w:rPr>
        <w:t xml:space="preserve"> </w:t>
      </w:r>
      <w:r>
        <w:rPr>
          <w:rFonts w:ascii="Nirmala UI" w:hAnsi="Nirmala UI" w:eastAsia="Nirmala UI" w:cs="Nirmala UI"/>
        </w:rPr>
        <w:t>ಅಧಿಪತಿಯಾಗಿದ್ದಾನೆ</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ಪ್ರಕಟಗೊಳಿಸುವ</w:t>
      </w:r>
      <w:r>
        <w:rPr>
          <w:rFonts w:ascii="Times New Roman" w:hAnsi="Times New Roman" w:eastAsia="Times New Roman" w:cs="Times New Roman"/>
        </w:rPr>
        <w:t xml:space="preserve"> </w:t>
      </w:r>
      <w:r>
        <w:rPr>
          <w:rFonts w:ascii="Nirmala UI" w:hAnsi="Nirmala UI" w:eastAsia="Nirmala UI" w:cs="Nirmala UI"/>
        </w:rPr>
        <w:t>ಘಟನೆಗಳ</w:t>
      </w:r>
      <w:r>
        <w:rPr>
          <w:rFonts w:ascii="Times New Roman" w:hAnsi="Times New Roman" w:eastAsia="Times New Roman" w:cs="Times New Roman"/>
        </w:rPr>
        <w:t xml:space="preserve"> </w:t>
      </w:r>
      <w:r>
        <w:rPr>
          <w:rFonts w:ascii="Nirmala UI" w:hAnsi="Nirmala UI" w:eastAsia="Nirmala UI" w:cs="Nirmala UI"/>
        </w:rPr>
        <w:t>ಸರಮಾಲೆಯೊಂದು</w:t>
      </w:r>
      <w:r>
        <w:rPr>
          <w:rFonts w:ascii="Times New Roman" w:hAnsi="Times New Roman" w:eastAsia="Times New Roman" w:cs="Times New Roman"/>
        </w:rPr>
        <w:t xml:space="preserve"> </w:t>
      </w:r>
      <w:r>
        <w:rPr>
          <w:rFonts w:ascii="Nirmala UI" w:hAnsi="Nirmala UI" w:eastAsia="Nirmala UI" w:cs="Nirmala UI"/>
        </w:rPr>
        <w:t>ಸಂಭವಿಸಬೇಕಾಗಿದೆ</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 xml:space="preserve"> </w:t>
      </w:r>
      <w:r>
        <w:rPr>
          <w:rFonts w:ascii="Nirmala UI" w:hAnsi="Nirmala UI" w:eastAsia="Nirmala UI" w:cs="Nirmala UI"/>
        </w:rPr>
        <w:t>ಸ್ಪಷ್ಟವಾದ</w:t>
      </w:r>
      <w:r>
        <w:rPr>
          <w:rFonts w:ascii="Times New Roman" w:hAnsi="Times New Roman" w:eastAsia="Times New Roman" w:cs="Times New Roman"/>
        </w:rPr>
        <w:t xml:space="preserve">, </w:t>
      </w:r>
      <w:r>
        <w:rPr>
          <w:rFonts w:ascii="Nirmala UI" w:hAnsi="Nirmala UI" w:eastAsia="Nirmala UI" w:cs="Nirmala UI"/>
        </w:rPr>
        <w:t>ತಪ್ಪಾಗಿ</w:t>
      </w:r>
      <w:r>
        <w:rPr>
          <w:rFonts w:ascii="Times New Roman" w:hAnsi="Times New Roman" w:eastAsia="Times New Roman" w:cs="Times New Roman"/>
        </w:rPr>
        <w:t xml:space="preserve"> </w:t>
      </w:r>
      <w:r>
        <w:rPr>
          <w:rFonts w:ascii="Nirmala UI" w:hAnsi="Nirmala UI" w:eastAsia="Nirmala UI" w:cs="Nirmala UI"/>
        </w:rPr>
        <w:t>ಗ್ರಹಿಸಲಾಗದ</w:t>
      </w:r>
      <w:r>
        <w:rPr>
          <w:rFonts w:ascii="Times New Roman" w:hAnsi="Times New Roman" w:eastAsia="Times New Roman" w:cs="Times New Roman"/>
        </w:rPr>
        <w:t xml:space="preserve"> </w:t>
      </w:r>
      <w:r>
        <w:rPr>
          <w:rFonts w:ascii="Nirmala UI" w:hAnsi="Nirmala UI" w:eastAsia="Nirmala UI" w:cs="Nirmala UI"/>
        </w:rPr>
        <w:t>ಭಾಷೆಯಲ್ಲಿ</w:t>
      </w:r>
      <w:r>
        <w:rPr>
          <w:rFonts w:ascii="Times New Roman" w:hAnsi="Times New Roman" w:eastAsia="Times New Roman" w:cs="Times New Roman"/>
        </w:rPr>
        <w:t xml:space="preserve"> </w:t>
      </w:r>
      <w:r>
        <w:rPr>
          <w:rFonts w:ascii="Nirmala UI" w:hAnsi="Nirmala UI" w:eastAsia="Nirmala UI" w:cs="Nirmala UI"/>
        </w:rPr>
        <w:t>ಪ್ರಕಟಿಸಲ್ಪಡುವುದು</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ಸಾರುವವರು</w:t>
      </w:r>
      <w:r>
        <w:rPr>
          <w:rFonts w:ascii="Times New Roman" w:hAnsi="Times New Roman" w:eastAsia="Times New Roman" w:cs="Times New Roman"/>
        </w:rPr>
        <w:t xml:space="preserve"> </w:t>
      </w:r>
      <w:r>
        <w:rPr>
          <w:rFonts w:ascii="Nirmala UI" w:hAnsi="Nirmala UI" w:eastAsia="Nirmala UI" w:cs="Nirmala UI"/>
        </w:rPr>
        <w:t>ಸುಸಂಯೋಜಿತ</w:t>
      </w:r>
      <w:r>
        <w:rPr>
          <w:rFonts w:ascii="Times New Roman" w:hAnsi="Times New Roman" w:eastAsia="Times New Roman" w:cs="Times New Roman"/>
        </w:rPr>
        <w:t xml:space="preserve"> </w:t>
      </w:r>
      <w:r>
        <w:rPr>
          <w:rFonts w:ascii="Nirmala UI" w:hAnsi="Nirmala UI" w:eastAsia="Nirmala UI" w:cs="Nirmala UI"/>
        </w:rPr>
        <w:t>ಜೀವನ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ಭಕ್ತಿಯುತ</w:t>
      </w:r>
      <w:r>
        <w:rPr>
          <w:rFonts w:ascii="Times New Roman" w:hAnsi="Times New Roman" w:eastAsia="Times New Roman" w:cs="Times New Roman"/>
        </w:rPr>
        <w:t xml:space="preserve"> </w:t>
      </w:r>
      <w:r>
        <w:rPr>
          <w:rFonts w:ascii="Nirmala UI" w:hAnsi="Nirmala UI" w:eastAsia="Nirmala UI" w:cs="Nirmala UI"/>
        </w:rPr>
        <w:t>ನಡೆನುಡಿಯ</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ಪ್ರತಿಪಾದಿಸಲು</w:t>
      </w:r>
      <w:r>
        <w:rPr>
          <w:rFonts w:ascii="Times New Roman" w:hAnsi="Times New Roman" w:eastAsia="Times New Roman" w:cs="Times New Roman"/>
        </w:rPr>
        <w:t xml:space="preserve"> </w:t>
      </w:r>
      <w:r>
        <w:rPr>
          <w:rFonts w:ascii="Nirmala UI" w:hAnsi="Nirmala UI" w:eastAsia="Nirmala UI" w:cs="Nirmala UI"/>
        </w:rPr>
        <w:t>ಪ್ರಯತ್ನಿಸುವರು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ಮಾಡುವಾಗ</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ಸಮರ್ಥವಾಗಿ</w:t>
      </w:r>
      <w:r>
        <w:rPr>
          <w:rFonts w:ascii="Times New Roman" w:hAnsi="Times New Roman" w:eastAsia="Times New Roman" w:cs="Times New Roman"/>
        </w:rPr>
        <w:t xml:space="preserve"> </w:t>
      </w:r>
      <w:r>
        <w:rPr>
          <w:rFonts w:ascii="Nirmala UI" w:hAnsi="Nirmala UI" w:eastAsia="Nirmala UI" w:cs="Nirmala UI"/>
        </w:rPr>
        <w:t>ಪ್ರತಿಪಾದಿಸುವದಲ್ಲಿಯೂ</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ಅದಕ್ಕೆ</w:t>
      </w:r>
      <w:r>
        <w:rPr>
          <w:rFonts w:ascii="Times New Roman" w:hAnsi="Times New Roman" w:eastAsia="Times New Roman" w:cs="Times New Roman"/>
        </w:rPr>
        <w:t xml:space="preserve"> </w:t>
      </w:r>
      <w:r>
        <w:rPr>
          <w:rFonts w:ascii="Nirmala UI" w:hAnsi="Nirmala UI" w:eastAsia="Nirmala UI" w:cs="Nirmala UI"/>
        </w:rPr>
        <w:t>ನೀಡಿರುವ</w:t>
      </w:r>
      <w:r>
        <w:rPr>
          <w:rFonts w:ascii="Times New Roman" w:hAnsi="Times New Roman" w:eastAsia="Times New Roman" w:cs="Times New Roman"/>
        </w:rPr>
        <w:t xml:space="preserve"> </w:t>
      </w:r>
      <w:r>
        <w:rPr>
          <w:rFonts w:ascii="Nirmala UI" w:hAnsi="Nirmala UI" w:eastAsia="Nirmala UI" w:cs="Nirmala UI"/>
        </w:rPr>
        <w:t>ನಿಶ್ಚಿತ</w:t>
      </w:r>
      <w:r>
        <w:rPr>
          <w:rFonts w:ascii="Times New Roman" w:hAnsi="Times New Roman" w:eastAsia="Times New Roman" w:cs="Times New Roman"/>
        </w:rPr>
        <w:t xml:space="preserve"> </w:t>
      </w:r>
      <w:r>
        <w:rPr>
          <w:rFonts w:ascii="Nirmala UI" w:hAnsi="Nirmala UI" w:eastAsia="Nirmala UI" w:cs="Nirmala UI"/>
        </w:rPr>
        <w:t>ಅನ್ವಯವನ್ನು</w:t>
      </w:r>
      <w:r>
        <w:rPr>
          <w:rFonts w:ascii="Times New Roman" w:hAnsi="Times New Roman" w:eastAsia="Times New Roman" w:cs="Times New Roman"/>
        </w:rPr>
        <w:t xml:space="preserve"> </w:t>
      </w:r>
      <w:r>
        <w:rPr>
          <w:rFonts w:ascii="Nirmala UI" w:hAnsi="Nirmala UI" w:eastAsia="Nirmala UI" w:cs="Nirmala UI"/>
        </w:rPr>
        <w:t>ಬೋಧಿಸುವದಲ್ಲಿಯೂ</w:t>
      </w:r>
      <w:r>
        <w:rPr>
          <w:rFonts w:ascii="Times New Roman" w:hAnsi="Times New Roman" w:eastAsia="Times New Roman" w:cs="Times New Roman"/>
        </w:rPr>
        <w:t xml:space="preserve">, </w:t>
      </w:r>
      <w:r>
        <w:rPr>
          <w:rFonts w:ascii="Nirmala UI" w:hAnsi="Nirmala UI" w:eastAsia="Nirmala UI" w:cs="Nirmala UI"/>
        </w:rPr>
        <w:t>ಬಲಶಾಲಿಗಳಾಗುವರು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«عندما يحيد الرجال الذين عرفوا الحق وعلَّموه إلى الفهم البشري، ويكيلون للعقول المخدوعة طبقهم هم من الخرافات، يكون قد حان كل الحين لأولئك الذين كانوا يومًا عاملين في العمل الإنجيلي، لكنهم انجرفوا إلى إدارة المطاعم، ومخازن الأغذية، وسائر ضروب الأعمال التجارية، أن يعودوا إلى الصف، ويدرسوا كتبهم المقدسة باجتهاد، وبكلمة الله في أيديهم يوزعوا حقَّ الكتاب المقدس، الطعام الروحي، بالتعاون مع الملائكة السماويين. هذا العمل ينادي الآن بصوت عالٍ إلى عمّال ذوي تعيين إلهي. وحينئذٍ يقول كليُّ القدرة لجبال الصعوبة: انتقلي وانطرحي في البحر.» Paulson Collection, 73, 74.</w:t>
      </w:r>
    </w:p>
    <w:p>
      <w:pPr>
        <w:pStyle w:val="ArticleBody"/>
        <w:jc w:val="left"/>
      </w:pPr>
      <w:r>
        <w:rPr>
          <w:rFonts w:ascii="Times New Roman" w:hAnsi="Times New Roman" w:eastAsia="Times New Roman" w:cs="Times New Roman"/>
        </w:rPr>
        <w:t>Élie, Jean et Miller furent, et représentent ainsi, des hommes appelés à quitter les « vocations » « plus communes », car « les hommes » qui avaient auparavant enseigné la vérité finissent par « se détourner vers l’entendement humain, et servir à des esprits séduits leur propre plat de fables ». Les hommes du commun qui sont appelés donneront « l’application sûre » de la prophétie biblique telle que « Dieu l’a donnée ». À deux reprises, dans le passage, sœur White a identifié les « montagnes » comme des « montagnes de difficulté ». L’œuvre de ces hommes comprenait le fait d’abaisser « toute montagne ». L’œuvre accomplie par les hommes du commun, appelés de la charrue dans l’humilité de leur condition, représente l’œuvre consistant à identifier la juste méthodologie biblique, par contraste avec les plats de fables humaines que distribuent les théologiens de l’époque.</w:t>
      </w:r>
    </w:p>
    <w:p>
      <w:pPr>
        <w:pStyle w:val="ArticleScripture"/>
        <w:jc w:val="left"/>
      </w:pPr>
      <w:r>
        <w:rPr>
          <w:rFonts w:ascii="Times New Roman" w:hAnsi="Times New Roman" w:eastAsia="Times New Roman" w:cs="Times New Roman"/>
        </w:rPr>
        <w:t>«Jean-Baptiste et ceux qui, dans les derniers jours, s’avancent avec l’esprit et la puissance d’Élie pour tirer le peuple de son apathie, accomplissent à bien des égards une œuvre identique. Son ministère est une figure de l’œuvre qui doit être accomplie en notre temps. Christ doit venir une seconde fois pour juger le monde avec justice. Les messagers de Dieu qui portent le dernier message d’avertissement destiné au monde doivent préparer le chemin pour le second avènement de Christ, comme Jean a préparé le chemin pour son premier avènement. Dans cette œuvre préparatoire, “toute vallée sera exhaussée, et toute montagne sera abaissée; ce qui est tortueux sera redressé, et les lieux raboteux seront aplanis”, car l’histoire doit se répéter, et une fois encore “la gloire de l’Éternel sera révélée, et toute chair la verra ensemble; car la bouche de l’Éternel a parlé.” Southern Watchman, 21 mars 1905.»</w:t>
      </w:r>
    </w:p>
    <w:p>
      <w:pPr>
        <w:pStyle w:val="ArticleBody"/>
        <w:jc w:val="left"/>
      </w:pPr>
      <w:r>
        <w:rPr>
          <w:rFonts w:ascii="Times New Roman" w:hAnsi="Times New Roman" w:eastAsia="Times New Roman" w:cs="Times New Roman"/>
        </w:rPr>
        <w:t>Les caractéristiques des trois réformateurs qu’Ésaïe a identifiées sont que toute vallée sera exhaussée, toute montagne abaissée, ce qui est tortueux sera redressé, et les lieux raboteux seront aplanis. La voie du Seigneur qui est préparée en exhaussant les vallées, en abaissant les montagnes, en redressant ce qui est tortueux et en aplanissant les lieux raboteux, ce sont les anciens sentiers.</w:t>
      </w:r>
    </w:p>
    <w:p>
      <w:pPr>
        <w:pStyle w:val="ArticleScripture"/>
        <w:jc w:val="left"/>
      </w:pPr>
      <w:r>
        <w:rPr>
          <w:rFonts w:ascii="Times New Roman" w:hAnsi="Times New Roman" w:eastAsia="Times New Roman" w:cs="Times New Roman"/>
        </w:rPr>
        <w:t>Ngwiiluf wa re li xasiis, Lun mooy yi ngir Boroom bi, defleen yoon wu jub ci màndiŋ ma ngir sunu Yàlla. Bépp xuruge dina yéeg, te bépp tund ak bépp tundu ndaw dina suufeeku; lu weng dina jub, te bérab yu xat dina neex. Te ndamu Boroom bi dina feeñ, te bépp askan dina ko gis benn ci benn: ndaxte gémmiñu Boroom bi moo ko wax. Isaaya 40:3–5.</w:t>
      </w:r>
    </w:p>
    <w:p>
      <w:pPr>
        <w:pStyle w:val="ArticleBody"/>
        <w:jc w:val="left"/>
      </w:pPr>
      <w:r>
        <w:rPr>
          <w:rFonts w:ascii="Times New Roman" w:hAnsi="Times New Roman" w:eastAsia="Times New Roman" w:cs="Times New Roman"/>
        </w:rPr>
        <w:t>Kai awɔn Yudafoɔ a wɔpɛ akyinnye bisabisaa Yohane Ɔbɔmmɔfoɔ no sɛ ɔno ne Elia a ɔrebɛba no anaa no, obuaa sɛ ɔnyɛ no, nanso afei ɔde ne ho too Yesaia mu asɛm no so.</w:t>
      </w:r>
    </w:p>
    <w:p>
      <w:pPr>
        <w:pStyle w:val="ArticleScripture"/>
        <w:jc w:val="left"/>
      </w:pPr>
      <w:r>
        <w:rPr>
          <w:rFonts w:ascii="Times New Roman" w:hAnsi="Times New Roman" w:eastAsia="Times New Roman" w:cs="Times New Roman"/>
        </w:rPr>
        <w:t>At ito ang patotoo ni Juan, nang ang mga Judio ay magsugo mula sa Jerusalem ng mga saserdote at mga Levita upang siya’y tanungin, Sino ka baga? At siya’y nagpahayag, at hindi nagkaila; kundi nagpahayag, Hindi ako ang Cristo. At siya’y kanilang tinanong, Kung gayo’y ano? Ikaw baga si Elias? At sinabi niya, Hindi ako. Ikaw baga yaong propeta? At siya’y sumagot, Hindi. Sinabi nga nila sa kaniya, Sino ka? upang maibigay namin ang sagot sa mga nagsugo sa amin. Ano ang sinasabi mo tungkol sa iyong sarili? Sinabi niya, Ako ang tinig ng isang sumisigaw sa ilang, Tuwirin ninyo ang daan ng Panginoon, gaya ng sinabi ng propetang Isaias. Juan 1:19–23.</w:t>
      </w:r>
    </w:p>
    <w:p>
      <w:pPr>
        <w:pStyle w:val="ArticleBody"/>
        <w:jc w:val="left"/>
      </w:pPr>
      <w:r>
        <w:rPr>
          <w:rFonts w:ascii="Times New Roman" w:hAnsi="Times New Roman" w:eastAsia="Times New Roman" w:cs="Times New Roman"/>
        </w:rPr>
        <w:t>La préparation du « chemin du Seigneur » identifie la méthodologie que les anges ont guidé Miller à comprendre et à employer afin de préparer la compréhension biblique du « chemin » dans lequel les hommes devaient marcher. Toute « montagne » devait être abaissée, car les montagnes de la prophétie biblique représentent des vérités qui, au premier abord, paraissent trop difficiles à comprendre. Pour comprendre la glorieuse montagne sainte de Daniel, chapitre onze, verset quarante-cinq, que le roi du nord tente de conquérir, il faut d’abord identifier la glorieuse montagne sainte littérale à Jérusalem, laquelle définit prophétiquement la glorieuse montagne sainte spirituelle. Pour expliquer la montagne identifiée comme Armageddon, qui signifie montagne de Megiddo, il faut se rendre à Megiddo littérale. Les difficultés prophétiques représentées comme difficiles sont écartées lorsque l’on met en œuvre le principe selon lequel le commencement d’une chose illustre la fin d’une chose.</w:t>
      </w:r>
    </w:p>
    <w:p>
      <w:pPr>
        <w:pStyle w:val="ArticleBody"/>
        <w:jc w:val="left"/>
      </w:pPr>
      <w:r>
        <w:rPr>
          <w:rFonts w:ascii="Times New Roman" w:hAnsi="Times New Roman" w:eastAsia="Times New Roman" w:cs="Times New Roman"/>
        </w:rPr>
        <w:t>Il metodo rappresentato da Isaia, richiamato da Giovanni ed esposto da Miller, innalza ogni valle. Che si tratti della “valle della visione” in Isaia ventidue, della “valle delle ossa morte” in Ezechiele, o della “valle di Giosafat” nel libro di Gioele, il metodo fondato sulla corretta comprensione del carattere di Cristo, rappresentato come Palmoni, il Meraviglioso Numeratore, nella storia millerita, oppure come Alpha e Omega, il meraviglioso linguista, nella nostra storia, è ciò che innalza le verità profetiche rappresentate nelle “valli” della Parola di Dio.</w:t>
      </w:r>
    </w:p>
    <w:p>
      <w:pPr>
        <w:pStyle w:val="ArticleBody"/>
        <w:jc w:val="left"/>
      </w:pPr>
      <w:r>
        <w:rPr>
          <w:rFonts w:ascii="Times New Roman" w:hAnsi="Times New Roman" w:eastAsia="Times New Roman" w:cs="Times New Roman"/>
        </w:rPr>
        <w:t>Les choses tortueuses qui doivent être redressées et les lieux raboteux qui sont aplanis représentent l’œuvre de correction des usages et des traditions dont se sert un sacerdoce laodicéen pour soutenir ses mets empoisonnés de fables. L’œuvre d’Élie est expressément identifiée comme représentant la méthodologie biblique correcte, en opposition aux fables des théologiens et des prêtres. Cette œuvre est accomplie par de « simples hommes », et non par les prêtres et théologiens instruits. Parmi les caractéristiques prophétiques de ces trois témoins se trouve aussi le fait simple que l’Élie à venir sera un homme.</w:t>
      </w:r>
    </w:p>
    <w:p>
      <w:pPr>
        <w:pStyle w:val="ArticleBody"/>
        <w:jc w:val="left"/>
      </w:pPr>
      <w:r>
        <w:rPr>
          <w:rFonts w:ascii="Times New Roman" w:hAnsi="Times New Roman" w:eastAsia="Times New Roman" w:cs="Times New Roman"/>
        </w:rPr>
        <w:t>To nyrkngtꞌrxe mnfvl dʒzvwi, ymv qnʒ hbrlkgvlmgf vk Adventism hʒiʒt gk zlmv xjrrh, ghs xrvn zpvvlk hmr Sister White, bksv rlmf dzm lx qxgyrm tnsr afm zꞌr man kbv hwd cpxv qn tff spirit and power of Elijah, kqv dmj hmr own fable of explanation kqv insist hmr Sister White nfv speaking of herself.</w:t>
      </w:r>
    </w:p>
    <w:p>
      <w:pPr>
        <w:pStyle w:val="ArticleScripture"/>
        <w:jc w:val="left"/>
      </w:pPr>
      <w:r>
        <w:rPr>
          <w:rFonts w:ascii="Times New Roman" w:hAnsi="Times New Roman" w:eastAsia="Times New Roman" w:cs="Times New Roman"/>
        </w:rPr>
        <w:t>«Prophétie doit s’accomplir. Le Seigneur dit : “Voici, je vous enverrai Élie, le prophète, avant que vienne le jour de l’Éternel, ce jour grand et redoutable.” Quelqu’un doit venir dans l’esprit et la puissance d’Élie, [Voir appendice.] et, lorsqu’il paraîtra, des hommes pourront dire : “Vous êtes trop zélé, vous n’interprétez pas les Écritures comme il convient. Permettez-moi de vous dire comment vous devez enseigner votre message.”»</w:t>
      </w:r>
    </w:p>
    <w:p>
      <w:pPr>
        <w:pStyle w:val="ArticleScripture"/>
        <w:jc w:val="left"/>
      </w:pPr>
      <w:r>
        <w:rPr>
          <w:rFonts w:ascii="Times New Roman" w:hAnsi="Times New Roman" w:eastAsia="Times New Roman" w:cs="Times New Roman"/>
        </w:rPr>
        <w:t>“יש רבים שאינם יכולים להבחין בין מעשה האלוהים לבין מעשה האדם. אגיד את האמת כפי שאלוהים נותן אותה לי, ואני אומר עתה: אם תמשיכו למצוא דופי, ולהיות בעלי רוח של מדון, לעולם לא תדעו את האמת. ישוע אמר לתלמידיו, ‘עוד רבות יש לי לומר לכם, אך אינכם יכולים לשאת אותן כעת.’ הם לא היו במצב שיוכלו להעריך דברים קדושים ונצחיים; אך ישוע הבטיח לשלוח את המנחם, אשר ילמד אותם את כל הדברים, ויזכיר להם את כל אשר אמר להם.”</w:t>
      </w:r>
    </w:p>
    <w:p>
      <w:pPr>
        <w:pStyle w:val="ArticleScripture"/>
        <w:jc w:val="left"/>
      </w:pPr>
      <w:r>
        <w:rPr>
          <w:rFonts w:ascii="Times New Roman" w:hAnsi="Times New Roman" w:eastAsia="Times New Roman" w:cs="Times New Roman"/>
        </w:rPr>
        <w:t>“Brødre, vi må ikke sette vår lit til mennesker. ‘Hold opp med mennesket, som bare har ånde i sin nese; for hva er han å regne for?’ Dere må henge deres hjelpeløse sjeler på Jesus. Det sømmer seg ikke for oss å drikke av dalens kilde når det finnes en kilde i fjellet. La oss forlate de lavere bekkene; la oss komme til de høyere kildene. Dersom det finnes et punkt i sannheten som dere ikke forstår, og som dere ikke er enige om, så undersøk det, sammenlign skrift med skrift, senk sannhetens sjakt dypt ned i gruven i Guds ord. Dere må legge dere selv og deres meninger på Guds alter, legge bort deres forutinntatte forestillinger, og la himmelens Ånd lede inn i hele sannheten.” Testimonies to Ministers, 475, 476.</w:t>
      </w:r>
    </w:p>
    <w:p>
      <w:pPr>
        <w:pStyle w:val="ArticleScripture"/>
        <w:jc w:val="left"/>
      </w:pPr>
      <w:r>
        <w:rPr>
          <w:rFonts w:ascii="Times New Roman" w:hAnsi="Times New Roman" w:eastAsia="Times New Roman" w:cs="Times New Roman"/>
        </w:rPr>
        <w:t>«یەکێک دەبێت لە ڕۆح و هێزی ئیلیا بێت»: ئەم وشانە بە هەڵە لەلایەن هەندێکەوە بەسەر تاکێکی دیاریکراودا جێبەجێ کراون کە وا پێیان وابوو دەرکەوێت بە پەیامێکی پێغەمبەرانەیی دوای ژیان و خزمەتگوزاریی خانم وایت. ئەو سێ بڕگەیەی کە ئەم وتارە بە ناونیشانی «با ئاسمان ڕێبەری بکات» پێکدێنن، تەنها بەشێکی بچووکەن لە گفتوگۆیەک کە ئێلن وایت بەیانیی ڕۆژی 29ی کانونی دووەمی 1890 لە باتڵ کریک، میشیگان، پێشکەش کرد. چونکە ئەمە لە Review and Herald ی 18ی شوبات 1890 بڵاو کرایەوە، بە ناونیشانی «چۆن ڕووبەڕووی خاڵێکی ململا‌نێ‌ئامێزی دۆکتریندا ببینەوە» هات. دەربڕینەکانی دیکەش کە لەم وتارەوە وەرگیراون و بە شێوەیەکی زۆر بۆ پڕکردنەوەی هەندێک لاپەڕەی ئەم بەرگە بەکارهاتوون، لە لاپەڕەکانی 23، 104، 111، 119، 158، 278، و 386 دەدۆزرێنەوە. ئەم وتارە بە تەواوی لە Selected Messages 1:406–416 دووبارە چاپ کراوەتەوە، لەگەڵ ئەو بەشەی کە پێکهاتووە لەو دەربڕینەی بە ناونیشانی «با ئاسمان ڕێبەری بکات» لە لاپەڕەکانی 412 و 413 دەردەکەوێت. کاتێک وتارەکە بە تەواوی دەخوێندرێتەوە، ئاشکرا دەبێت کە ئێلن وایت، لەم دەربڕینەدا کە تەنها کەمتر لە ساڵێک دوای کۆنفرانسی مینیاپۆلیس بۆ کۆمەڵێک لە باتڵ کریک کردبووی، سەبارەت بە خزمەتگوزاریی خۆی دەدوو. هەندێک کەس ڕەخنەگر بووبوون لە کارەکەی. تێبینی بکە کە لەو بڕگەیەی پێش ئەوەی لەم بەرگەدا لە لاپەڕەی 475 هاتووە، ئێلن وایت دەڵێت:</w:t>
      </w:r>
    </w:p>
    <w:p>
      <w:pPr>
        <w:pStyle w:val="ArticleScripture"/>
        <w:jc w:val="left"/>
      </w:pPr>
      <w:r>
        <w:rPr>
          <w:rFonts w:ascii="Times New Roman" w:hAnsi="Times New Roman" w:eastAsia="Times New Roman" w:cs="Times New Roman"/>
        </w:rPr>
        <w:t>«“Bisim i mas kam long wanpela ples we olgeta narapela tingting bai i draun pinis. Sapos mi ting mi gat lait, bai mi mekim wok bilong mi long autim em. Tingim sapos mi bin askim ol arapela long dispela tok Bikpela i laik bai mi givim long ol manmeri, ating dua inap pas, na lait i no inap kamap long ol husat God i bin salim em i go long ol. Taim Jisas i kalap long Jerusalem, ‘olgeta disaipel planti tru i stat long amamas na litimapim nem bilong God long bikpela nek bilong olgeta strongpela wok ol i bin lukim; na i tok, Blesing i stap long dispela King i kam long nem bilong Bikpela: bel isi long heven, na glori long antap tru. Na sampela Farisi namel long dispela bikpela lain manmeri i tokim Em, Tisa, tok strong long ol disaipel bilong yu. Na Em i bekim tok long ol, Mi tokim yupela olsem, sapos ol dispela i pasim maus bilong ol, ol ston yet bai singaut wantu’ (Luke 19:37–40).”</w:t>
      </w:r>
    </w:p>
    <w:p>
      <w:pPr>
        <w:pStyle w:val="ArticleScripture"/>
        <w:jc w:val="left"/>
      </w:pPr>
      <w:r>
        <w:rPr>
          <w:rFonts w:ascii="Times New Roman" w:hAnsi="Times New Roman" w:eastAsia="Times New Roman" w:cs="Times New Roman"/>
        </w:rPr>
        <w:t>“‘Les Juifs ont cherché à empêcher la proclamation du message qui avait été annoncé dans la parole de Dieu.’”</w:t>
      </w:r>
    </w:p>
    <w:p>
      <w:pPr>
        <w:pStyle w:val="ArticleScripture"/>
        <w:jc w:val="left"/>
      </w:pPr>
      <w:r>
        <w:rPr>
          <w:rFonts w:ascii="Times New Roman" w:hAnsi="Times New Roman" w:eastAsia="Times New Roman" w:cs="Times New Roman"/>
        </w:rPr>
        <w:t>« Puis elle fait de nouveau référence à sa propre expérience : »</w:t>
      </w:r>
    </w:p>
    <w:p>
      <w:pPr>
        <w:pStyle w:val="ArticleScripture"/>
        <w:jc w:val="left"/>
      </w:pPr>
      <w:r>
        <w:rPr>
          <w:rFonts w:ascii="Times New Roman" w:hAnsi="Times New Roman" w:eastAsia="Times New Roman" w:cs="Times New Roman"/>
        </w:rPr>
        <w:t>«Πρέπει νὰ ἐκπληρωθῇ ἡ προφητεία. Ὁ Κύριος λέγει· «Ἰδοὺ, ἐγὼ θέλω ἀποστείλει πρὸς ἐσᾶς Ἠλίαν τὸν προφήτην, πρὶν ἔλθῃ ἡ ἡμέρα Κυρίου ἡ μεγάλη καὶ φοβερά» (Μαλαχίας 4:5). Κάποιος πρόκειται νὰ ἔλθῃ ἐν πνεύματι καὶ δυνάμει Ἠλίου, καὶ ὅταν ἐμφανισθῇ, οἱ ἄνθρωποι ἐνδέχεται νὰ εἴπουν· «Εἶσαι ὑπερβολικὰ ζηλωτής, δὲν ἑρμηνεύεις τὰς Γραφὰς κατὰ τὸν προσήκοντα τρόπον.»—Selected Messages, τόμος 1, 412.</w:t>
      </w:r>
    </w:p>
    <w:p>
      <w:pPr>
        <w:pStyle w:val="ArticleScripture"/>
        <w:jc w:val="left"/>
      </w:pPr>
      <w:r>
        <w:rPr>
          <w:rFonts w:ascii="Times New Roman" w:hAnsi="Times New Roman" w:eastAsia="Times New Roman" w:cs="Times New Roman"/>
        </w:rPr>
        <w:t>“Kwa kwamba alikuwa akirejelea pia uzoefu wake mwenyewe kunawekwa wazi na aya inayofuata, ambamo anatangaza:</w:t>
      </w:r>
    </w:p>
    <w:p>
      <w:pPr>
        <w:pStyle w:val="ArticleScripture"/>
        <w:jc w:val="left"/>
      </w:pPr>
      <w:r>
        <w:rPr>
          <w:rFonts w:ascii="Times New Roman" w:hAnsi="Times New Roman" w:eastAsia="Times New Roman" w:cs="Times New Roman"/>
        </w:rPr>
        <w:t>« Je dirai la vérité telle que Dieu me la donnera…. » Appendice à Testimonies to Ministers.</w:t>
      </w:r>
    </w:p>
    <w:p>
      <w:pPr>
        <w:pStyle w:val="ArticleBody"/>
        <w:jc w:val="left"/>
      </w:pPr>
      <w:r>
        <w:rPr>
          <w:rFonts w:ascii="Times New Roman" w:hAnsi="Times New Roman" w:eastAsia="Times New Roman" w:cs="Times New Roman"/>
        </w:rPr>
        <w:t>То обстоятельство, что Эллен Уайт пришлось обличать басни богословов и руководителей своего времени, никоим образом не служит доказательством того, что она отождествляла себя с тем «мужем», который должен был прийти в будущем в духе и силе Илии. Где хотя бы какое-либо свидетельство того, что многочисленные противники Эллен Уайт внутри адвентизма нападали на тот метод библейского применения, которым она пользовалась? Когда ей вообще когда-либо говорили: «Ты толкуешь Писания не должным образом»? Она ясно указывает, что в конце мира возникнет движение людей, наделённых духом и силой Илии, и нет никакого законного основания утверждать, будто она считала, что это движение громкого клича третьего ангела уже происходило в то время, когда она пророчествовала о будущем проявлении силы Илии. Лаодикийские адвентистские богословы хотели бы внушить своей пастве, что сестра Уайт «имела в виду» «собственный опыт» как исполнение пророчества о пророке Илии, который будет послан перед наступлением великого и страшного дня Господня.</w:t>
      </w:r>
    </w:p>
    <w:p>
      <w:pPr>
        <w:pStyle w:val="ArticleScripture"/>
        <w:jc w:val="left"/>
      </w:pPr>
      <w:r>
        <w:rPr>
          <w:rFonts w:ascii="Times New Roman" w:hAnsi="Times New Roman" w:eastAsia="Times New Roman" w:cs="Times New Roman"/>
        </w:rPr>
        <w:t>Voilà, je vous enverrai Élie, le prophète, avant que vienne le jour de l’Éternel, ce jour grand et redoutable. Malachie 4:5.</w:t>
      </w:r>
    </w:p>
    <w:p>
      <w:pPr>
        <w:pStyle w:val="ArticleBody"/>
        <w:jc w:val="left"/>
      </w:pPr>
      <w:r>
        <w:rPr>
          <w:rFonts w:ascii="Times New Roman" w:hAnsi="Times New Roman" w:eastAsia="Times New Roman" w:cs="Times New Roman"/>
        </w:rPr>
        <w:t>ایک نبوتی خصوصیتِ ایلیاہ بطورِ علامت یہ ہے کہ وہ ایک بائبلی منہج پیش کرتا ہے جو ایسے کاہنانہ نظام کی افسانہ پردازی کے خلاف کھڑا ہوتا ہے جو رسوم و روایات کے افسانے بانٹتا ہے۔ اُس کا راستہ تیار کرنے کا کام (“یہی راہ ہے، اسی میں چلو”) اُس بائبلی منہج کے ذریعے انجام پاتا ہے جو ایک فاسد کہانت کی تعلیمات کی مخالفت کرتا ہے۔ اور ایلیاہ، یوحنا بپتسمہ دینے والے، اور ملر کی تین گواہیوں کے مطابق؛ اور اس کے ساتھ سسٹر وائٹ کی اُس وقت کے اعتبار سے مستقبل میں ایلیاہ کے ظہور کی گواہی بھی ہو، وہ ایک مرد ہوگا، عورت نہیں۔ اور جب پالمونی، الفا اور اومیگا کے منہج کو درست طور پر سمجھا جاتا ہے، تو اسے محض کلامِ مقدس کی تفسیر کے لیے بائبلی قواعد کے ایک مجموعے کے طور پر نہیں، بلکہ مسیح کے کردار کے ایک عکس کے طور پر پہچانا جاتا ہے، اور یہی اُس کا جلال ہے۔</w:t>
      </w:r>
    </w:p>
    <w:p>
      <w:pPr>
        <w:pStyle w:val="ArticleScripture"/>
        <w:jc w:val="left"/>
      </w:pPr>
      <w:r>
        <w:rPr>
          <w:rFonts w:ascii="Times New Roman" w:hAnsi="Times New Roman" w:eastAsia="Times New Roman" w:cs="Times New Roman"/>
        </w:rPr>
        <w:t>Et la gloire de l’Éternel sera révélée, et toute chair la verra ensemble; car la bouche de l’Éternel a parlé. Ésaïe 40:5.</w:t>
      </w:r>
    </w:p>
    <w:p>
      <w:pPr>
        <w:pStyle w:val="ArticleBody"/>
        <w:jc w:val="left"/>
      </w:pPr>
      <w:r>
        <w:rPr>
          <w:rFonts w:ascii="Times New Roman" w:hAnsi="Times New Roman" w:eastAsia="Times New Roman" w:cs="Times New Roman"/>
        </w:rPr>
        <w:t>Le caractère même du Christ est représenté par la méthode à employer pour comprendre Sa Parole, car Il est la Parole.</w:t>
      </w:r>
    </w:p>
    <w:p>
      <w:pPr>
        <w:pStyle w:val="ArticleScripture"/>
        <w:jc w:val="left"/>
      </w:pPr>
      <w:r>
        <w:rPr>
          <w:rFonts w:ascii="Times New Roman" w:hAnsi="Times New Roman" w:eastAsia="Times New Roman" w:cs="Times New Roman"/>
        </w:rPr>
        <w:t>“Ny lalàn’Andriamanitra ao amin’ny fitoerana masina any an-danitra no ilay tena fototra lehibe, izay nandikana tsy misy diso ny didy voasoratra teo ambonin’ny vato fisaka sy voarakitr’i Mosesy ao amin’ny Pentateoka. Ireo izay tonga tamin’ny fahatakarana io hevitra manan-danja io dia voatarika hahita ny toetra masina sy tsy miova ananan’ny lalàna masina. Hitan’izy ireo, tahaka ny tsy mbola hitany taloha, ny herin’ny tenin’ny Mpamonjy hoe: ‘Mandra-pahafoanan’ny lanitra sy ny tany, dia tsy hisy ho levona akory amin’ny lalàna na dia litera iray na tendron-tsoratra iray aza.’ Matio 5:18. Ny lalàn’Andriamanitra, satria fanambarana ny sitrapony sady fanehoana an-tsoratra ny toetrany, dia tsy maintsy haharitra mandrakizay, ‘ho vavolombelona mahatoky any an-danitra.’ Tsy misy didy nafoana; tsy nisy litera na tendron-tsoratra novana. Hoy ny mpanao salamo: ‘Mandrakizay, Jehovah ô, ny teninao no mafy orina any an-danitra.’ ‘Marina avokoa ny didiny rehetra. Mitoetra mafy mandrakizay doria ireny.’ Salamo 119:89; 111:7, 8.” Ilay Ady Lehibe, 434.</w:t>
      </w:r>
    </w:p>
    <w:p>
      <w:pPr>
        <w:pStyle w:val="ArticleBody"/>
        <w:jc w:val="left"/>
      </w:pPr>
      <w:r>
        <w:rPr>
          <w:rFonts w:ascii="Times New Roman" w:hAnsi="Times New Roman" w:eastAsia="Times New Roman" w:cs="Times New Roman"/>
        </w:rPr>
        <w:t>Kama vile amri kumi zilivyo nakala isiyobadilika ya tabia ya Kristo, vivyo hivyo kanuni za ufasiri wa unabii nazo ni nakala ya tabia Yake.</w:t>
      </w:r>
    </w:p>
    <w:p>
      <w:pPr>
        <w:pStyle w:val="ArticleScripture"/>
        <w:jc w:val="left"/>
      </w:pPr>
      <w:r>
        <w:rPr>
          <w:rFonts w:ascii="Times New Roman" w:hAnsi="Times New Roman" w:eastAsia="Times New Roman" w:cs="Times New Roman"/>
        </w:rPr>
        <w:t>“Bisim ol i mas save long yumi yet wanem tru i mekim wanpela man i stap Kristen, wanem i as tru, wanem i dispela bilip yumi bin kisim, wanem i ol lo bilong Baibel—ol lo i bin givim long yumi long nambawan namba bilong nambawan strong na tokaut. I gat planti man husat i bilip nating na i no gat as bilong sanapim bilip bilong ol, na tu i no gat inap pruv long soim tru bilong dispela samting. Sapos wanpela tingting i kamap em i stret wantaim ol tingting ol yet i bin holim bipo, orait ol i redi tru long kisim. Ol i no save tingting gut long as na kamap bilong en, bilip bilong ol i no gat wanpela tru as bilong en, na long taim bilong traim ol bai luksave olsem ol i bin wokim haus bilong ol antap long wesan.</w:t>
      </w:r>
    </w:p>
    <w:p>
      <w:pPr>
        <w:pStyle w:val="ArticleScripture"/>
        <w:jc w:val="left"/>
      </w:pPr>
      <w:r>
        <w:rPr>
          <w:rFonts w:ascii="Times New Roman" w:hAnsi="Times New Roman" w:eastAsia="Times New Roman" w:cs="Times New Roman"/>
        </w:rPr>
        <w:t>“Celui qui se repose avec satisfaction sur sa connaissance présente et imparfaite des Écritures, pensant que cela suffit à son salut, se repose dans une illusion fatale. Il en est beaucoup qui ne sont pas pleinement pourvus d’arguments scripturaires, de sorte qu’ils puissent discerner l’erreur et condamner toute la tradition et la superstition qu’on a fait passer pour la vérité. Satan a introduit ses propres idées dans le culte de Dieu, afin de corrompre la simplicité de l’Évangile de Christ. Un grand nombre de ceux qui prétendent croire à la vérité présente ne savent pas en quoi consiste la foi qui a été une fois transmise aux saints — Christ en vous, l’espérance de la gloire. Ils pensent défendre les anciennes bornes, mais ils sont tièdes et indifférents. Ils ne savent pas ce que c’est que de tisser dans leur expérience et de posséder la véritable vertu de l’amour et de la foi. Ils ne sont pas des étudiants assidus de la Bible, mais paresseux et inattentifs. Lorsque des divergences d’opinion surgissent au sujet de passages de l’Écriture, ceux qui n’ont pas étudié dans un but déterminé et ne sont pas arrêtés quant à ce qu’ils croient, s’éloignent de la vérité. Nous devrions faire sentir à tous la nécessité de rechercher avec diligence la vérité divine, afin qu’ils sachent qu’ils savent ce qu’est la vérité. Quelques-uns prétendent posséder beaucoup de connaissance et se sentent satisfaits de leur état, alors qu’ils n’ont pas plus de zèle pour l’œuvre, pas plus d’amour ardent pour Dieu et pour les âmes pour lesquelles Christ est mort, que s’ils n’avaient jamais connu Dieu. Ils ne lisent pas la Bible [afin] d’en approprier à leurs propres âmes la moelle et la graisse. Ils ne sentent pas que c’est la voix de Dieu qui leur parle. Mais si nous voulons comprendre la voie du salut, si nous voulons voir les rayons du Soleil de justice, nous devons étudier les Écritures dans un but déterminé, car les promesses et les prophéties de la Bible répandent de clairs rayons de gloire sur le divin plan de la rédemption, lesquelles grandes vérités ne sont pas clairement comprises.” The 1888 Materials, 403.</w:t>
      </w:r>
    </w:p>
    <w:p>
      <w:pPr>
        <w:pStyle w:val="ArticleBody"/>
        <w:jc w:val="left"/>
      </w:pPr>
      <w:r>
        <w:rPr>
          <w:rFonts w:ascii="Times New Roman" w:hAnsi="Times New Roman" w:eastAsia="Times New Roman" w:cs="Times New Roman"/>
        </w:rPr>
        <w:t>Être véritablement chrétien, c’est être semblable à Christ. Le passage indique que nous « devrions savoir par nous-mêmes ce qui constitue le christianisme ». Il dit que nous « devrions savoir » « ce qu’est la vérité ». Nous « devrions savoir » « quelle est la foi que nous avons reçue ». Nous devrions savoir « quelles sont les règles de la Bible — les règles qui nous ont été données par la plus haute autorité ». Être semblable à Christ exige de savoir quelles sont les règles de la Bible qui nous ont été données par la plus haute autorité. Sans ces règles, nous ne pouvons être semblables à Christ, car les règles données par la plus haute autorité sont une transcription de son caractère.</w:t>
      </w:r>
    </w:p>
    <w:p>
      <w:pPr>
        <w:pStyle w:val="ArticleBody"/>
        <w:jc w:val="left"/>
      </w:pPr>
      <w:r>
        <w:rPr>
          <w:rFonts w:ascii="Times New Roman" w:hAnsi="Times New Roman" w:eastAsia="Times New Roman" w:cs="Times New Roman"/>
        </w:rPr>
        <w:t>Un autre caractère d’Élie est l’œuvre qui consiste à préparer la voie pour le messager de l’alliance. Élie représente l’œuvre qui s’accomplit au cours d’une histoire où un ancien peuple élu est délaissé, tandis qu’un nouveau peuple élu est simultanément choisi. Cette histoire représente un processus de purification qui produit un peuple présenté comme une offrande pure, par contraste avec l’ancien peuple élu impur.</w:t>
      </w:r>
    </w:p>
    <w:p>
      <w:pPr>
        <w:pStyle w:val="ArticleScripture"/>
        <w:jc w:val="left"/>
      </w:pPr>
      <w:r>
        <w:rPr>
          <w:rFonts w:ascii="Times New Roman" w:hAnsi="Times New Roman" w:eastAsia="Times New Roman" w:cs="Times New Roman"/>
        </w:rPr>
        <w:t>Voici, j’enverrai mon messager, et il préparera le chemin devant moi; et soudain viendra à son temple le Seigneur que vous cherchez, le messager de l’alliance, que vous désirez: voici, il vient, dit l’Éternel des armées. Mais qui pourra soutenir le jour de sa venue? et qui subsistera lorsqu’il paraîtra? Car il est comme le feu du fondeur, et comme la potasse des foulons. Il s’assiéra, tel celui qui fond et purifie l’argent; il purifiera les fils de Lévi, et les épurera comme l’or et l’argent, afin qu’ils présentent à l’Éternel une offrande avec justice. Alors l’offrande de Juda et de Jérusalem sera agréable à l’Éternel, comme aux jours anciens, et comme aux années d’autrefois. Malachie 3:1–4.</w:t>
      </w:r>
    </w:p>
    <w:p>
      <w:pPr>
        <w:pStyle w:val="ArticleBody"/>
        <w:jc w:val="left"/>
      </w:pPr>
      <w:r>
        <w:rPr>
          <w:rFonts w:ascii="Times New Roman" w:hAnsi="Times New Roman" w:eastAsia="Times New Roman" w:cs="Times New Roman"/>
        </w:rPr>
        <w:t>Yuhana Mubatizi yateguye inzira kugira ngo Kristo aze gitunguranye kandi ahumanure urusengero rwe. Ihumanurwa ry’urusengero mu ntangiriro no ku iherezo ry’umurimo wa Kristo ryari ugusohora kwa Malaki igice cya gatatu. Yohana ni we wari intumwa yateguye inzira y’Intumwa y’isezerano kugira ngo itunganye bene Lewi.</w:t>
      </w:r>
    </w:p>
    <w:p>
      <w:pPr>
        <w:pStyle w:val="ArticleScripture"/>
        <w:jc w:val="left"/>
      </w:pPr>
      <w:r>
        <w:rPr>
          <w:rFonts w:ascii="Times New Roman" w:hAnsi="Times New Roman" w:eastAsia="Times New Roman" w:cs="Times New Roman"/>
        </w:rPr>
        <w:t>“Katika kutakaswa kwa hekalu, Yesu alikuwa akitangaza utume Wake kama Masihi, na kuingia katika kazi Yake. Hekalu hilo, lililojengwa kuwa makao ya Uwepo wa Mungu, lilikusudiwa kuwa fundisho la mfano kwa Israeli na kwa ulimwengu. Tangu zama za milele, lilikuwa kusudi la Mungu kwamba kila kiumbe aliyeumbwa, tangu serafi angavu na watakatifu hadi mwanadamu, kiwe hekalu la makao ya ndani ya Muumba. Kwa sababu ya dhambi, wanadamu wakaacha kuwa hekalu la Mungu. Moyo wa mwanadamu, ukiwa umetiwa giza na kutiwa unajisi na uovu, haukuudhihirisha tena utukufu wa Yule wa Kiungu. Lakini kwa kufanyika mwili kwa Mwana wa Mungu, kusudi la Mbingu linatimizwa. Mungu anakaa ndani ya ubinadamu, na kwa njia ya neema iokoayo moyo wa mwanadamu huwa tena hekalu Lake. Mungu alikusudia kwamba hekalu la Yerusalemu liwe ushuhuda wa daima wa hatima ile ya juu iliyo wazi kwa kila nafsi. Lakini Wayahudi hawakuwa wameelewa maana ya jengo lile walilolitazama kwa majivuno makubwa namna hiyo. Hawakujitoa wenyewe kuwa mahekalu matakatifu kwa Roho wa Kiungu. Nyua za hekalu la Yerusalemu, zilizojaa ghasia za biashara isiyo takatifu, ziliiwakilisha kwa kweli mno hekalu la moyo, lililotiwa unajisi na uwepo wa tamaa za uasherati na mawazo yasiyo matakatifu. Katika kulitakasa hekalu na wanunuzi na wauzaji wa ulimwengu, Yesu alitangaza utume Wake wa kuutakasa moyo na unajisi wa dhambi,—kutoka kwa tamaa za kidunia, matamanio ya ubinafsi, tabia mbaya, zinazoiharibu nafsi. ‘Bwana, mnayemtafuta, atakuja ghafula katika hekalu lake, naye mjumbe wa agano, mnayemfurahia; tazama, atakuja, asema Bwana wa majeshi. Lakini ni nani atakayestahimili siku ya kuja kwake? Naye ni nani atakayesimama atakapoonekana? Maana yeye ni mfano wa moto wa mtu asafishaye fedha, na mfano wa sabuni ya wafua nguo; naye ataketi kama asafishaye fedha na kuitakasa; naye atawatakasa wana wa Lawi, na kuwasafisha kama dhahabu na fedha.’ Malaki 3:1–3.” Tumaini la Vizazi Vyote, 161.</w:t>
      </w:r>
    </w:p>
    <w:p>
      <w:pPr>
        <w:pStyle w:val="ArticleBody"/>
        <w:jc w:val="left"/>
      </w:pPr>
      <w:r>
        <w:rPr>
          <w:rFonts w:ascii="Times New Roman" w:hAnsi="Times New Roman" w:eastAsia="Times New Roman" w:cs="Times New Roman"/>
        </w:rPr>
        <w:t>Yoane Mobatisi azalaki motindami oyo abongisaki nzela mpo ete Klisto aya na mbalakaka mpe apɛtola tempelo na Ye, mpe William Miller akokisaki mosala motindo moko ya kobongisa mpo ete Klisto aya na mbalakaka na Esika Eleki Bosantu na mokolo mwa 22 sanza ya zomi, 1844.</w:t>
      </w:r>
    </w:p>
    <w:p>
      <w:pPr>
        <w:pStyle w:val="ArticleScripture"/>
        <w:jc w:val="left"/>
      </w:pPr>
      <w:r>
        <w:rPr>
          <w:rFonts w:ascii="Leelawadee UI" w:hAnsi="Leelawadee UI" w:eastAsia="Leelawadee UI" w:cs="Leelawadee UI"/>
        </w:rPr>
        <w:t>การเสด็จมาของพระคริสต์ในฐานะมหาปุโรหิตของเราเข้าสู่สถานอภิสุทธิสถาน</w:t>
      </w:r>
      <w:r>
        <w:rPr>
          <w:rFonts w:ascii="Times New Roman" w:hAnsi="Times New Roman" w:eastAsia="Times New Roman" w:cs="Times New Roman"/>
        </w:rPr>
        <w:t xml:space="preserve"> </w:t>
      </w:r>
      <w:r>
        <w:rPr>
          <w:rFonts w:ascii="Leelawadee UI" w:hAnsi="Leelawadee UI" w:eastAsia="Leelawadee UI" w:cs="Leelawadee UI"/>
        </w:rPr>
        <w:t>เพื่อการชำระสถานนมัสการให้บริสุทธิ์</w:t>
      </w:r>
      <w:r>
        <w:rPr>
          <w:rFonts w:ascii="Times New Roman" w:hAnsi="Times New Roman" w:eastAsia="Times New Roman" w:cs="Times New Roman"/>
        </w:rPr>
        <w:t xml:space="preserve"> </w:t>
      </w:r>
      <w:r>
        <w:rPr>
          <w:rFonts w:ascii="Leelawadee UI" w:hAnsi="Leelawadee UI" w:eastAsia="Leelawadee UI" w:cs="Leelawadee UI"/>
        </w:rPr>
        <w:t>ดังที่ปรากฏไว้ใน</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8:14; </w:t>
      </w:r>
      <w:r>
        <w:rPr>
          <w:rFonts w:ascii="Leelawadee UI" w:hAnsi="Leelawadee UI" w:eastAsia="Leelawadee UI" w:cs="Leelawadee UI"/>
        </w:rPr>
        <w:t>การเสด็จมาของบุตรมนุษย์มายังองค์ผู้ทรงพระชราแห่งกาลเวลา</w:t>
      </w:r>
      <w:r>
        <w:rPr>
          <w:rFonts w:ascii="Times New Roman" w:hAnsi="Times New Roman" w:eastAsia="Times New Roman" w:cs="Times New Roman"/>
        </w:rPr>
        <w:t xml:space="preserve"> </w:t>
      </w:r>
      <w:r>
        <w:rPr>
          <w:rFonts w:ascii="Leelawadee UI" w:hAnsi="Leelawadee UI" w:eastAsia="Leelawadee UI" w:cs="Leelawadee UI"/>
        </w:rPr>
        <w:t>ตามที่เสนอไว้ใน</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7:13; </w:t>
      </w:r>
      <w:r>
        <w:rPr>
          <w:rFonts w:ascii="Leelawadee UI" w:hAnsi="Leelawadee UI" w:eastAsia="Leelawadee UI" w:cs="Leelawadee UI"/>
        </w:rPr>
        <w:t>และการเสด็จมาขององค์พระผู้เป็นเจ้าไปยังพระวิหารของพระองค์</w:t>
      </w:r>
      <w:r>
        <w:rPr>
          <w:rFonts w:ascii="Times New Roman" w:hAnsi="Times New Roman" w:eastAsia="Times New Roman" w:cs="Times New Roman"/>
        </w:rPr>
        <w:t xml:space="preserve"> </w:t>
      </w:r>
      <w:r>
        <w:rPr>
          <w:rFonts w:ascii="Leelawadee UI" w:hAnsi="Leelawadee UI" w:eastAsia="Leelawadee UI" w:cs="Leelawadee UI"/>
        </w:rPr>
        <w:t>ดังที่มาลาคีได้พยากรณ์ไว้</w:t>
      </w:r>
      <w:r>
        <w:rPr>
          <w:rFonts w:ascii="Times New Roman" w:hAnsi="Times New Roman" w:eastAsia="Times New Roman" w:cs="Times New Roman"/>
        </w:rPr>
        <w:t xml:space="preserve"> </w:t>
      </w:r>
      <w:r>
        <w:rPr>
          <w:rFonts w:ascii="Leelawadee UI" w:hAnsi="Leelawadee UI" w:eastAsia="Leelawadee UI" w:cs="Leelawadee UI"/>
        </w:rPr>
        <w:t>ล้วนเป็นคำพรรณนาถึงเหตุการณ์เดียวกัน</w:t>
      </w:r>
      <w:r>
        <w:rPr>
          <w:rFonts w:ascii="Times New Roman" w:hAnsi="Times New Roman" w:eastAsia="Times New Roman" w:cs="Times New Roman"/>
        </w:rPr>
        <w:t xml:space="preserve">; </w:t>
      </w:r>
      <w:r>
        <w:rPr>
          <w:rFonts w:ascii="Leelawadee UI" w:hAnsi="Leelawadee UI" w:eastAsia="Leelawadee UI" w:cs="Leelawadee UI"/>
        </w:rPr>
        <w:t>และเหตุการณ์นี้ยังได้รับการพรรณนาเช่นกันโดยการมาของเจ้าบ่าวสู่งานอภิเษกสมรส</w:t>
      </w:r>
      <w:r>
        <w:rPr>
          <w:rFonts w:ascii="Times New Roman" w:hAnsi="Times New Roman" w:eastAsia="Times New Roman" w:cs="Times New Roman"/>
        </w:rPr>
        <w:t xml:space="preserve"> </w:t>
      </w:r>
      <w:r>
        <w:rPr>
          <w:rFonts w:ascii="Leelawadee UI" w:hAnsi="Leelawadee UI" w:eastAsia="Leelawadee UI" w:cs="Leelawadee UI"/>
        </w:rPr>
        <w:t>ตามที่พระคริสต์ทรงบรรยายไว้ในอุปมาเรื่องหญิงพรหมจารีสิบคน</w:t>
      </w:r>
      <w:r>
        <w:rPr>
          <w:rFonts w:ascii="Times New Roman" w:hAnsi="Times New Roman" w:eastAsia="Times New Roman" w:cs="Times New Roman"/>
        </w:rPr>
        <w:t xml:space="preserve"> </w:t>
      </w:r>
      <w:r>
        <w:rPr>
          <w:rFonts w:ascii="Leelawadee UI" w:hAnsi="Leelawadee UI" w:eastAsia="Leelawadee UI" w:cs="Leelawadee UI"/>
        </w:rPr>
        <w:t>ใน</w:t>
      </w:r>
      <w:r>
        <w:rPr>
          <w:rFonts w:ascii="Times New Roman" w:hAnsi="Times New Roman" w:eastAsia="Times New Roman" w:cs="Times New Roman"/>
        </w:rPr>
        <w:t xml:space="preserve"> </w:t>
      </w:r>
      <w:r>
        <w:rPr>
          <w:rFonts w:ascii="Leelawadee UI" w:hAnsi="Leelawadee UI" w:eastAsia="Leelawadee UI" w:cs="Leelawadee UI"/>
        </w:rPr>
        <w:t>มัทธิว</w:t>
      </w:r>
      <w:r>
        <w:rPr>
          <w:rFonts w:ascii="Times New Roman" w:hAnsi="Times New Roman" w:eastAsia="Times New Roman" w:cs="Times New Roman"/>
        </w:rPr>
        <w:t xml:space="preserve"> 25” </w:t>
      </w:r>
      <w:r>
        <w:rPr>
          <w:rFonts w:ascii="Leelawadee UI" w:hAnsi="Leelawadee UI" w:eastAsia="Leelawadee UI" w:cs="Leelawadee UI"/>
        </w:rPr>
        <w:t>มหาสงครามระหว่างความดีและความชั่ว</w:t>
      </w:r>
      <w:r>
        <w:rPr>
          <w:rFonts w:ascii="Times New Roman" w:hAnsi="Times New Roman" w:eastAsia="Times New Roman" w:cs="Times New Roman"/>
        </w:rPr>
        <w:t>, 426.</w:t>
      </w:r>
    </w:p>
    <w:p>
      <w:pPr>
        <w:pStyle w:val="ArticleBody"/>
        <w:jc w:val="left"/>
      </w:pPr>
      <w:r>
        <w:rPr>
          <w:rFonts w:ascii="Times New Roman" w:hAnsi="Times New Roman" w:eastAsia="Times New Roman" w:cs="Times New Roman"/>
        </w:rPr>
        <w:t>Yohana na Miller walifananisha utakaso uliowakilishwa na Malaki ambao sasa unatekelezwa katika historia yetu ya sasa.</w:t>
      </w:r>
    </w:p>
    <w:p>
      <w:pPr>
        <w:pStyle w:val="ArticleScripture"/>
        <w:jc w:val="left"/>
      </w:pPr>
      <w:r>
        <w:rPr>
          <w:rFonts w:ascii="Times New Roman" w:hAnsi="Times New Roman" w:eastAsia="Times New Roman" w:cs="Times New Roman"/>
        </w:rPr>
        <w:t>Le prophète dit : « Je vis un autre ange descendre du ciel, ayant une grande puissance ; et la terre fut éclairée de sa gloire. Et il cria avec force d’une voix forte, disant : Babylone la grande est tombée, elle est tombée, et elle est devenue la demeure des démons » (Apocalypse 18:1, 2). C’est le même message que celui qui fut donné par le deuxième ange. Babylone est tombée, « parce qu’elle a fait boire à toutes les nations le vin de la fureur de sa fornication » (Apocalypse 14:8). Quel est ce vin ? — Ses fausses doctrines. Elle a donné au monde un faux sabbat à la place du sabbat du quatrième commandement, et elle a répété le mensonge que Satan dit d’abord à Ève en Éden — l’immortalité naturelle de l’âme. Bien d’autres erreurs du même ordre, elle les a répandues au loin et partout, « enseignant comme doctrines des commandements d’hommes » (Matthieu 15:9).</w:t>
      </w:r>
    </w:p>
    <w:p>
      <w:pPr>
        <w:pStyle w:val="ArticleScripture"/>
        <w:jc w:val="left"/>
      </w:pPr>
      <w:r>
        <w:rPr>
          <w:rFonts w:ascii="Times New Roman" w:hAnsi="Times New Roman" w:eastAsia="Times New Roman" w:cs="Times New Roman"/>
        </w:rPr>
        <w:t>«Когда Иисус начал Своё общественное служение, Он очистил Храм от его святотатственного осквернения. Среди последних деяний Его служения было второе очищение Храма. Так и в последнем деле предостережения миру к церквам обращены два особых призыва. Весть второго ангела гласит: “Пал, пал Вавилон, город великий, потому что он яростным вином блуда своего напоил все народы” (Откровение 14:8). И в громком кличе вести третьего ангела слышится голос с неба, говорящий: “Выйди от неё, народ Мой, чтобы не участвовать вам в грехах её и не подвергнуться язвам её. Ибо грехи её дошли до неба, и Бог воспомянул неправды её” (Откровение 18:4, 5)». Избранные вести, книга 2, 118.</w:t>
      </w:r>
    </w:p>
    <w:p>
      <w:pPr>
        <w:pStyle w:val="ArticleBody"/>
        <w:jc w:val="left"/>
      </w:pPr>
      <w:r>
        <w:rPr>
          <w:rFonts w:ascii="Times New Roman" w:hAnsi="Times New Roman" w:eastAsia="Times New Roman" w:cs="Times New Roman"/>
        </w:rPr>
        <w:t>Les deux purifications du temple durant le ministère de Christ, et les deux purifications du temple dans l’histoire millérite, furent des accomplissements de Malachie, chapitre trois, et elles annoncent d’avance les deux purifications du temple qui commencèrent le 11 septembre 2001, lorsque les grands édifices de la ville de New York furent renversés par une manifestation de Dieu, et que l’ange puissant d’Apocalypse dix-huit descendit pour éclairer la terre de sa gloire. Entre autres choses, cela réfute le plat de fables servi par les théologiens laodicéens de l’adventisme, qui prétendent qu’Ellen White était le prophète Élie qui devait venir avant le grand et redoutable jour du Seigneur. La purification du temple qui a lieu lorsque l’ange d’Apocalypse dix-huit descendit commença quatre-vingt-six ans après qu’Ellen White eut été mise au repos.</w:t>
      </w:r>
    </w:p>
    <w:p>
      <w:pPr>
        <w:pStyle w:val="ArticleBody"/>
        <w:jc w:val="left"/>
      </w:pPr>
      <w:r>
        <w:rPr>
          <w:rFonts w:ascii="Times New Roman" w:hAnsi="Times New Roman" w:eastAsia="Times New Roman" w:cs="Times New Roman"/>
        </w:rPr>
        <w:t>Jean-Baptiste et ses disciples, Miller et les millérites, ainsi que Future for America, représentent les messagers qui préparent la voie pour que le messager de l’alliance vienne soudainement à son temple et le purifie de sa profanation sacrilège.</w:t>
      </w:r>
    </w:p>
    <w:p>
      <w:pPr>
        <w:pStyle w:val="ArticleBody"/>
        <w:jc w:val="left"/>
      </w:pPr>
      <w:r>
        <w:rPr>
          <w:rFonts w:ascii="Times New Roman" w:hAnsi="Times New Roman" w:eastAsia="Times New Roman" w:cs="Times New Roman"/>
        </w:rPr>
        <w:t>الْيَاهُ بوصفه رمزًا يُمثِّل إنسانًا. فهو يُمثِّل إنسانًا مدعوًّا من مجرى الحياة العادي، لا لاهوتيًّا كهنوتيًّا. وخدمته تعرض المنهجيَّة الكتابيَّة الصحيحة، أي القواعد المعطاة من السُّلطة العليا. وخدمته في مواجهةٍ مع منهجيَّة الكهنوت اللاودكي القائم من الحكايات والعادات والتقاليد. وهو يُعِدُّ الطريق لعمليَّة تطهير تُقيم شعبًا مختارًا جديدًا من بقايا شعبٍ مختارٍ قد تمَّ تجاوزه. وعمليَّة التطهير هذه موضوعة في سياق حدوثها بغتة.</w:t>
      </w:r>
    </w:p>
    <w:p>
      <w:pPr>
        <w:pStyle w:val="ArticleBody"/>
        <w:jc w:val="left"/>
      </w:pPr>
      <w:r>
        <w:rPr>
          <w:rFonts w:ascii="Times New Roman" w:hAnsi="Times New Roman" w:eastAsia="Times New Roman" w:cs="Times New Roman"/>
        </w:rPr>
        <w:t>Élie représente également un ministère et une œuvre que Dieu établit expressément et désigne comme le ministère exclusif de Dieu.</w:t>
      </w:r>
    </w:p>
    <w:p>
      <w:pPr>
        <w:pStyle w:val="ArticleBody"/>
        <w:jc w:val="left"/>
      </w:pPr>
      <w:r>
        <w:rPr>
          <w:rFonts w:ascii="Times New Roman" w:hAnsi="Times New Roman" w:eastAsia="Times New Roman" w:cs="Times New Roman"/>
        </w:rPr>
        <w:t>Ndikhombisa lokhu emlandweni wamaMillerite esihlokweni esilandelayo.</w:t>
      </w:r>
    </w:p>
    <w:p>
      <w:pPr>
        <w:pStyle w:val="ArticleScripture"/>
        <w:jc w:val="left"/>
      </w:pPr>
      <w:r>
        <w:rPr>
          <w:rFonts w:ascii="Times New Roman" w:hAnsi="Times New Roman" w:eastAsia="Times New Roman" w:cs="Times New Roman"/>
        </w:rPr>
        <w:t>Qui était « ff » ? Quel est la langue cible souhaitée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Deux</dc:title>
  <dc:subject>Kigendererwa eby’Obunnabbi</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