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trois</w:t>
      </w:r>
    </w:p>
    <w:p>
      <w:pPr>
        <w:pStyle w:val="ArticleSubtitle"/>
        <w:jc w:val="left"/>
      </w:pPr>
      <w:r>
        <w:rPr>
          <w:rFonts w:ascii="Arial" w:hAnsi="Arial" w:eastAsia="Arial" w:cs="Arial"/>
        </w:rPr>
        <w:t>Fa it Be Knoen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Og það bar svo til á þeim tíma er kvöldfórnin var færð fram, að Elía spámaður gekk nær og sagði: Drottinn, Guð Abrahams, Ísaks og Ísraels, lát það verða kunnugt í dag að þú ert Guð í Ísrael og að ég er þjónn þinn og að ég hef gjört allt þetta eftir orði þínu. 1 Konungabók 18:36.</w:t>
      </w:r>
    </w:p>
    <w:p>
      <w:pPr>
        <w:pStyle w:val="ArticleBody"/>
        <w:jc w:val="left"/>
      </w:pPr>
      <w:r>
        <w:rPr>
          <w:rFonts w:ascii="Times New Roman" w:hAnsi="Times New Roman" w:eastAsia="Times New Roman" w:cs="Times New Roman"/>
        </w:rPr>
        <w:t>Tumeweza kubainisha sifa za Eliya kama ishara. Mojawapo ya sifa hizo ni kwamba huduma na ujumbe wa Eliya, Yohana Mbatizaji, na William Miller vilikuwa vyombo vya hukumu. Ujumbe wao ulitumiwa na Bwana kuyajaribu historia zao husika. Yesu alisema kwamba kama asingalikuja, basi Wayahudi wabishi wasingalikuwa na dhambi.</w:t>
      </w:r>
    </w:p>
    <w:p>
      <w:pPr>
        <w:pStyle w:val="ArticleScripture"/>
        <w:jc w:val="left"/>
      </w:pPr>
      <w:r>
        <w:rPr>
          <w:rFonts w:ascii="Times New Roman" w:hAnsi="Times New Roman" w:eastAsia="Times New Roman" w:cs="Times New Roman"/>
        </w:rPr>
        <w:t>Si je n’étais pas venu et ne leur avais pas parlé, ils n’auraient pas eu de péché; mais maintenant ils n’ont aucune excuse pour leur péché. Jean 15:22.</w:t>
      </w:r>
    </w:p>
    <w:p>
      <w:pPr>
        <w:pStyle w:val="ArticleBody"/>
        <w:jc w:val="left"/>
      </w:pPr>
      <w:r>
        <w:rPr>
          <w:rFonts w:ascii="Times New Roman" w:hAnsi="Times New Roman" w:eastAsia="Times New Roman" w:cs="Times New Roman"/>
        </w:rPr>
        <w:t>Езекиил идентифицира същия принцип за заядливите юдеи от своето време.</w:t>
      </w:r>
    </w:p>
    <w:p>
      <w:pPr>
        <w:pStyle w:val="ArticleScripture"/>
        <w:jc w:val="left"/>
      </w:pPr>
      <w:r>
        <w:rPr>
          <w:rFonts w:ascii="Times New Roman" w:hAnsi="Times New Roman" w:eastAsia="Times New Roman" w:cs="Times New Roman"/>
        </w:rPr>
        <w:t>Car ils sont des enfants insolents et au cœur endurci. Je t’envoie vers eux; et tu leur diras: Ainsi parle le Seigneur, l’Éternel. Et eux, qu’ils écoutent ou qu’ils s’en abstiennent, (car c’est une maison rebelle,) sauront néanmoins qu’il y a eu un prophète au milieu d’eux. Ézéchiel 2:4, 5.</w:t>
      </w:r>
    </w:p>
    <w:p>
      <w:pPr>
        <w:pStyle w:val="ArticleBody"/>
        <w:jc w:val="left"/>
      </w:pPr>
      <w:r>
        <w:rPr>
          <w:rFonts w:ascii="Times New Roman" w:hAnsi="Times New Roman" w:eastAsia="Times New Roman" w:cs="Times New Roman"/>
        </w:rPr>
        <w:t>Akaragaza k’ikirango kwa Eliya gakubiyemo uruhare rwiwe nk’igikoresho c’urubanza.</w:t>
      </w:r>
    </w:p>
    <w:p>
      <w:pPr>
        <w:pStyle w:val="ArticleScripture"/>
        <w:jc w:val="left"/>
      </w:pPr>
      <w:r>
        <w:rPr>
          <w:rFonts w:ascii="Times New Roman" w:hAnsi="Times New Roman" w:eastAsia="Times New Roman" w:cs="Times New Roman"/>
        </w:rPr>
        <w:t>«Барои онҳое ки ба эълон намудани паёми фариштаи сеюм машғуланд, Навиштаҳоро мувофиқи ҳамон усуле меомӯзанд, ки Падар Миллер қабул карда буд. Дар китоби кӯчаке таҳти унвони Views of the Prophecies and Prophetic Chronology, Падар Миллер қоидаҳои зерини содда, вале хирадмандона ва муҳимро барои омӯзиш ва тафсири Китоби Муқаддас пешниҳод мекунад:</w:t>
      </w:r>
    </w:p>
    <w:p>
      <w:pPr>
        <w:pStyle w:val="ArticleScripture"/>
        <w:jc w:val="left"/>
      </w:pPr>
      <w:r>
        <w:rPr>
          <w:rFonts w:ascii="Times New Roman" w:hAnsi="Times New Roman" w:eastAsia="Times New Roman" w:cs="Times New Roman"/>
        </w:rPr>
        <w:t>“‘1. Her söz, Kutsal Kitap’ta sunulan konu üzerinde kendine özgü uygun ağırlığını taşımalıdır; 2. Kutsal Yazı’nın tümü gereklidir ve gayretli uygulama ve inceleme yoluyla anlaşılabilir; 3. Kutsal Yazı’da açıklanmış olan hiçbir şey, imanla ve kuşku duymadan isteyenlerden gizlenemez ve gizli kalmayacaktır; 4. Öğretiyi anlamak için, bilmek istediğiniz konuya ilişkin bütün ayetleri bir araya getirin; sonra her sözün kendine özgü uygun etkisini göstermesine izin verin; ve eğer çelişkiye düşmeden kuramınızı oluşturabiliyorsanız, yanılıyor olamazsınız; 5. Kutsal Yazı, kendi kendisinin yorumcusu olmalıdır; çünkü kendisinin kuralıdır. Eğer bana açıklaması için bir öğretmene bağımlı kalırsam ve o da anlamını tahmin edecek olursa ya da mezhepsel inancı nedeniyle yahut bilge sayılmak arzusuyla metni öyle yapmak isterse, o zaman onun tahmini, arzusu, inancı ya da bilgeliği benim kuralım olur, Kutsal Kitap değil.’”</w:t>
      </w:r>
    </w:p>
    <w:p>
      <w:pPr>
        <w:pStyle w:val="ArticleScripture"/>
        <w:jc w:val="left"/>
      </w:pPr>
      <w:r>
        <w:rPr>
          <w:rFonts w:ascii="Times New Roman" w:hAnsi="Times New Roman" w:eastAsia="Times New Roman" w:cs="Times New Roman"/>
        </w:rPr>
        <w:t>“Na kei e cake e dua na tiki ni veivakalawa oqo; ia ena noda vulica na iVolatabu, eda na cakava vinaka kece kevaka eda muria na ivakavuvuli sa vakaraitaki oti.</w:t>
      </w:r>
    </w:p>
    <w:p>
      <w:pPr>
        <w:pStyle w:val="ArticleScripture"/>
        <w:jc w:val="left"/>
      </w:pPr>
      <w:r>
        <w:rPr>
          <w:rFonts w:ascii="Times New Roman" w:hAnsi="Times New Roman" w:eastAsia="Times New Roman" w:cs="Times New Roman"/>
        </w:rPr>
        <w:t>« La foi véritable est fondée sur les Écritures ; mais Satan use de tant de stratagèmes pour tordre les Écritures et y introduire l’erreur, qu’une grande vigilance est nécessaire à quiconque veut savoir ce qu’elles enseignent réellement. C’est l’une des grandes illusions de notre temps que de s’attarder beaucoup au sentiment, et de se prétendre honnête tout en négligeant les déclarations claires de la parole de Dieu, parce que cette parole ne concorde pas avec le sentiment. Beaucoup n’ont d’autre fondement pour leur foi que l’émotion. Leur religion consiste en exaltation ; lorsque celle-ci cesse, leur foi disparaît. Le sentiment peut être la balle, mais la parole de Dieu est le froment. Et « qu’est-ce que la balle auprès du froment ? » dit le prophète. »</w:t>
      </w:r>
    </w:p>
    <w:p>
      <w:pPr>
        <w:pStyle w:val="ArticleScripture"/>
        <w:jc w:val="left"/>
      </w:pPr>
      <w:r>
        <w:rPr>
          <w:rFonts w:ascii="Times New Roman" w:hAnsi="Times New Roman" w:eastAsia="Times New Roman" w:cs="Times New Roman"/>
        </w:rPr>
        <w:t>“Walaupun demikian, tidak seorang pun akan dihukum karena tidak mengindahkan terang dan pengetahuan yang tidak pernah dimilikinya dan yang tidak mungkin diperolehnya. Tetapi banyak orang menolak untuk menaati kebenaran yang disampaikan kepada mereka oleh para duta Kristus, karena mereka ingin menyesuaikan diri dengan ukuran dunia; dan kebenaran yang telah mencapai pengertian mereka, terang yang telah bersinar di dalam jiwa, akan menghukum mereka pada Penghakiman. Pada hari-hari terakhir ini kita memiliki terang yang terhimpun, yang telah bersinar sepanjang segala zaman, dan karenanya kita akan dimintai pertanggungjawaban yang sepadan. Jalan kekudusan tidak sejajar dengan dunia; itu adalah jalan raya yang ditinggikan. Jika kita berjalan di jalan ini, jika kita berlari pada jalan perintah-perintah Tuhan, kita akan mendapati bahwa ‘jalan orang benar itu seperti cahaya fajar, yang kian bertambah terang sampai rembang tengah hari.’” Review and Herald, 25 November 1884.</w:t>
      </w:r>
    </w:p>
    <w:p>
      <w:pPr>
        <w:pStyle w:val="ArticleBody"/>
        <w:jc w:val="left"/>
      </w:pPr>
      <w:r>
        <w:rPr>
          <w:rFonts w:ascii="Times New Roman" w:hAnsi="Times New Roman" w:eastAsia="Times New Roman" w:cs="Times New Roman"/>
        </w:rPr>
        <w:t>Tsɔ menye “wɔbu mía fɔ ta le kekeli kple sidzedze si” míe “kpɔ o, eye” míate ŋu “nyee xɔe o” la ta o. Nya vevitɔ si le nyatakaka sia me enye nyagbe si be “nyee xɔe o.” Eliya, Yohanes, kple Miller ɖo kekeli na wɔnawo ƒe dzidzɔmeawo si woate ŋu akpɔ. Woƒe nyanyui la ƒe nɔnɔmetata ɖe nuvɔvɔ si wowɔna le dɔwɔƒe si wowɔ le Amerika-dukɔ la me be “plausible deniability” la ɖa. Eliya ƒe nyanyui la le dzidzɔme aɖeke si me wòɖe eɖokui fia la, eɖe “plausible deniability” aɖeke ɖa; alea wòwɔna be woakpɔ dzidzɔme blibo la katã be wowɔ akɔnta na kekeli si woɖe fia le ɣemaɣi.</w:t>
      </w:r>
    </w:p>
    <w:p>
      <w:pPr>
        <w:pStyle w:val="ArticleScripture"/>
        <w:jc w:val="left"/>
      </w:pPr>
      <w:r>
        <w:rPr>
          <w:rFonts w:ascii="Times New Roman" w:hAnsi="Times New Roman" w:eastAsia="Times New Roman" w:cs="Times New Roman"/>
        </w:rPr>
        <w:t>«Vor einiger Zeit sagte mein Bruder, er wolle nichts über die Lehre hören, die wir vertreten, aus Furcht, er könnte überzeugt werden. Er wollte nicht zu den Versammlungen kommen noch den Ansprachen zuhören; doch erklärte er später, er habe eingesehen, dass er ebenso schuldig sei, als hätte er sie gehört. Gott hatte ihm eine Gelegenheit gegeben, die Wahrheit zu erkennen, und Er würde ihn für diese Gelegenheit verantwortlich halten. Viele unter uns hegen Vorurteile gegen die Lehren, die jetzt erörtert werden. Sie kommen nicht, um zu hören; sie wollen nicht ruhig forschen, sondern bringen ihre Einwände im Verborgenen vor. Sie sind mit ihrem Standpunkt vollkommen zufrieden. „Du sprichst: Ich bin reich und habe Überfluss und bedarf nichts! und weißt nicht, dass du elend und jämmerlich bist, arm, blind und bloß. Ich rate dir, von mir Gold zu kaufen, geläutert im Feuer, damit du reich werdest, und weiße Kleider, damit du bekleidet werdest und die Schande deiner Blöße nicht offenbar werde; und salbe deine Augen mit Augensalbe, damit du sehen mögest. Welche ich liebhabe, die überführe und züchtige ich. So sei nun eifrig und tue Buße“ (Offenbarung 3,17–19).»</w:t>
      </w:r>
    </w:p>
    <w:p>
      <w:pPr>
        <w:pStyle w:val="ArticleScripture"/>
        <w:jc w:val="left"/>
      </w:pPr>
      <w:r>
        <w:rPr>
          <w:rFonts w:ascii="Times New Roman" w:hAnsi="Times New Roman" w:eastAsia="Times New Roman" w:cs="Times New Roman"/>
        </w:rPr>
        <w:t>«</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വചനഭാഗം</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ശബ്</w:t>
      </w:r>
      <w:r>
        <w:rPr>
          <w:rFonts w:ascii="Times New Roman" w:hAnsi="Times New Roman" w:eastAsia="Times New Roman" w:cs="Times New Roman"/>
        </w:rPr>
        <w:t>‌</w:t>
      </w:r>
      <w:r>
        <w:rPr>
          <w:rFonts w:ascii="Nirmala UI" w:hAnsi="Nirmala UI" w:eastAsia="Nirmala UI" w:cs="Nirmala UI"/>
        </w:rPr>
        <w:t>ദപരിധിക്കുള്ളിൽ</w:t>
      </w:r>
      <w:r>
        <w:rPr>
          <w:rFonts w:ascii="Times New Roman" w:hAnsi="Times New Roman" w:eastAsia="Times New Roman" w:cs="Times New Roman"/>
        </w:rPr>
        <w:t xml:space="preserve"> </w:t>
      </w:r>
      <w:r>
        <w:rPr>
          <w:rFonts w:ascii="Nirmala UI" w:hAnsi="Nirmala UI" w:eastAsia="Nirmala UI" w:cs="Nirmala UI"/>
        </w:rPr>
        <w:t>ജീവിച്ചുകൊണ്ടിരിക്കുമ്പോഴും</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കേൾക്കുവാൻ</w:t>
      </w:r>
      <w:r>
        <w:rPr>
          <w:rFonts w:ascii="Times New Roman" w:hAnsi="Times New Roman" w:eastAsia="Times New Roman" w:cs="Times New Roman"/>
        </w:rPr>
        <w:t xml:space="preserve"> </w:t>
      </w:r>
      <w:r>
        <w:rPr>
          <w:rFonts w:ascii="Nirmala UI" w:hAnsi="Nirmala UI" w:eastAsia="Nirmala UI" w:cs="Nirmala UI"/>
        </w:rPr>
        <w:t>വരാതിരിക്കുന്നവർക്ക്</w:t>
      </w:r>
      <w:r>
        <w:rPr>
          <w:rFonts w:ascii="Times New Roman" w:hAnsi="Times New Roman" w:eastAsia="Times New Roman" w:cs="Times New Roman"/>
        </w:rPr>
        <w:t xml:space="preserve"> </w:t>
      </w:r>
      <w:r>
        <w:rPr>
          <w:rFonts w:ascii="Nirmala UI" w:hAnsi="Nirmala UI" w:eastAsia="Nirmala UI" w:cs="Nirmala UI"/>
        </w:rPr>
        <w:t>ബാധകമാണ്</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സത്യത്തിന്റെ</w:t>
      </w:r>
      <w:r>
        <w:rPr>
          <w:rFonts w:ascii="Times New Roman" w:hAnsi="Times New Roman" w:eastAsia="Times New Roman" w:cs="Times New Roman"/>
        </w:rPr>
        <w:t xml:space="preserve"> </w:t>
      </w:r>
      <w:r>
        <w:rPr>
          <w:rFonts w:ascii="Nirmala UI" w:hAnsi="Nirmala UI" w:eastAsia="Nirmala UI" w:cs="Nirmala UI"/>
        </w:rPr>
        <w:t>പുതുപുത്തൻ</w:t>
      </w:r>
      <w:r>
        <w:rPr>
          <w:rFonts w:ascii="Times New Roman" w:hAnsi="Times New Roman" w:eastAsia="Times New Roman" w:cs="Times New Roman"/>
        </w:rPr>
        <w:t xml:space="preserve"> </w:t>
      </w:r>
      <w:r>
        <w:rPr>
          <w:rFonts w:ascii="Nirmala UI" w:hAnsi="Nirmala UI" w:eastAsia="Nirmala UI" w:cs="Nirmala UI"/>
        </w:rPr>
        <w:t>തെളിവുകൾ</w:t>
      </w:r>
      <w:r>
        <w:rPr>
          <w:rFonts w:ascii="Times New Roman" w:hAnsi="Times New Roman" w:eastAsia="Times New Roman" w:cs="Times New Roman"/>
        </w:rPr>
        <w:t xml:space="preserve"> </w:t>
      </w:r>
      <w:r>
        <w:rPr>
          <w:rFonts w:ascii="Nirmala UI" w:hAnsi="Nirmala UI" w:eastAsia="Nirmala UI" w:cs="Nirmala UI"/>
        </w:rPr>
        <w:t>നല്കിക്കൊണ്ടിരിക്കുകയാണോ</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പുതിയ</w:t>
      </w:r>
      <w:r>
        <w:rPr>
          <w:rFonts w:ascii="Times New Roman" w:hAnsi="Times New Roman" w:eastAsia="Times New Roman" w:cs="Times New Roman"/>
        </w:rPr>
        <w:t xml:space="preserve"> </w:t>
      </w:r>
      <w:r>
        <w:rPr>
          <w:rFonts w:ascii="Nirmala UI" w:hAnsi="Nirmala UI" w:eastAsia="Nirmala UI" w:cs="Nirmala UI"/>
        </w:rPr>
        <w:t>പശ്ചാത്തലത്തിൽ</w:t>
      </w:r>
      <w:r>
        <w:rPr>
          <w:rFonts w:ascii="Times New Roman" w:hAnsi="Times New Roman" w:eastAsia="Times New Roman" w:cs="Times New Roman"/>
        </w:rPr>
        <w:t xml:space="preserve"> </w:t>
      </w:r>
      <w:r>
        <w:rPr>
          <w:rFonts w:ascii="Nirmala UI" w:hAnsi="Nirmala UI" w:eastAsia="Nirmala UI" w:cs="Nirmala UI"/>
        </w:rPr>
        <w:t>സ്ഥാപിക്കുകയാണോ</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വഴി</w:t>
      </w:r>
      <w:r>
        <w:rPr>
          <w:rFonts w:ascii="Times New Roman" w:hAnsi="Times New Roman" w:eastAsia="Times New Roman" w:cs="Times New Roman"/>
        </w:rPr>
        <w:t xml:space="preserve"> </w:t>
      </w:r>
      <w:r>
        <w:rPr>
          <w:rFonts w:ascii="Nirmala UI" w:hAnsi="Nirmala UI" w:eastAsia="Nirmala UI" w:cs="Nirmala UI"/>
        </w:rPr>
        <w:t>ഒരുക്കപ്പെടേണ്ടതിന്നു</w:t>
      </w:r>
      <w:r>
        <w:rPr>
          <w:rFonts w:ascii="Times New Roman" w:hAnsi="Times New Roman" w:eastAsia="Times New Roman" w:cs="Times New Roman"/>
        </w:rPr>
        <w:t>—</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ആയിരിക്കാമെന്നു</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എങ്ങനെ</w:t>
      </w:r>
      <w:r>
        <w:rPr>
          <w:rFonts w:ascii="Times New Roman" w:hAnsi="Times New Roman" w:eastAsia="Times New Roman" w:cs="Times New Roman"/>
        </w:rPr>
        <w:t xml:space="preserve"> </w:t>
      </w:r>
      <w:r>
        <w:rPr>
          <w:rFonts w:ascii="Nirmala UI" w:hAnsi="Nirmala UI" w:eastAsia="Nirmala UI" w:cs="Nirmala UI"/>
        </w:rPr>
        <w:t>അറിഞ്ഞിരിക്കുന്നു</w:t>
      </w:r>
      <w:r>
        <w:rPr>
          <w:rFonts w:ascii="Times New Roman" w:hAnsi="Times New Roman" w:eastAsia="Times New Roman" w:cs="Times New Roman"/>
        </w:rPr>
        <w:t xml:space="preserve">? </w:t>
      </w:r>
      <w:r>
        <w:rPr>
          <w:rFonts w:ascii="Nirmala UI" w:hAnsi="Nirmala UI" w:eastAsia="Nirmala UI" w:cs="Nirmala UI"/>
        </w:rPr>
        <w:t>പുതിയ</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ദൈവജനങ്ങളുടെ</w:t>
      </w:r>
      <w:r>
        <w:rPr>
          <w:rFonts w:ascii="Times New Roman" w:hAnsi="Times New Roman" w:eastAsia="Times New Roman" w:cs="Times New Roman"/>
        </w:rPr>
        <w:t xml:space="preserve"> </w:t>
      </w:r>
      <w:r>
        <w:rPr>
          <w:rFonts w:ascii="Nirmala UI" w:hAnsi="Nirmala UI" w:eastAsia="Nirmala UI" w:cs="Nirmala UI"/>
        </w:rPr>
        <w:t>നിരകളിലുടനീളം</w:t>
      </w:r>
      <w:r>
        <w:rPr>
          <w:rFonts w:ascii="Times New Roman" w:hAnsi="Times New Roman" w:eastAsia="Times New Roman" w:cs="Times New Roman"/>
        </w:rPr>
        <w:t xml:space="preserve"> </w:t>
      </w:r>
      <w:r>
        <w:rPr>
          <w:rFonts w:ascii="Nirmala UI" w:hAnsi="Nirmala UI" w:eastAsia="Nirmala UI" w:cs="Nirmala UI"/>
        </w:rPr>
        <w:t>നിറയേണ്ടതിന്നു</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എന്തെല്ലാം</w:t>
      </w:r>
      <w:r>
        <w:rPr>
          <w:rFonts w:ascii="Times New Roman" w:hAnsi="Times New Roman" w:eastAsia="Times New Roman" w:cs="Times New Roman"/>
        </w:rPr>
        <w:t xml:space="preserve"> </w:t>
      </w:r>
      <w:r>
        <w:rPr>
          <w:rFonts w:ascii="Nirmala UI" w:hAnsi="Nirmala UI" w:eastAsia="Nirmala UI" w:cs="Nirmala UI"/>
        </w:rPr>
        <w:t>പദ്ധതികളാണ്</w:t>
      </w:r>
      <w:r>
        <w:rPr>
          <w:rFonts w:ascii="Times New Roman" w:hAnsi="Times New Roman" w:eastAsia="Times New Roman" w:cs="Times New Roman"/>
        </w:rPr>
        <w:t xml:space="preserve"> </w:t>
      </w:r>
      <w:r>
        <w:rPr>
          <w:rFonts w:ascii="Nirmala UI" w:hAnsi="Nirmala UI" w:eastAsia="Nirmala UI" w:cs="Nirmala UI"/>
        </w:rPr>
        <w:t>ആസൂത്രണം</w:t>
      </w:r>
      <w:r>
        <w:rPr>
          <w:rFonts w:ascii="Times New Roman" w:hAnsi="Times New Roman" w:eastAsia="Times New Roman" w:cs="Times New Roman"/>
        </w:rPr>
        <w:t xml:space="preserve"> </w:t>
      </w:r>
      <w:r>
        <w:rPr>
          <w:rFonts w:ascii="Nirmala UI" w:hAnsi="Nirmala UI" w:eastAsia="Nirmala UI" w:cs="Nirmala UI"/>
        </w:rPr>
        <w:t>ചെയ്തിരിക്കുന്നത്</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മക്കൾക്കു</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അയച്ചിട്ടില്ലെന്നതിന്</w:t>
      </w:r>
      <w:r>
        <w:rPr>
          <w:rFonts w:ascii="Times New Roman" w:hAnsi="Times New Roman" w:eastAsia="Times New Roman" w:cs="Times New Roman"/>
        </w:rPr>
        <w:t xml:space="preserve"> </w:t>
      </w:r>
      <w:r>
        <w:rPr>
          <w:rFonts w:ascii="Nirmala UI" w:hAnsi="Nirmala UI" w:eastAsia="Nirmala UI" w:cs="Nirmala UI"/>
        </w:rPr>
        <w:t>നിങ്ങൾക്കുള്ള</w:t>
      </w:r>
      <w:r>
        <w:rPr>
          <w:rFonts w:ascii="Times New Roman" w:hAnsi="Times New Roman" w:eastAsia="Times New Roman" w:cs="Times New Roman"/>
        </w:rPr>
        <w:t xml:space="preserve"> </w:t>
      </w:r>
      <w:r>
        <w:rPr>
          <w:rFonts w:ascii="Nirmala UI" w:hAnsi="Nirmala UI" w:eastAsia="Nirmala UI" w:cs="Nirmala UI"/>
        </w:rPr>
        <w:t>തെളിവ്</w:t>
      </w:r>
      <w:r>
        <w:rPr>
          <w:rFonts w:ascii="Times New Roman" w:hAnsi="Times New Roman" w:eastAsia="Times New Roman" w:cs="Times New Roman"/>
        </w:rPr>
        <w:t xml:space="preserve"> </w:t>
      </w:r>
      <w:r>
        <w:rPr>
          <w:rFonts w:ascii="Nirmala UI" w:hAnsi="Nirmala UI" w:eastAsia="Nirmala UI" w:cs="Nirmala UI"/>
        </w:rPr>
        <w:t>എന്താണ്</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സ്വയംപര്യാപ്തതയും</w:t>
      </w:r>
      <w:r>
        <w:rPr>
          <w:rFonts w:ascii="Times New Roman" w:hAnsi="Times New Roman" w:eastAsia="Times New Roman" w:cs="Times New Roman"/>
        </w:rPr>
        <w:t xml:space="preserve"> </w:t>
      </w:r>
      <w:r>
        <w:rPr>
          <w:rFonts w:ascii="Nirmala UI" w:hAnsi="Nirmala UI" w:eastAsia="Nirmala UI" w:cs="Nirmala UI"/>
        </w:rPr>
        <w:t>അഹങ്കാരവും</w:t>
      </w:r>
      <w:r>
        <w:rPr>
          <w:rFonts w:ascii="Times New Roman" w:hAnsi="Times New Roman" w:eastAsia="Times New Roman" w:cs="Times New Roman"/>
        </w:rPr>
        <w:t xml:space="preserve"> </w:t>
      </w:r>
      <w:r>
        <w:rPr>
          <w:rFonts w:ascii="Nirmala UI" w:hAnsi="Nirmala UI" w:eastAsia="Nirmala UI" w:cs="Nirmala UI"/>
        </w:rPr>
        <w:t>അഭിപ്രായഗർവ്വവും</w:t>
      </w:r>
      <w:r>
        <w:rPr>
          <w:rFonts w:ascii="Times New Roman" w:hAnsi="Times New Roman" w:eastAsia="Times New Roman" w:cs="Times New Roman"/>
        </w:rPr>
        <w:t xml:space="preserve"> </w:t>
      </w:r>
      <w:r>
        <w:rPr>
          <w:rFonts w:ascii="Nirmala UI" w:hAnsi="Nirmala UI" w:eastAsia="Nirmala UI" w:cs="Nirmala UI"/>
        </w:rPr>
        <w:t>ഉപേക്ഷിക്കപ്പെടണം</w:t>
      </w:r>
      <w:r>
        <w:rPr>
          <w:rFonts w:ascii="Times New Roman" w:hAnsi="Times New Roman" w:eastAsia="Times New Roman" w:cs="Times New Roman"/>
        </w:rPr>
        <w:t xml:space="preserve">. </w:t>
      </w:r>
      <w:r>
        <w:rPr>
          <w:rFonts w:ascii="Nirmala UI" w:hAnsi="Nirmala UI" w:eastAsia="Nirmala UI" w:cs="Nirmala UI"/>
        </w:rPr>
        <w:t>ഹൃദയത്തിൽ</w:t>
      </w:r>
      <w:r>
        <w:rPr>
          <w:rFonts w:ascii="Times New Roman" w:hAnsi="Times New Roman" w:eastAsia="Times New Roman" w:cs="Times New Roman"/>
        </w:rPr>
        <w:t xml:space="preserve"> </w:t>
      </w:r>
      <w:r>
        <w:rPr>
          <w:rFonts w:ascii="Nirmala UI" w:hAnsi="Nirmala UI" w:eastAsia="Nirmala UI" w:cs="Nirmala UI"/>
        </w:rPr>
        <w:t>സൗമ്യനും</w:t>
      </w:r>
      <w:r>
        <w:rPr>
          <w:rFonts w:ascii="Times New Roman" w:hAnsi="Times New Roman" w:eastAsia="Times New Roman" w:cs="Times New Roman"/>
        </w:rPr>
        <w:t xml:space="preserve"> </w:t>
      </w:r>
      <w:r>
        <w:rPr>
          <w:rFonts w:ascii="Nirmala UI" w:hAnsi="Nirmala UI" w:eastAsia="Nirmala UI" w:cs="Nirmala UI"/>
        </w:rPr>
        <w:t>വിനീതനും</w:t>
      </w:r>
      <w:r>
        <w:rPr>
          <w:rFonts w:ascii="Times New Roman" w:hAnsi="Times New Roman" w:eastAsia="Times New Roman" w:cs="Times New Roman"/>
        </w:rPr>
        <w:t xml:space="preserve"> </w:t>
      </w:r>
      <w:r>
        <w:rPr>
          <w:rFonts w:ascii="Nirmala UI" w:hAnsi="Nirmala UI" w:eastAsia="Nirmala UI" w:cs="Nirmala UI"/>
        </w:rPr>
        <w:t>ആയിരിക്കുന്ന</w:t>
      </w:r>
      <w:r>
        <w:rPr>
          <w:rFonts w:ascii="Times New Roman" w:hAnsi="Times New Roman" w:eastAsia="Times New Roman" w:cs="Times New Roman"/>
        </w:rPr>
        <w:t xml:space="preserve"> </w:t>
      </w:r>
      <w:r>
        <w:rPr>
          <w:rFonts w:ascii="Nirmala UI" w:hAnsi="Nirmala UI" w:eastAsia="Nirmala UI" w:cs="Nirmala UI"/>
        </w:rPr>
        <w:t>യേശുവിന്റെ</w:t>
      </w:r>
      <w:r>
        <w:rPr>
          <w:rFonts w:ascii="Times New Roman" w:hAnsi="Times New Roman" w:eastAsia="Times New Roman" w:cs="Times New Roman"/>
        </w:rPr>
        <w:t xml:space="preserve"> </w:t>
      </w:r>
      <w:r>
        <w:rPr>
          <w:rFonts w:ascii="Nirmala UI" w:hAnsi="Nirmala UI" w:eastAsia="Nirmala UI" w:cs="Nirmala UI"/>
        </w:rPr>
        <w:t>പാദങ്ങൾക്കരികെ</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എത്തി</w:t>
      </w:r>
      <w:r>
        <w:rPr>
          <w:rFonts w:ascii="Times New Roman" w:hAnsi="Times New Roman" w:eastAsia="Times New Roman" w:cs="Times New Roman"/>
        </w:rPr>
        <w:t xml:space="preserve">, </w:t>
      </w:r>
      <w:r>
        <w:rPr>
          <w:rFonts w:ascii="Nirmala UI" w:hAnsi="Nirmala UI" w:eastAsia="Nirmala UI" w:cs="Nirmala UI"/>
        </w:rPr>
        <w:t>അവനിൽനിന്നു</w:t>
      </w:r>
      <w:r>
        <w:rPr>
          <w:rFonts w:ascii="Times New Roman" w:hAnsi="Times New Roman" w:eastAsia="Times New Roman" w:cs="Times New Roman"/>
        </w:rPr>
        <w:t xml:space="preserve"> </w:t>
      </w:r>
      <w:r>
        <w:rPr>
          <w:rFonts w:ascii="Nirmala UI" w:hAnsi="Nirmala UI" w:eastAsia="Nirmala UI" w:cs="Nirmala UI"/>
        </w:rPr>
        <w:t>പഠിക്കണം</w:t>
      </w:r>
      <w:r>
        <w:rPr>
          <w:rFonts w:ascii="Times New Roman" w:hAnsi="Times New Roman" w:eastAsia="Times New Roman" w:cs="Times New Roman"/>
        </w:rPr>
        <w:t xml:space="preserve">. </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ശിഷ്യന്മാരെ</w:t>
      </w:r>
      <w:r>
        <w:rPr>
          <w:rFonts w:ascii="Times New Roman" w:hAnsi="Times New Roman" w:eastAsia="Times New Roman" w:cs="Times New Roman"/>
        </w:rPr>
        <w:t xml:space="preserve"> </w:t>
      </w:r>
      <w:r>
        <w:rPr>
          <w:rFonts w:ascii="Nirmala UI" w:hAnsi="Nirmala UI" w:eastAsia="Nirmala UI" w:cs="Nirmala UI"/>
        </w:rPr>
        <w:t>റബ്ബിമാർ</w:t>
      </w:r>
      <w:r>
        <w:rPr>
          <w:rFonts w:ascii="Times New Roman" w:hAnsi="Times New Roman" w:eastAsia="Times New Roman" w:cs="Times New Roman"/>
        </w:rPr>
        <w:t xml:space="preserve"> </w:t>
      </w:r>
      <w:r>
        <w:rPr>
          <w:rFonts w:ascii="Nirmala UI" w:hAnsi="Nirmala UI" w:eastAsia="Nirmala UI" w:cs="Nirmala UI"/>
        </w:rPr>
        <w:t>തങ്ങളുടേതിനെ</w:t>
      </w:r>
      <w:r>
        <w:rPr>
          <w:rFonts w:ascii="Times New Roman" w:hAnsi="Times New Roman" w:eastAsia="Times New Roman" w:cs="Times New Roman"/>
        </w:rPr>
        <w:t xml:space="preserve"> </w:t>
      </w:r>
      <w:r>
        <w:rPr>
          <w:rFonts w:ascii="Nirmala UI" w:hAnsi="Nirmala UI" w:eastAsia="Nirmala UI" w:cs="Nirmala UI"/>
        </w:rPr>
        <w:t>പഠിപ്പിച്ചതുപോലെ</w:t>
      </w:r>
      <w:r>
        <w:rPr>
          <w:rFonts w:ascii="Times New Roman" w:hAnsi="Times New Roman" w:eastAsia="Times New Roman" w:cs="Times New Roman"/>
        </w:rPr>
        <w:t xml:space="preserve"> </w:t>
      </w:r>
      <w:r>
        <w:rPr>
          <w:rFonts w:ascii="Nirmala UI" w:hAnsi="Nirmala UI" w:eastAsia="Nirmala UI" w:cs="Nirmala UI"/>
        </w:rPr>
        <w:t>പഠിപ്പിച്ചില്ല</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യെഹൂദർ</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രക്ഷയുടെ</w:t>
      </w:r>
      <w:r>
        <w:rPr>
          <w:rFonts w:ascii="Times New Roman" w:hAnsi="Times New Roman" w:eastAsia="Times New Roman" w:cs="Times New Roman"/>
        </w:rPr>
        <w:t xml:space="preserve"> </w:t>
      </w:r>
      <w:r>
        <w:rPr>
          <w:rFonts w:ascii="Nirmala UI" w:hAnsi="Nirmala UI" w:eastAsia="Nirmala UI" w:cs="Nirmala UI"/>
        </w:rPr>
        <w:t>രഹസ്യങ്ങൾ</w:t>
      </w:r>
      <w:r>
        <w:rPr>
          <w:rFonts w:ascii="Times New Roman" w:hAnsi="Times New Roman" w:eastAsia="Times New Roman" w:cs="Times New Roman"/>
        </w:rPr>
        <w:t xml:space="preserve"> </w:t>
      </w:r>
      <w:r>
        <w:rPr>
          <w:rFonts w:ascii="Nirmala UI" w:hAnsi="Nirmala UI" w:eastAsia="Nirmala UI" w:cs="Nirmala UI"/>
        </w:rPr>
        <w:t>വെളിപ്പെടുത്തുമ്പോൾ</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കേട്ടു</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പഠിക്കുവാനല്ല</w:t>
      </w:r>
      <w:r>
        <w:rPr>
          <w:rFonts w:ascii="Times New Roman" w:hAnsi="Times New Roman" w:eastAsia="Times New Roman" w:cs="Times New Roman"/>
        </w:rPr>
        <w:t xml:space="preserve"> </w:t>
      </w:r>
      <w:r>
        <w:rPr>
          <w:rFonts w:ascii="Nirmala UI" w:hAnsi="Nirmala UI" w:eastAsia="Nirmala UI" w:cs="Nirmala UI"/>
        </w:rPr>
        <w:t>വന്നത്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കുറ്റം</w:t>
      </w:r>
      <w:r>
        <w:rPr>
          <w:rFonts w:ascii="Times New Roman" w:hAnsi="Times New Roman" w:eastAsia="Times New Roman" w:cs="Times New Roman"/>
        </w:rPr>
        <w:t xml:space="preserve"> </w:t>
      </w:r>
      <w:r>
        <w:rPr>
          <w:rFonts w:ascii="Nirmala UI" w:hAnsi="Nirmala UI" w:eastAsia="Nirmala UI" w:cs="Nirmala UI"/>
        </w:rPr>
        <w:t>കണ്ടെത്തുവാനും</w:t>
      </w:r>
      <w:r>
        <w:rPr>
          <w:rFonts w:ascii="Times New Roman" w:hAnsi="Times New Roman" w:eastAsia="Times New Roman" w:cs="Times New Roman"/>
        </w:rPr>
        <w:t xml:space="preserve">, </w:t>
      </w:r>
      <w:r>
        <w:rPr>
          <w:rFonts w:ascii="Nirmala UI" w:hAnsi="Nirmala UI" w:eastAsia="Nirmala UI" w:cs="Nirmala UI"/>
        </w:rPr>
        <w:t>അവനിൽ</w:t>
      </w:r>
      <w:r>
        <w:rPr>
          <w:rFonts w:ascii="Times New Roman" w:hAnsi="Times New Roman" w:eastAsia="Times New Roman" w:cs="Times New Roman"/>
        </w:rPr>
        <w:t xml:space="preserve"> </w:t>
      </w:r>
      <w:r>
        <w:rPr>
          <w:rFonts w:ascii="Nirmala UI" w:hAnsi="Nirmala UI" w:eastAsia="Nirmala UI" w:cs="Nirmala UI"/>
        </w:rPr>
        <w:t>എന്തെങ്കിലും</w:t>
      </w:r>
      <w:r>
        <w:rPr>
          <w:rFonts w:ascii="Times New Roman" w:hAnsi="Times New Roman" w:eastAsia="Times New Roman" w:cs="Times New Roman"/>
        </w:rPr>
        <w:t xml:space="preserve"> </w:t>
      </w:r>
      <w:r>
        <w:rPr>
          <w:rFonts w:ascii="Nirmala UI" w:hAnsi="Nirmala UI" w:eastAsia="Nirmala UI" w:cs="Nirmala UI"/>
        </w:rPr>
        <w:t>അസംഗതി</w:t>
      </w:r>
      <w:r>
        <w:rPr>
          <w:rFonts w:ascii="Times New Roman" w:hAnsi="Times New Roman" w:eastAsia="Times New Roman" w:cs="Times New Roman"/>
        </w:rPr>
        <w:t xml:space="preserve"> </w:t>
      </w:r>
      <w:r>
        <w:rPr>
          <w:rFonts w:ascii="Nirmala UI" w:hAnsi="Nirmala UI" w:eastAsia="Nirmala UI" w:cs="Nirmala UI"/>
        </w:rPr>
        <w:t>പിടികൂടുവാനും</w:t>
      </w:r>
      <w:r>
        <w:rPr>
          <w:rFonts w:ascii="Times New Roman" w:hAnsi="Times New Roman" w:eastAsia="Times New Roman" w:cs="Times New Roman"/>
        </w:rPr>
        <w:t xml:space="preserve">, </w:t>
      </w:r>
      <w:r>
        <w:rPr>
          <w:rFonts w:ascii="Nirmala UI" w:hAnsi="Nirmala UI" w:eastAsia="Nirmala UI" w:cs="Nirmala UI"/>
        </w:rPr>
        <w:t>അതിലൂടെ</w:t>
      </w:r>
      <w:r>
        <w:rPr>
          <w:rFonts w:ascii="Times New Roman" w:hAnsi="Times New Roman" w:eastAsia="Times New Roman" w:cs="Times New Roman"/>
        </w:rPr>
        <w:t xml:space="preserve"> </w:t>
      </w:r>
      <w:r>
        <w:rPr>
          <w:rFonts w:ascii="Nirmala UI" w:hAnsi="Nirmala UI" w:eastAsia="Nirmala UI" w:cs="Nirmala UI"/>
        </w:rPr>
        <w:t>ജനങ്ങളെ</w:t>
      </w:r>
      <w:r>
        <w:rPr>
          <w:rFonts w:ascii="Times New Roman" w:hAnsi="Times New Roman" w:eastAsia="Times New Roman" w:cs="Times New Roman"/>
        </w:rPr>
        <w:t xml:space="preserve"> </w:t>
      </w:r>
      <w:r>
        <w:rPr>
          <w:rFonts w:ascii="Nirmala UI" w:hAnsi="Nirmala UI" w:eastAsia="Nirmala UI" w:cs="Nirmala UI"/>
        </w:rPr>
        <w:t>മുൻവിധിയിലാക്കുവാൻ</w:t>
      </w:r>
      <w:r>
        <w:rPr>
          <w:rFonts w:ascii="Times New Roman" w:hAnsi="Times New Roman" w:eastAsia="Times New Roman" w:cs="Times New Roman"/>
        </w:rPr>
        <w:t xml:space="preserve"> </w:t>
      </w:r>
      <w:r>
        <w:rPr>
          <w:rFonts w:ascii="Nirmala UI" w:hAnsi="Nirmala UI" w:eastAsia="Nirmala UI" w:cs="Nirmala UI"/>
        </w:rPr>
        <w:t>എന്തെങ്കിലും</w:t>
      </w:r>
      <w:r>
        <w:rPr>
          <w:rFonts w:ascii="Times New Roman" w:hAnsi="Times New Roman" w:eastAsia="Times New Roman" w:cs="Times New Roman"/>
        </w:rPr>
        <w:t xml:space="preserve"> </w:t>
      </w:r>
      <w:r>
        <w:rPr>
          <w:rFonts w:ascii="Nirmala UI" w:hAnsi="Nirmala UI" w:eastAsia="Nirmala UI" w:cs="Nirmala UI"/>
        </w:rPr>
        <w:t>ലഭിക്കേണ്ടതിന്നും</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അറിവിൽ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തൃപ്തരായിരുന്നു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മക്കൾ</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ഇടയന്റെ</w:t>
      </w:r>
      <w:r>
        <w:rPr>
          <w:rFonts w:ascii="Times New Roman" w:hAnsi="Times New Roman" w:eastAsia="Times New Roman" w:cs="Times New Roman"/>
        </w:rPr>
        <w:t xml:space="preserve"> </w:t>
      </w:r>
      <w:r>
        <w:rPr>
          <w:rFonts w:ascii="Nirmala UI" w:hAnsi="Nirmala UI" w:eastAsia="Nirmala UI" w:cs="Nirmala UI"/>
        </w:rPr>
        <w:t>ശബ്ദം</w:t>
      </w:r>
      <w:r>
        <w:rPr>
          <w:rFonts w:ascii="Times New Roman" w:hAnsi="Times New Roman" w:eastAsia="Times New Roman" w:cs="Times New Roman"/>
        </w:rPr>
        <w:t xml:space="preserve"> </w:t>
      </w:r>
      <w:r>
        <w:rPr>
          <w:rFonts w:ascii="Nirmala UI" w:hAnsi="Nirmala UI" w:eastAsia="Nirmala UI" w:cs="Nirmala UI"/>
        </w:rPr>
        <w:t>അറിയേണ്ടതാണ്</w:t>
      </w:r>
      <w:r>
        <w:rPr>
          <w:rFonts w:ascii="Times New Roman" w:hAnsi="Times New Roman" w:eastAsia="Times New Roman" w:cs="Times New Roman"/>
        </w:rPr>
        <w:t xml:space="preserve">. </w:t>
      </w:r>
      <w:r>
        <w:rPr>
          <w:rFonts w:ascii="Nirmala UI" w:hAnsi="Nirmala UI" w:eastAsia="Nirmala UI" w:cs="Nirmala UI"/>
        </w:rPr>
        <w:t>ദൈവസന്നിധിയിൽ</w:t>
      </w:r>
      <w:r>
        <w:rPr>
          <w:rFonts w:ascii="Times New Roman" w:hAnsi="Times New Roman" w:eastAsia="Times New Roman" w:cs="Times New Roman"/>
        </w:rPr>
        <w:t xml:space="preserve"> </w:t>
      </w:r>
      <w:r>
        <w:rPr>
          <w:rFonts w:ascii="Nirmala UI" w:hAnsi="Nirmala UI" w:eastAsia="Nirmala UI" w:cs="Nirmala UI"/>
        </w:rPr>
        <w:t>ഉപവസിച്ചു</w:t>
      </w:r>
      <w:r>
        <w:rPr>
          <w:rFonts w:ascii="Times New Roman" w:hAnsi="Times New Roman" w:eastAsia="Times New Roman" w:cs="Times New Roman"/>
        </w:rPr>
        <w:t xml:space="preserve"> </w:t>
      </w:r>
      <w:r>
        <w:rPr>
          <w:rFonts w:ascii="Nirmala UI" w:hAnsi="Nirmala UI" w:eastAsia="Nirmala UI" w:cs="Nirmala UI"/>
        </w:rPr>
        <w:t>പ്രാർത്ഥിക്കേണ്ട</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യുക്തമായ</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ഇതല്ലയോ</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ഭിന്നതയുടെ</w:t>
      </w:r>
      <w:r>
        <w:rPr>
          <w:rFonts w:ascii="Times New Roman" w:hAnsi="Times New Roman" w:eastAsia="Times New Roman" w:cs="Times New Roman"/>
        </w:rPr>
        <w:t xml:space="preserve"> </w:t>
      </w:r>
      <w:r>
        <w:rPr>
          <w:rFonts w:ascii="Nirmala UI" w:hAnsi="Nirmala UI" w:eastAsia="Nirmala UI" w:cs="Nirmala UI"/>
        </w:rPr>
        <w:t>അപകടത്തിൽ</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വിവാദവിഷയമായ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കാര്യത്തിൽ</w:t>
      </w:r>
      <w:r>
        <w:rPr>
          <w:rFonts w:ascii="Times New Roman" w:hAnsi="Times New Roman" w:eastAsia="Times New Roman" w:cs="Times New Roman"/>
        </w:rPr>
        <w:t xml:space="preserve"> </w:t>
      </w:r>
      <w:r>
        <w:rPr>
          <w:rFonts w:ascii="Nirmala UI" w:hAnsi="Nirmala UI" w:eastAsia="Nirmala UI" w:cs="Nirmala UI"/>
        </w:rPr>
        <w:t>പക്ഷം</w:t>
      </w:r>
      <w:r>
        <w:rPr>
          <w:rFonts w:ascii="Times New Roman" w:hAnsi="Times New Roman" w:eastAsia="Times New Roman" w:cs="Times New Roman"/>
        </w:rPr>
        <w:t xml:space="preserve"> </w:t>
      </w:r>
      <w:r>
        <w:rPr>
          <w:rFonts w:ascii="Nirmala UI" w:hAnsi="Nirmala UI" w:eastAsia="Nirmala UI" w:cs="Nirmala UI"/>
        </w:rPr>
        <w:t>പിടിക്കുന്ന</w:t>
      </w:r>
      <w:r>
        <w:rPr>
          <w:rFonts w:ascii="Times New Roman" w:hAnsi="Times New Roman" w:eastAsia="Times New Roman" w:cs="Times New Roman"/>
        </w:rPr>
        <w:t xml:space="preserve"> </w:t>
      </w:r>
      <w:r>
        <w:rPr>
          <w:rFonts w:ascii="Nirmala UI" w:hAnsi="Nirmala UI" w:eastAsia="Nirmala UI" w:cs="Nirmala UI"/>
        </w:rPr>
        <w:t>അപകടത്തിലും</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ആയിരിക്കെ</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എന്തെന്നു</w:t>
      </w:r>
      <w:r>
        <w:rPr>
          <w:rFonts w:ascii="Times New Roman" w:hAnsi="Times New Roman" w:eastAsia="Times New Roman" w:cs="Times New Roman"/>
        </w:rPr>
        <w:t xml:space="preserve"> </w:t>
      </w:r>
      <w:r>
        <w:rPr>
          <w:rFonts w:ascii="Nirmala UI" w:hAnsi="Nirmala UI" w:eastAsia="Nirmala UI" w:cs="Nirmala UI"/>
        </w:rPr>
        <w:t>അറിയേണ്ടതിന്നു</w:t>
      </w:r>
      <w:r>
        <w:rPr>
          <w:rFonts w:ascii="Times New Roman" w:hAnsi="Times New Roman" w:eastAsia="Times New Roman" w:cs="Times New Roman"/>
        </w:rPr>
        <w:t xml:space="preserve">, </w:t>
      </w:r>
      <w:r>
        <w:rPr>
          <w:rFonts w:ascii="Nirmala UI" w:hAnsi="Nirmala UI" w:eastAsia="Nirmala UI" w:cs="Nirmala UI"/>
        </w:rPr>
        <w:t>ആത്മനമ്രതയോടും</w:t>
      </w:r>
      <w:r>
        <w:rPr>
          <w:rFonts w:ascii="Times New Roman" w:hAnsi="Times New Roman" w:eastAsia="Times New Roman" w:cs="Times New Roman"/>
        </w:rPr>
        <w:t xml:space="preserve"> </w:t>
      </w:r>
      <w:r>
        <w:rPr>
          <w:rFonts w:ascii="Nirmala UI" w:hAnsi="Nirmala UI" w:eastAsia="Nirmala UI" w:cs="Nirmala UI"/>
        </w:rPr>
        <w:t>ആത്മാവിന്റെ</w:t>
      </w:r>
      <w:r>
        <w:rPr>
          <w:rFonts w:ascii="Times New Roman" w:hAnsi="Times New Roman" w:eastAsia="Times New Roman" w:cs="Times New Roman"/>
        </w:rPr>
        <w:t xml:space="preserve"> </w:t>
      </w:r>
      <w:r>
        <w:rPr>
          <w:rFonts w:ascii="Nirmala UI" w:hAnsi="Nirmala UI" w:eastAsia="Nirmala UI" w:cs="Nirmala UI"/>
        </w:rPr>
        <w:t>താഴ്ചയോടും</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ഗൗരവപൂർവ്വം</w:t>
      </w:r>
      <w:r>
        <w:rPr>
          <w:rFonts w:ascii="Times New Roman" w:hAnsi="Times New Roman" w:eastAsia="Times New Roman" w:cs="Times New Roman"/>
        </w:rPr>
        <w:t xml:space="preserve"> </w:t>
      </w:r>
      <w:r>
        <w:rPr>
          <w:rFonts w:ascii="Nirmala UI" w:hAnsi="Nirmala UI" w:eastAsia="Nirmala UI" w:cs="Nirmala UI"/>
        </w:rPr>
        <w:t>ദൈവത്തെ</w:t>
      </w:r>
      <w:r>
        <w:rPr>
          <w:rFonts w:ascii="Times New Roman" w:hAnsi="Times New Roman" w:eastAsia="Times New Roman" w:cs="Times New Roman"/>
        </w:rPr>
        <w:t xml:space="preserve"> </w:t>
      </w:r>
      <w:r>
        <w:rPr>
          <w:rFonts w:ascii="Nirmala UI" w:hAnsi="Nirmala UI" w:eastAsia="Nirmala UI" w:cs="Nirmala UI"/>
        </w:rPr>
        <w:t>അന്വേഷിക്കേണ്ടതില്ലയോ</w:t>
      </w:r>
      <w:r>
        <w:rPr>
          <w:rFonts w:ascii="Times New Roman" w:hAnsi="Times New Roman" w:eastAsia="Times New Roman" w:cs="Times New Roman"/>
        </w:rPr>
        <w:t>?» Selected Messages, book 1, 413.</w:t>
      </w:r>
    </w:p>
    <w:p>
      <w:pPr>
        <w:pStyle w:val="ArticleBody"/>
        <w:jc w:val="left"/>
      </w:pPr>
      <w:r>
        <w:rPr>
          <w:rFonts w:ascii="Times New Roman" w:hAnsi="Times New Roman" w:eastAsia="Times New Roman" w:cs="Times New Roman"/>
        </w:rPr>
        <w:t>ang mga nagarepresentar han mensahe ni Elias amo an mga instrumento han paghukom dida hin proseso han paghinlo nga nag-aandam han dalan para han mensahero han katipan basi limpyohan an templo. Ha pagtuman han buluhaton han paghinlo han templo, iginpapadayag an kapawa han presente nga kamatuoran. Kon diri ini ipapadayag, adton mga ginpapangita ni Cristo hadto ngan yana basi hinloan magpapadayon nga magtipig han ira balabal han Laodicea nga panlimbong-ha-kalugaringon. Hi Elias nagsisimbolo hin ministeryo nga nagtatanyag han kamatuoran sugad nga instrumento han paghukom. Amo ini an hinungdan nga iginpapahibaro kita nga adton nagsalikway han mensahe ni Juan nga Parabaptis diri makakakarawat hin kapulsanan tikang ha pagturon-an ni Jesus.</w:t>
      </w:r>
    </w:p>
    <w:p>
      <w:pPr>
        <w:pStyle w:val="ArticleScripture"/>
        <w:jc w:val="left"/>
      </w:pPr>
      <w:r>
        <w:rPr>
          <w:rFonts w:ascii="Times New Roman" w:hAnsi="Times New Roman" w:eastAsia="Times New Roman" w:cs="Times New Roman"/>
        </w:rPr>
        <w:t>«Бях насочена обратно към прогласяването на първото пришествие на Христос. Йоан беше изпратен в духа и силата на Илия, за да приготви пътя на Исус. Онези, които отхвърлиха свидетелството на Йоан, не се възползваха от ученията на Исус.» Ранни писания, 258.</w:t>
      </w:r>
    </w:p>
    <w:p>
      <w:pPr>
        <w:pStyle w:val="ArticleBody"/>
        <w:jc w:val="left"/>
      </w:pPr>
      <w:r>
        <w:rPr>
          <w:rFonts w:ascii="Times New Roman" w:hAnsi="Times New Roman" w:eastAsia="Times New Roman" w:cs="Times New Roman"/>
        </w:rPr>
        <w:t>Mu masaha y’ubuhanuzi ashushanya kwezwa kw’ubwoko bw’Imana hamenurwa ubutumwa bw’ukuri kw’iki gihe bubaza icyo gisekuru kubazwa inshingano zo guhitamo umwijima cyangwa umucyo.</w:t>
      </w:r>
    </w:p>
    <w:p>
      <w:pPr>
        <w:pStyle w:val="ArticleScripture"/>
        <w:jc w:val="left"/>
      </w:pPr>
      <w:r>
        <w:rPr>
          <w:rFonts w:ascii="Times New Roman" w:hAnsi="Times New Roman" w:eastAsia="Times New Roman" w:cs="Times New Roman"/>
        </w:rPr>
        <w:t>Mais toi, ô Daniel, tiens secrètes ces paroles, et scelle le livre jusqu’au temps de la fin: plusieurs courront çà et là, et la connaissance augmentera…. Et il dit: Va, Daniel; car ces paroles sont tenues secrètes et scellées jusqu’au temps de la fin. Beaucoup seront purifiés, blanchis et éprouvés; mais les méchants agiront méchamment, et aucun des méchants ne comprendra; mais les sages comprendront. Daniel 12:4, 9, 10.</w:t>
      </w:r>
    </w:p>
    <w:p>
      <w:pPr>
        <w:pStyle w:val="ArticleBody"/>
        <w:jc w:val="left"/>
      </w:pPr>
      <w:r>
        <w:rPr>
          <w:rFonts w:ascii="Times New Roman" w:hAnsi="Times New Roman" w:eastAsia="Times New Roman" w:cs="Times New Roman"/>
        </w:rPr>
        <w:t>Cei care reprezintă solia lui Ilie pentru generațiile lor sunt identificați de Hristos ca ambasadori ai Săi, pentru a-i folosi ca instrumente ale judecății. Aceasta este ceea ce identifica Ilie când spunea: „să se știe astăzi că Tu ești Dumnezeu în Israel și că eu sunt slujitorul Tău și că am făcut toate aceste lucruri după cuvântul Tău.”</w:t>
      </w:r>
    </w:p>
    <w:p>
      <w:pPr>
        <w:pStyle w:val="ArticleBody"/>
        <w:jc w:val="left"/>
      </w:pPr>
      <w:r>
        <w:rPr>
          <w:rFonts w:ascii="Times New Roman" w:hAnsi="Times New Roman" w:eastAsia="Times New Roman" w:cs="Times New Roman"/>
        </w:rPr>
        <w:t>Nok atitudo hemoi i stap klia long ol tok bilong Jisas long sait bilong Jon Baptais.</w:t>
      </w:r>
    </w:p>
    <w:p>
      <w:pPr>
        <w:pStyle w:val="ArticleScripture"/>
        <w:jc w:val="left"/>
      </w:pPr>
      <w:r>
        <w:rPr>
          <w:rFonts w:ascii="Times New Roman" w:hAnsi="Times New Roman" w:eastAsia="Times New Roman" w:cs="Times New Roman"/>
        </w:rPr>
        <w:t>Et comme ils s’en allaient, Jésus se mit à dire aux foules au sujet de Jean : Qu’êtes-vous allés voir au désert ? Un roseau agité par le vent ? Mais qu’êtes-vous allés voir ? Un homme vêtu d’habits délicats ? Voici, ceux qui portent des habits délicats sont dans les maisons des rois. Mais qu’êtes-vous allés voir ? Un prophète ? Oui, vous dis-je, et plus qu’un prophète. Car c’est celui dont il est écrit : Voici, j’envoie mon messager devant ta face, lequel préparera ton chemin devant toi. Matthieu 11:7–10.</w:t>
      </w:r>
    </w:p>
    <w:p>
      <w:pPr>
        <w:pStyle w:val="ArticleBody"/>
        <w:jc w:val="left"/>
      </w:pPr>
      <w:r>
        <w:rPr>
          <w:rFonts w:ascii="Times New Roman" w:hAnsi="Times New Roman" w:eastAsia="Times New Roman" w:cs="Times New Roman"/>
        </w:rPr>
        <w:t>Yohane alikuwa zaidi ya nabii; alikuwa chombo cha hukumu, na huduma yake ilitambulishwa kwa kizazi chake, kwa maana walikuwa wametoka kwenda nyikani ili kumwona, sawasawa kabisa na jinsi Israeli wote walivyokuja Karmeli kwa amri ya Ahabu. William Miller alielewa kuongezeka kwa ujuzi kulikofunuliwa mwaka 1798. Aliwawakilisha wale waliokwenda huku na huku katika Neno la Mungu kadiri ujuzi ulivyoongezeka. Ujumbe wake ulitegemezwa juu ya wakati wa unabii, na mwaka 1840 ujumbe na huduma yake viliwekwa mbele ya kizazi chake kwa namna ambayo ulimwengu wote wa Kiprotestanti ulitazama kuona ikiwa mbinu yake ilifanya kazi. Ilipothibitishwa, ujumbe wake ulipelekwa kote ulimwenguni.</w:t>
      </w:r>
    </w:p>
    <w:p>
      <w:pPr>
        <w:pStyle w:val="ArticleScripture"/>
        <w:jc w:val="left"/>
      </w:pPr>
      <w:r>
        <w:rPr>
          <w:rFonts w:ascii="Times New Roman" w:hAnsi="Times New Roman" w:eastAsia="Times New Roman" w:cs="Times New Roman"/>
        </w:rPr>
        <w:t>«Na ngwaga wa 1840, tiragalo e nngwe e e gakgamatsang ya go diragala ga boporofeti e ne ya tsosa kgatlhego e kgolo. Dingwaga di le pedi pele ga moo, Josiah Litch, mongwe wa badiredi ba bagolo ba ba neng ba rera ka go tla ga bobedi, o ne a gatisa tlhaloso ya Tshenolo 9, a bolelela pele go wa ga Mmusomogolo wa Ottoman. Go ya ka dipalo tsa gagwe, maatla ano a ne a tshwanetse go fenngwa... ka la 11 Phatwe, 1840, fa maatla a Ottoman kwa Constantinople a ka solofelwang go robega. Mme seno, ke dumela, se tla fitlhelwa se ntse jalo.»</w:t>
      </w:r>
    </w:p>
    <w:p>
      <w:pPr>
        <w:pStyle w:val="ArticleScripture"/>
        <w:jc w:val="left"/>
      </w:pPr>
      <w:r>
        <w:rPr>
          <w:rFonts w:ascii="Times New Roman" w:hAnsi="Times New Roman" w:eastAsia="Times New Roman" w:cs="Times New Roman"/>
        </w:rPr>
        <w:t>“</w:t>
      </w:r>
      <w:r>
        <w:rPr>
          <w:rFonts w:ascii="Ebrima" w:hAnsi="Ebrima" w:eastAsia="Ebrima" w:cs="Ebrima"/>
        </w:rPr>
        <w:t>በተወሰነው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ቱርክ</w:t>
      </w:r>
      <w:r>
        <w:rPr>
          <w:rFonts w:ascii="Times New Roman" w:hAnsi="Times New Roman" w:eastAsia="Times New Roman" w:cs="Times New Roman"/>
        </w:rPr>
        <w:t xml:space="preserve"> </w:t>
      </w:r>
      <w:r>
        <w:rPr>
          <w:rFonts w:ascii="Ebrima" w:hAnsi="Ebrima" w:eastAsia="Ebrima" w:cs="Ebrima"/>
        </w:rPr>
        <w:t>በአምባሳደሮቿ</w:t>
      </w:r>
      <w:r>
        <w:rPr>
          <w:rFonts w:ascii="Times New Roman" w:hAnsi="Times New Roman" w:eastAsia="Times New Roman" w:cs="Times New Roman"/>
        </w:rPr>
        <w:t xml:space="preserve"> </w:t>
      </w:r>
      <w:r>
        <w:rPr>
          <w:rFonts w:ascii="Ebrima" w:hAnsi="Ebrima" w:eastAsia="Ebrima" w:cs="Ebrima"/>
        </w:rPr>
        <w:t>አማካይነት</w:t>
      </w:r>
      <w:r>
        <w:rPr>
          <w:rFonts w:ascii="Times New Roman" w:hAnsi="Times New Roman" w:eastAsia="Times New Roman" w:cs="Times New Roman"/>
        </w:rPr>
        <w:t xml:space="preserve"> </w:t>
      </w:r>
      <w:r>
        <w:rPr>
          <w:rFonts w:ascii="Ebrima" w:hAnsi="Ebrima" w:eastAsia="Ebrima" w:cs="Ebrima"/>
        </w:rPr>
        <w:t>የአውሮፓ</w:t>
      </w:r>
      <w:r>
        <w:rPr>
          <w:rFonts w:ascii="Times New Roman" w:hAnsi="Times New Roman" w:eastAsia="Times New Roman" w:cs="Times New Roman"/>
        </w:rPr>
        <w:t xml:space="preserve"> </w:t>
      </w:r>
      <w:r>
        <w:rPr>
          <w:rFonts w:ascii="Ebrima" w:hAnsi="Ebrima" w:eastAsia="Ebrima" w:cs="Ebrima"/>
        </w:rPr>
        <w:t>ተባባሪ</w:t>
      </w:r>
      <w:r>
        <w:rPr>
          <w:rFonts w:ascii="Times New Roman" w:hAnsi="Times New Roman" w:eastAsia="Times New Roman" w:cs="Times New Roman"/>
        </w:rPr>
        <w:t xml:space="preserve"> </w:t>
      </w:r>
      <w:r>
        <w:rPr>
          <w:rFonts w:ascii="Ebrima" w:hAnsi="Ebrima" w:eastAsia="Ebrima" w:cs="Ebrima"/>
        </w:rPr>
        <w:t>ኃይሎችን</w:t>
      </w:r>
      <w:r>
        <w:rPr>
          <w:rFonts w:ascii="Times New Roman" w:hAnsi="Times New Roman" w:eastAsia="Times New Roman" w:cs="Times New Roman"/>
        </w:rPr>
        <w:t xml:space="preserve"> </w:t>
      </w:r>
      <w:r>
        <w:rPr>
          <w:rFonts w:ascii="Ebrima" w:hAnsi="Ebrima" w:eastAsia="Ebrima" w:cs="Ebrima"/>
        </w:rPr>
        <w:t>ጥበቃ</w:t>
      </w:r>
      <w:r>
        <w:rPr>
          <w:rFonts w:ascii="Times New Roman" w:hAnsi="Times New Roman" w:eastAsia="Times New Roman" w:cs="Times New Roman"/>
        </w:rPr>
        <w:t xml:space="preserve"> </w:t>
      </w:r>
      <w:r>
        <w:rPr>
          <w:rFonts w:ascii="Ebrima" w:hAnsi="Ebrima" w:eastAsia="Ebrima" w:cs="Ebrima"/>
        </w:rPr>
        <w:t>ተቀበለች፣</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ራሷን</w:t>
      </w:r>
      <w:r>
        <w:rPr>
          <w:rFonts w:ascii="Times New Roman" w:hAnsi="Times New Roman" w:eastAsia="Times New Roman" w:cs="Times New Roman"/>
        </w:rPr>
        <w:t xml:space="preserve"> </w:t>
      </w:r>
      <w:r>
        <w:rPr>
          <w:rFonts w:ascii="Ebrima" w:hAnsi="Ebrima" w:eastAsia="Ebrima" w:cs="Ebrima"/>
        </w:rPr>
        <w:t>በክርስቲያን</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ቁጥጥር</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አኖረች።</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ክስተት</w:t>
      </w:r>
      <w:r>
        <w:rPr>
          <w:rFonts w:ascii="Times New Roman" w:hAnsi="Times New Roman" w:eastAsia="Times New Roman" w:cs="Times New Roman"/>
        </w:rPr>
        <w:t xml:space="preserve"> </w:t>
      </w:r>
      <w:r>
        <w:rPr>
          <w:rFonts w:ascii="Ebrima" w:hAnsi="Ebrima" w:eastAsia="Ebrima" w:cs="Ebrima"/>
        </w:rPr>
        <w:t>ትንቢቱን</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ፈጸመ።</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በታወቀ</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ሕዝቦች</w:t>
      </w:r>
      <w:r>
        <w:rPr>
          <w:rFonts w:ascii="Times New Roman" w:hAnsi="Times New Roman" w:eastAsia="Times New Roman" w:cs="Times New Roman"/>
        </w:rPr>
        <w:t xml:space="preserve"> </w:t>
      </w:r>
      <w:r>
        <w:rPr>
          <w:rFonts w:ascii="Ebrima" w:hAnsi="Ebrima" w:eastAsia="Ebrima" w:cs="Ebrima"/>
        </w:rPr>
        <w:t>ሚለርና</w:t>
      </w:r>
      <w:r>
        <w:rPr>
          <w:rFonts w:ascii="Times New Roman" w:hAnsi="Times New Roman" w:eastAsia="Times New Roman" w:cs="Times New Roman"/>
        </w:rPr>
        <w:t xml:space="preserve"> </w:t>
      </w:r>
      <w:r>
        <w:rPr>
          <w:rFonts w:ascii="Ebrima" w:hAnsi="Ebrima" w:eastAsia="Ebrima" w:cs="Ebrima"/>
        </w:rPr>
        <w:t>ባልደረቦቹ</w:t>
      </w:r>
      <w:r>
        <w:rPr>
          <w:rFonts w:ascii="Times New Roman" w:hAnsi="Times New Roman" w:eastAsia="Times New Roman" w:cs="Times New Roman"/>
        </w:rPr>
        <w:t xml:space="preserve"> </w:t>
      </w:r>
      <w:r>
        <w:rPr>
          <w:rFonts w:ascii="Ebrima" w:hAnsi="Ebrima" w:eastAsia="Ebrima" w:cs="Ebrima"/>
        </w:rPr>
        <w:t>የተቀበሏቸው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ትርጓሜ</w:t>
      </w:r>
      <w:r>
        <w:rPr>
          <w:rFonts w:ascii="Times New Roman" w:hAnsi="Times New Roman" w:eastAsia="Times New Roman" w:cs="Times New Roman"/>
        </w:rPr>
        <w:t xml:space="preserve"> </w:t>
      </w:r>
      <w:r>
        <w:rPr>
          <w:rFonts w:ascii="Ebrima" w:hAnsi="Ebrima" w:eastAsia="Ebrima" w:cs="Ebrima"/>
        </w:rPr>
        <w:t>መርሆች</w:t>
      </w:r>
      <w:r>
        <w:rPr>
          <w:rFonts w:ascii="Times New Roman" w:hAnsi="Times New Roman" w:eastAsia="Times New Roman" w:cs="Times New Roman"/>
        </w:rPr>
        <w:t xml:space="preserve"> </w:t>
      </w:r>
      <w:r>
        <w:rPr>
          <w:rFonts w:ascii="Ebrima" w:hAnsi="Ebrima" w:eastAsia="Ebrima" w:cs="Ebrima"/>
        </w:rPr>
        <w:t>ትክክለኛነት</w:t>
      </w:r>
      <w:r>
        <w:rPr>
          <w:rFonts w:ascii="Times New Roman" w:hAnsi="Times New Roman" w:eastAsia="Times New Roman" w:cs="Times New Roman"/>
        </w:rPr>
        <w:t xml:space="preserve"> </w:t>
      </w:r>
      <w:r>
        <w:rPr>
          <w:rFonts w:ascii="Ebrima" w:hAnsi="Ebrima" w:eastAsia="Ebrima" w:cs="Ebrima"/>
        </w:rPr>
        <w:t>ተረዱ፣</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ለአድቬንት</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አስደናቂ</w:t>
      </w:r>
      <w:r>
        <w:rPr>
          <w:rFonts w:ascii="Times New Roman" w:hAnsi="Times New Roman" w:eastAsia="Times New Roman" w:cs="Times New Roman"/>
        </w:rPr>
        <w:t xml:space="preserve"> </w:t>
      </w:r>
      <w:r>
        <w:rPr>
          <w:rFonts w:ascii="Ebrima" w:hAnsi="Ebrima" w:eastAsia="Ebrima" w:cs="Ebrima"/>
        </w:rPr>
        <w:t>ጉልበት</w:t>
      </w:r>
      <w:r>
        <w:rPr>
          <w:rFonts w:ascii="Times New Roman" w:hAnsi="Times New Roman" w:eastAsia="Times New Roman" w:cs="Times New Roman"/>
        </w:rPr>
        <w:t xml:space="preserve"> </w:t>
      </w:r>
      <w:r>
        <w:rPr>
          <w:rFonts w:ascii="Ebrima" w:hAnsi="Ebrima" w:eastAsia="Ebrima" w:cs="Ebrima"/>
        </w:rPr>
        <w:t>ተሰጠ።</w:t>
      </w:r>
      <w:r>
        <w:rPr>
          <w:rFonts w:ascii="Times New Roman" w:hAnsi="Times New Roman" w:eastAsia="Times New Roman" w:cs="Times New Roman"/>
        </w:rPr>
        <w:t xml:space="preserve"> </w:t>
      </w:r>
      <w:r>
        <w:rPr>
          <w:rFonts w:ascii="Ebrima" w:hAnsi="Ebrima" w:eastAsia="Ebrima" w:cs="Ebrima"/>
        </w:rPr>
        <w:t>የትምህርትና</w:t>
      </w:r>
      <w:r>
        <w:rPr>
          <w:rFonts w:ascii="Times New Roman" w:hAnsi="Times New Roman" w:eastAsia="Times New Roman" w:cs="Times New Roman"/>
        </w:rPr>
        <w:t xml:space="preserve"> </w:t>
      </w:r>
      <w:r>
        <w:rPr>
          <w:rFonts w:ascii="Ebrima" w:hAnsi="Ebrima" w:eastAsia="Ebrima" w:cs="Ebrima"/>
        </w:rPr>
        <w:t>የማዕረግ</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ሚለርን</w:t>
      </w:r>
      <w:r>
        <w:rPr>
          <w:rFonts w:ascii="Times New Roman" w:hAnsi="Times New Roman" w:eastAsia="Times New Roman" w:cs="Times New Roman"/>
        </w:rPr>
        <w:t xml:space="preserve"> </w:t>
      </w:r>
      <w:r>
        <w:rPr>
          <w:rFonts w:ascii="Ebrima" w:hAnsi="Ebrima" w:eastAsia="Ebrima" w:cs="Ebrima"/>
        </w:rPr>
        <w:t>ተቀላቀሉ፤</w:t>
      </w:r>
      <w:r>
        <w:rPr>
          <w:rFonts w:ascii="Times New Roman" w:hAnsi="Times New Roman" w:eastAsia="Times New Roman" w:cs="Times New Roman"/>
        </w:rPr>
        <w:t xml:space="preserve"> </w:t>
      </w:r>
      <w:r>
        <w:rPr>
          <w:rFonts w:ascii="Ebrima" w:hAnsi="Ebrima" w:eastAsia="Ebrima" w:cs="Ebrima"/>
        </w:rPr>
        <w:t>አመለካከቶቹንም</w:t>
      </w:r>
      <w:r>
        <w:rPr>
          <w:rFonts w:ascii="Times New Roman" w:hAnsi="Times New Roman" w:eastAsia="Times New Roman" w:cs="Times New Roman"/>
        </w:rPr>
        <w:t xml:space="preserve"> </w:t>
      </w:r>
      <w:r>
        <w:rPr>
          <w:rFonts w:ascii="Ebrima" w:hAnsi="Ebrima" w:eastAsia="Ebrima" w:cs="Ebrima"/>
        </w:rPr>
        <w:t>በመስበክና</w:t>
      </w:r>
      <w:r>
        <w:rPr>
          <w:rFonts w:ascii="Times New Roman" w:hAnsi="Times New Roman" w:eastAsia="Times New Roman" w:cs="Times New Roman"/>
        </w:rPr>
        <w:t xml:space="preserve"> </w:t>
      </w:r>
      <w:r>
        <w:rPr>
          <w:rFonts w:ascii="Ebrima" w:hAnsi="Ebrima" w:eastAsia="Ebrima" w:cs="Ebrima"/>
        </w:rPr>
        <w:t>በማተም</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1840 </w:t>
      </w:r>
      <w:r>
        <w:rPr>
          <w:rFonts w:ascii="Ebrima" w:hAnsi="Ebrima" w:eastAsia="Ebrima" w:cs="Ebrima"/>
        </w:rPr>
        <w:t>እስከ</w:t>
      </w:r>
      <w:r>
        <w:rPr>
          <w:rFonts w:ascii="Times New Roman" w:hAnsi="Times New Roman" w:eastAsia="Times New Roman" w:cs="Times New Roman"/>
        </w:rPr>
        <w:t xml:space="preserve"> 1844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ሥራው</w:t>
      </w:r>
      <w:r>
        <w:rPr>
          <w:rFonts w:ascii="Times New Roman" w:hAnsi="Times New Roman" w:eastAsia="Times New Roman" w:cs="Times New Roman"/>
        </w:rPr>
        <w:t xml:space="preserve"> </w:t>
      </w:r>
      <w:r>
        <w:rPr>
          <w:rFonts w:ascii="Ebrima" w:hAnsi="Ebrima" w:eastAsia="Ebrima" w:cs="Ebrima"/>
        </w:rPr>
        <w:t>በፍጥነት</w:t>
      </w:r>
      <w:r>
        <w:rPr>
          <w:rFonts w:ascii="Times New Roman" w:hAnsi="Times New Roman" w:eastAsia="Times New Roman" w:cs="Times New Roman"/>
        </w:rPr>
        <w:t xml:space="preserve"> </w:t>
      </w:r>
      <w:r>
        <w:rPr>
          <w:rFonts w:ascii="Ebrima" w:hAnsi="Ebrima" w:eastAsia="Ebrima" w:cs="Ebrima"/>
        </w:rPr>
        <w:t>ተስፋፋ።</w:t>
      </w:r>
      <w:r>
        <w:rPr>
          <w:rFonts w:ascii="Times New Roman" w:hAnsi="Times New Roman" w:eastAsia="Times New Roman" w:cs="Times New Roman"/>
        </w:rPr>
        <w:t>” The Great Controversy, 334, 335.</w:t>
      </w:r>
    </w:p>
    <w:p>
      <w:pPr>
        <w:pStyle w:val="ArticleBody"/>
        <w:jc w:val="left"/>
      </w:pP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まで</w:t>
      </w:r>
      <w:r>
        <w:rPr>
          <w:rFonts w:ascii="Times New Roman" w:hAnsi="Times New Roman" w:eastAsia="Times New Roman" w:cs="Times New Roman"/>
        </w:rPr>
        <w:t>”</w:t>
      </w:r>
      <w:r>
        <w:rPr>
          <w:rFonts w:ascii="MS Gothic" w:hAnsi="MS Gothic" w:eastAsia="MS Gothic" w:cs="MS Gothic"/>
        </w:rPr>
        <w:t>は</w:t>
      </w:r>
      <w:r>
        <w:rPr>
          <w:rFonts w:ascii="Microsoft YaHei" w:hAnsi="Microsoft YaHei" w:eastAsia="Microsoft YaHei" w:cs="Microsoft YaHei"/>
        </w:rPr>
        <w:t>、黙示録第十章</w:t>
      </w:r>
      <w:r>
        <w:rPr>
          <w:rFonts w:ascii="MS Gothic" w:hAnsi="MS Gothic" w:eastAsia="MS Gothic" w:cs="MS Gothic"/>
        </w:rPr>
        <w:t>の</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雷」</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歴史</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マラキ</w:t>
      </w:r>
      <w:r>
        <w:rPr>
          <w:rFonts w:ascii="Microsoft YaHei" w:hAnsi="Microsoft YaHei" w:eastAsia="Microsoft YaHei" w:cs="Microsoft YaHei"/>
        </w:rPr>
        <w:t>書第三章</w:t>
      </w:r>
      <w:r>
        <w:rPr>
          <w:rFonts w:ascii="MS Gothic" w:hAnsi="MS Gothic" w:eastAsia="MS Gothic" w:cs="MS Gothic"/>
        </w:rPr>
        <w:t>およびキリストによる</w:t>
      </w:r>
      <w:r>
        <w:rPr>
          <w:rFonts w:ascii="Microsoft YaHei" w:hAnsi="Microsoft YaHei" w:eastAsia="Microsoft YaHei" w:cs="Microsoft YaHei"/>
        </w:rPr>
        <w:t>二度</w:t>
      </w:r>
      <w:r>
        <w:rPr>
          <w:rFonts w:ascii="MS Gothic" w:hAnsi="MS Gothic" w:eastAsia="MS Gothic" w:cs="MS Gothic"/>
        </w:rPr>
        <w:t>の</w:t>
      </w:r>
      <w:r>
        <w:rPr>
          <w:rFonts w:ascii="Microsoft YaHei" w:hAnsi="Microsoft YaHei" w:eastAsia="Microsoft YaHei" w:cs="Microsoft YaHei"/>
        </w:rPr>
        <w:t>宮</w:t>
      </w:r>
      <w:r>
        <w:rPr>
          <w:rFonts w:ascii="MS Gothic" w:hAnsi="MS Gothic" w:eastAsia="MS Gothic" w:cs="MS Gothic"/>
        </w:rPr>
        <w:t>きよめに</w:t>
      </w:r>
      <w:r>
        <w:rPr>
          <w:rFonts w:ascii="Microsoft YaHei" w:hAnsi="Microsoft YaHei" w:eastAsia="Microsoft YaHei" w:cs="Microsoft YaHei"/>
        </w:rPr>
        <w:t>示</w:t>
      </w:r>
      <w:r>
        <w:rPr>
          <w:rFonts w:ascii="MS Gothic" w:hAnsi="MS Gothic" w:eastAsia="MS Gothic" w:cs="MS Gothic"/>
        </w:rPr>
        <w:t>された</w:t>
      </w:r>
      <w:r>
        <w:rPr>
          <w:rFonts w:ascii="Microsoft YaHei" w:hAnsi="Microsoft YaHei" w:eastAsia="Microsoft YaHei" w:cs="Microsoft YaHei"/>
        </w:rPr>
        <w:t>清</w:t>
      </w:r>
      <w:r>
        <w:rPr>
          <w:rFonts w:ascii="MS Gothic" w:hAnsi="MS Gothic" w:eastAsia="MS Gothic" w:cs="MS Gothic"/>
        </w:rPr>
        <w:t>めの</w:t>
      </w:r>
      <w:r>
        <w:rPr>
          <w:rFonts w:ascii="Microsoft YaHei" w:hAnsi="Microsoft YaHei" w:eastAsia="Microsoft YaHei" w:cs="Microsoft YaHei"/>
        </w:rPr>
        <w:t>過程</w:t>
      </w:r>
      <w:r>
        <w:rPr>
          <w:rFonts w:ascii="MS Gothic" w:hAnsi="MS Gothic" w:eastAsia="MS Gothic" w:cs="MS Gothic"/>
        </w:rPr>
        <w:t>が</w:t>
      </w:r>
      <w:r>
        <w:rPr>
          <w:rFonts w:ascii="Microsoft YaHei" w:hAnsi="Microsoft YaHei" w:eastAsia="Microsoft YaHei" w:cs="Microsoft YaHei"/>
        </w:rPr>
        <w:t>開始</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清</w:t>
      </w:r>
      <w:r>
        <w:rPr>
          <w:rFonts w:ascii="MS Gothic" w:hAnsi="MS Gothic" w:eastAsia="MS Gothic" w:cs="MS Gothic"/>
        </w:rPr>
        <w:t>めの</w:t>
      </w:r>
      <w:r>
        <w:rPr>
          <w:rFonts w:ascii="Microsoft YaHei" w:hAnsi="Microsoft YaHei" w:eastAsia="Microsoft YaHei" w:cs="Microsoft YaHei"/>
        </w:rPr>
        <w:t>過程</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ミラーの</w:t>
      </w:r>
      <w:r>
        <w:rPr>
          <w:rFonts w:ascii="Microsoft YaHei" w:hAnsi="Microsoft YaHei" w:eastAsia="Microsoft YaHei" w:cs="Microsoft YaHei"/>
        </w:rPr>
        <w:t>一日一年</w:t>
      </w:r>
      <w:r>
        <w:rPr>
          <w:rFonts w:ascii="MS Gothic" w:hAnsi="MS Gothic" w:eastAsia="MS Gothic" w:cs="MS Gothic"/>
        </w:rPr>
        <w:t>の</w:t>
      </w:r>
      <w:r>
        <w:rPr>
          <w:rFonts w:ascii="Microsoft YaHei" w:hAnsi="Microsoft YaHei" w:eastAsia="Microsoft YaHei" w:cs="Microsoft YaHei"/>
        </w:rPr>
        <w:t>原則</w:t>
      </w:r>
      <w:r>
        <w:rPr>
          <w:rFonts w:ascii="MS Gothic" w:hAnsi="MS Gothic" w:eastAsia="MS Gothic" w:cs="MS Gothic"/>
        </w:rPr>
        <w:t>の</w:t>
      </w:r>
      <w:r>
        <w:rPr>
          <w:rFonts w:ascii="Microsoft YaHei" w:hAnsi="Microsoft YaHei" w:eastAsia="Microsoft YaHei" w:cs="Microsoft YaHei"/>
        </w:rPr>
        <w:t>理解</w:t>
      </w:r>
      <w:r>
        <w:rPr>
          <w:rFonts w:ascii="MS Gothic" w:hAnsi="MS Gothic" w:eastAsia="MS Gothic" w:cs="MS Gothic"/>
        </w:rPr>
        <w:t>に</w:t>
      </w:r>
      <w:r>
        <w:rPr>
          <w:rFonts w:ascii="Microsoft YaHei" w:hAnsi="Microsoft YaHei" w:eastAsia="Microsoft YaHei" w:cs="Microsoft YaHei"/>
        </w:rPr>
        <w:t>基</w:t>
      </w:r>
      <w:r>
        <w:rPr>
          <w:rFonts w:ascii="MS Gothic" w:hAnsi="MS Gothic" w:eastAsia="MS Gothic" w:cs="MS Gothic"/>
        </w:rPr>
        <w:t>づく</w:t>
      </w:r>
      <w:r>
        <w:rPr>
          <w:rFonts w:ascii="Microsoft YaHei" w:hAnsi="Microsoft YaHei" w:eastAsia="Microsoft YaHei" w:cs="Microsoft YaHei"/>
        </w:rPr>
        <w:t>、段階的</w:t>
      </w:r>
      <w:r>
        <w:rPr>
          <w:rFonts w:ascii="MS Gothic" w:hAnsi="MS Gothic" w:eastAsia="MS Gothic" w:cs="MS Gothic"/>
        </w:rPr>
        <w:t>な</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過程</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エリヤの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使者</w:t>
      </w:r>
      <w:r>
        <w:rPr>
          <w:rFonts w:ascii="MS Gothic" w:hAnsi="MS Gothic" w:eastAsia="MS Gothic" w:cs="MS Gothic"/>
        </w:rPr>
        <w:t>が</w:t>
      </w:r>
      <w:r>
        <w:rPr>
          <w:rFonts w:ascii="Microsoft YaHei" w:hAnsi="Microsoft YaHei" w:eastAsia="Microsoft YaHei" w:cs="Microsoft YaHei"/>
        </w:rPr>
        <w:t>突如</w:t>
      </w:r>
      <w:r>
        <w:rPr>
          <w:rFonts w:ascii="MS Gothic" w:hAnsi="MS Gothic" w:eastAsia="MS Gothic" w:cs="MS Gothic"/>
        </w:rPr>
        <w:t>としてその</w:t>
      </w:r>
      <w:r>
        <w:rPr>
          <w:rFonts w:ascii="Microsoft YaHei" w:hAnsi="Microsoft YaHei" w:eastAsia="Microsoft YaHei" w:cs="Microsoft YaHei"/>
        </w:rPr>
        <w:t>宮</w:t>
      </w:r>
      <w:r>
        <w:rPr>
          <w:rFonts w:ascii="MS Gothic" w:hAnsi="MS Gothic" w:eastAsia="MS Gothic" w:cs="MS Gothic"/>
        </w:rPr>
        <w:t>に</w:t>
      </w:r>
      <w:r>
        <w:rPr>
          <w:rFonts w:ascii="Microsoft YaHei" w:hAnsi="Microsoft YaHei" w:eastAsia="Microsoft YaHei" w:cs="Microsoft YaHei"/>
        </w:rPr>
        <w:t>来</w:t>
      </w:r>
      <w:r>
        <w:rPr>
          <w:rFonts w:ascii="MS Gothic" w:hAnsi="MS Gothic" w:eastAsia="MS Gothic" w:cs="MS Gothic"/>
        </w:rPr>
        <w:t>られるための</w:t>
      </w:r>
      <w:r>
        <w:rPr>
          <w:rFonts w:ascii="Microsoft YaHei" w:hAnsi="Microsoft YaHei" w:eastAsia="Microsoft YaHei" w:cs="Microsoft YaHei"/>
        </w:rPr>
        <w:t>道</w:t>
      </w:r>
      <w:r>
        <w:rPr>
          <w:rFonts w:ascii="MS Gothic" w:hAnsi="MS Gothic" w:eastAsia="MS Gothic" w:cs="MS Gothic"/>
        </w:rPr>
        <w:t>を</w:t>
      </w:r>
      <w:r>
        <w:rPr>
          <w:rFonts w:ascii="Microsoft YaHei" w:hAnsi="Microsoft YaHei" w:eastAsia="Microsoft YaHei" w:cs="Microsoft YaHei"/>
        </w:rPr>
        <w:t>備</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、光</w:t>
      </w:r>
      <w:r>
        <w:rPr>
          <w:rFonts w:ascii="MS Gothic" w:hAnsi="MS Gothic" w:eastAsia="MS Gothic" w:cs="MS Gothic"/>
        </w:rPr>
        <w:t>よりも</w:t>
      </w:r>
      <w:r>
        <w:rPr>
          <w:rFonts w:ascii="Microsoft YaHei" w:hAnsi="Microsoft YaHei" w:eastAsia="Microsoft YaHei" w:cs="Microsoft YaHei"/>
        </w:rPr>
        <w:t>闇</w:t>
      </w:r>
      <w:r>
        <w:rPr>
          <w:rFonts w:ascii="MS Gothic" w:hAnsi="MS Gothic" w:eastAsia="MS Gothic" w:cs="MS Gothic"/>
        </w:rPr>
        <w:t>を</w:t>
      </w:r>
      <w:r>
        <w:rPr>
          <w:rFonts w:ascii="Microsoft YaHei" w:hAnsi="Microsoft YaHei" w:eastAsia="Microsoft YaHei" w:cs="Microsoft YaHei"/>
        </w:rPr>
        <w:t>選</w:t>
      </w:r>
      <w:r>
        <w:rPr>
          <w:rFonts w:ascii="MS Gothic" w:hAnsi="MS Gothic" w:eastAsia="MS Gothic" w:cs="MS Gothic"/>
        </w:rPr>
        <w:t>ぶ</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追</w:t>
      </w:r>
      <w:r>
        <w:rPr>
          <w:rFonts w:ascii="MS Gothic" w:hAnsi="MS Gothic" w:eastAsia="MS Gothic" w:cs="MS Gothic"/>
        </w:rPr>
        <w:t>い</w:t>
      </w:r>
      <w:r>
        <w:rPr>
          <w:rFonts w:ascii="Microsoft YaHei" w:hAnsi="Microsoft YaHei" w:eastAsia="Microsoft YaHei" w:cs="Microsoft YaHei"/>
        </w:rPr>
        <w:t>払</w:t>
      </w:r>
      <w:r>
        <w:rPr>
          <w:rFonts w:ascii="MS Gothic" w:hAnsi="MS Gothic" w:eastAsia="MS Gothic" w:cs="MS Gothic"/>
        </w:rPr>
        <w:t>うために</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使者</w:t>
      </w:r>
      <w:r>
        <w:rPr>
          <w:rFonts w:ascii="MS Gothic" w:hAnsi="MS Gothic" w:eastAsia="MS Gothic" w:cs="MS Gothic"/>
        </w:rPr>
        <w:t>によって</w:t>
      </w:r>
      <w:r>
        <w:rPr>
          <w:rFonts w:ascii="Microsoft YaHei" w:hAnsi="Microsoft YaHei" w:eastAsia="Microsoft YaHei" w:cs="Microsoft YaHei"/>
        </w:rPr>
        <w:t>用</w:t>
      </w:r>
      <w:r>
        <w:rPr>
          <w:rFonts w:ascii="MS Gothic" w:hAnsi="MS Gothic" w:eastAsia="MS Gothic" w:cs="MS Gothic"/>
        </w:rPr>
        <w:t>いられる</w:t>
      </w:r>
      <w:r>
        <w:rPr>
          <w:rFonts w:ascii="Microsoft YaHei" w:hAnsi="Microsoft YaHei" w:eastAsia="Microsoft YaHei" w:cs="Microsoft YaHei"/>
        </w:rPr>
        <w:t>裁</w:t>
      </w:r>
      <w:r>
        <w:rPr>
          <w:rFonts w:ascii="MS Gothic" w:hAnsi="MS Gothic" w:eastAsia="MS Gothic" w:cs="MS Gothic"/>
        </w:rPr>
        <w:t>きの</w:t>
      </w:r>
      <w:r>
        <w:rPr>
          <w:rFonts w:ascii="Microsoft YaHei" w:hAnsi="Microsoft YaHei" w:eastAsia="Microsoft YaHei" w:cs="Microsoft YaHei"/>
        </w:rPr>
        <w:t>器</w:t>
      </w:r>
      <w:r>
        <w:rPr>
          <w:rFonts w:ascii="MS Gothic" w:hAnsi="MS Gothic" w:eastAsia="MS Gothic" w:cs="MS Gothic"/>
        </w:rPr>
        <w:t>の</w:t>
      </w:r>
      <w:r>
        <w:rPr>
          <w:rFonts w:ascii="Microsoft YaHei" w:hAnsi="Microsoft YaHei" w:eastAsia="Microsoft YaHei" w:cs="Microsoft YaHei"/>
        </w:rPr>
        <w:t>象徴</w:t>
      </w:r>
      <w:r>
        <w:rPr>
          <w:rFonts w:ascii="MS Gothic" w:hAnsi="MS Gothic" w:eastAsia="MS Gothic" w:cs="MS Gothic"/>
        </w:rPr>
        <w:t>でもある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Nna asubɔ mo nsu mu de kɔ adwensakra mu; na nea ɔreba m’akyi no yɛ den sen me, na mensɛ sɛ meyɛ nea ɔbɛsoa ne mpaboa mpo; ɔno na ɔde Honhom Kronkron ne ogya bɛbɔ mo asu. Ne mmoa a ɔde huam no wɔ ne nsam, na ɔbɛtew ne ayuporow no ho yiye koraa, na ɔbɛboaboa ne atoko no ano de agu adekorabea mu; na ntɛtɛ no de, ɔde ogya a ennum da bɛhyew no. Mateo 3:11, 12.</w:t>
      </w:r>
    </w:p>
    <w:p>
      <w:pPr>
        <w:pStyle w:val="ArticleBody"/>
        <w:jc w:val="left"/>
      </w:pPr>
      <w:r>
        <w:rPr>
          <w:rFonts w:ascii="Times New Roman" w:hAnsi="Times New Roman" w:eastAsia="Times New Roman" w:cs="Times New Roman"/>
        </w:rPr>
        <w:t>Le jour du Christ représenté en Jean 6:66, il perdit plus de disciples qu’en tout autre temps. Dans Jésus-Christ, où ce passage de Jean est traité, la méthode de l’application prophétique fut précisément la raison pour laquelle les disciples s’en allèrent. Ils ne pouvaient comprendre que le littéral représentait le spirituel, et, selon l’apôtre Paul, le littéral vient avant le spirituel.</w:t>
      </w:r>
    </w:p>
    <w:p>
      <w:pPr>
        <w:pStyle w:val="ArticleScripture"/>
        <w:jc w:val="left"/>
      </w:pPr>
      <w:r>
        <w:rPr>
          <w:rFonts w:ascii="Times New Roman" w:hAnsi="Times New Roman" w:eastAsia="Times New Roman" w:cs="Times New Roman"/>
        </w:rPr>
        <w:t>Et ainsi qu’il est écrit : Le premier homme, Adam, fut fait une âme vivante ; le dernier Adam est devenu un esprit vivifiant. Mais ce qui est spirituel n’est pas le premier ; c’est ce qui est naturel ; ensuite vient ce qui est spirituel. 1 Corinthiens 15:45, 46.</w:t>
      </w:r>
    </w:p>
    <w:p>
      <w:pPr>
        <w:pStyle w:val="ArticleBody"/>
        <w:jc w:val="left"/>
      </w:pPr>
      <w:r>
        <w:rPr>
          <w:rFonts w:ascii="Times New Roman" w:hAnsi="Times New Roman" w:eastAsia="Times New Roman" w:cs="Times New Roman"/>
        </w:rPr>
        <w:t>Étant dépourvus de volonté et, par conséquent, incapables, les Juifs refusèrent de comprendre le Christ lorsqu’il déclara qu’il était le pain du ciel qui devait être mangé. Les coutumes et les traditions l’emportèrent sur la méthode que le Christ lui-même avait mise en œuvre. Au sujet de cette histoire, Sœur White écrivit :</w:t>
      </w:r>
    </w:p>
    <w:p>
      <w:pPr>
        <w:pStyle w:val="ArticleScripture"/>
        <w:jc w:val="left"/>
      </w:pPr>
      <w:r>
        <w:rPr>
          <w:rFonts w:ascii="Times New Roman" w:hAnsi="Times New Roman" w:eastAsia="Times New Roman" w:cs="Times New Roman"/>
        </w:rPr>
        <w:t>“Ma rebuke faafoou i lo latou lē talitonu na atili ai ona vavaeeseina nei soo mai iā Iesu. Sa matuā lē fiafia i latou, ma i lo latou manaʻo e faatigā i le Faaola ma faamalieina ai le lotoleaga leaga o le ʻau Faresaio, sa latou liliu atu o latou tua iā te Ia, ma tuua o Ia ma le ʻinoʻino. Ua latou faia la latou filifiliga, ua latou talia le foliga i fafo ae lē o le agaga, le ʻauvae ae lē o le aano. E leʻi toe suia lava mulimuli ane la latou faaiʻuga; auā ua latou lē toe savavali faatasi ma Iesu.”</w:t>
      </w:r>
    </w:p>
    <w:p>
      <w:pPr>
        <w:pStyle w:val="ArticleScripture"/>
        <w:jc w:val="left"/>
      </w:pP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खलिहान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भाँति</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3:12</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भूसी</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अत्यधिक</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रखनेवाले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कफरनहूम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आराधनालय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त्यागमय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ठेस</w:t>
      </w:r>
      <w:r>
        <w:rPr>
          <w:rFonts w:ascii="Times New Roman" w:hAnsi="Times New Roman" w:eastAsia="Times New Roman" w:cs="Times New Roman"/>
        </w:rPr>
        <w:t xml:space="preserve"> </w:t>
      </w:r>
      <w:r>
        <w:rPr>
          <w:rFonts w:ascii="Nirmala UI" w:hAnsi="Nirmala UI" w:eastAsia="Nirmala UI" w:cs="Nirmala UI"/>
        </w:rPr>
        <w:t>खाकर</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बड़बड़ाते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The Desire of Ages, 392.</w:t>
      </w:r>
    </w:p>
    <w:p>
      <w:pPr>
        <w:pStyle w:val="ArticleBody"/>
        <w:jc w:val="left"/>
      </w:pPr>
      <w:r>
        <w:rPr>
          <w:rFonts w:ascii="Times New Roman" w:hAnsi="Times New Roman" w:eastAsia="Times New Roman" w:cs="Times New Roman"/>
        </w:rPr>
        <w:t>ff ke sandhibel-r dut je agnira madhyame Levi-r santandigake shuddha kare. Se tāhār māth sampūrṇarupe porishkar kare, ghom theke tūṣke prithak kare. Se ei kāj kulār dvārā sampanna kare. Kulāi sei upāy yā dvārā ei prithakkaraṇ ghaṭe, ebam kulā holo prati prati itihāser janya bartamān satyer bārtā, yakhon Tini Levi-r santandigake shuddha karen. Kulā holo Eliyā-r bārtā o dūtagan, yārā bichārer ek upakaraṇer pratinidhitva kare.</w:t>
      </w:r>
    </w:p>
    <w:p>
      <w:pPr>
        <w:pStyle w:val="ArticleScripture"/>
        <w:jc w:val="left"/>
      </w:pP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ढूँढ़ते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प्रसन्न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 xml:space="preserve"> </w:t>
      </w:r>
      <w:r>
        <w:rPr>
          <w:rFonts w:ascii="Nirmala UI" w:hAnsi="Nirmala UI" w:eastAsia="Nirmala UI" w:cs="Nirmala UI"/>
        </w:rPr>
        <w:t>परखनेवाले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धोबियों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तपाकर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निर्मल</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चढ़ाएँ।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लगेगी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पूर्वकाल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3:1–4</w:t>
      </w:r>
      <w:r>
        <w:rPr>
          <w:rFonts w:ascii="Nirmala UI" w:hAnsi="Nirmala UI" w:eastAsia="Nirmala UI" w:cs="Nirmala UI"/>
        </w:rPr>
        <w:t>।</w:t>
      </w:r>
    </w:p>
    <w:p>
      <w:pPr>
        <w:pStyle w:val="ArticleBody"/>
        <w:jc w:val="left"/>
      </w:pPr>
      <w:r>
        <w:rPr>
          <w:rFonts w:ascii="Times New Roman" w:hAnsi="Times New Roman" w:eastAsia="Times New Roman" w:cs="Times New Roman"/>
        </w:rPr>
        <w:t>An wan daeth efter John y Baptist yw Ef sy’n glanhau Ei lawr â gwyntyll, ac sydd fel tân purwr. Cyflawnir y broses o buro gan gennad y cyfamod, ac felly y mae’n dynodi hanes lle y mae’r Arglwydd yn mynd i mewn i gyfamod â phobl gyfamodol etholedig newydd. Pan waredwyd Israel gynt rhag caethiwed yr Aifft, un thema yn hanes sanctaidd hwnnw oedd mater y “cyntaf-anedig.” Pa un ai marwolaeth cyntaf-anedig yr Aifft oedd hi, neu adnabod Israel gan Dduw fel Ei gyntaf-anedig.</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पहिलौठा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पहिलौठे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डालूँगा।</w:t>
      </w:r>
      <w:r>
        <w:rPr>
          <w:rFonts w:ascii="Times New Roman" w:hAnsi="Times New Roman" w:eastAsia="Times New Roman" w:cs="Times New Roman"/>
        </w:rPr>
        <w:t xml:space="preserve"> </w:t>
      </w:r>
      <w:r>
        <w:rPr>
          <w:rFonts w:ascii="Nirmala UI" w:hAnsi="Nirmala UI" w:eastAsia="Nirmala UI" w:cs="Nirmala UI"/>
        </w:rPr>
        <w:t>निर्गमन</w:t>
      </w:r>
      <w:r>
        <w:rPr>
          <w:rFonts w:ascii="Times New Roman" w:hAnsi="Times New Roman" w:eastAsia="Times New Roman" w:cs="Times New Roman"/>
        </w:rPr>
        <w:t xml:space="preserve"> 4:22, 23.</w:t>
      </w:r>
    </w:p>
    <w:p>
      <w:pPr>
        <w:pStyle w:val="ArticleBody"/>
        <w:jc w:val="left"/>
      </w:pPr>
      <w:r>
        <w:rPr>
          <w:rFonts w:ascii="Times New Roman" w:hAnsi="Times New Roman" w:eastAsia="Times New Roman" w:cs="Times New Roman"/>
        </w:rPr>
        <w:t>Wanneer God bij de bevrijding uit Egypte een verbond met Israël sloot, was het goddelijke plan dat elke eerstgeboren zoon uit elk van de stammen aan het werk van het priesterschap zou worden gewijd. Maar bij de opstand rond het gouden kalf was het alleen de stam van Levi die in die opstand aan de zijde van Mozes stond. Vanwege hun trouw stelde God Zijn plan buiten werking dat elke eerstgeborene uit elke stam aan het priesterschap zou worden gewijd, en Hij ging aan de andere stammen voorbij en gaf aan de stam van Levi het exclusieve recht op het priesterschap. Wanneer de boodschapper van het verbond de zonen van Levi reinigt, beeldt dit een geschiedenis uit waarin een vroeger verbondsvolk terzijde wordt gesteld ten behoeve van een nieuw verbondsvolk. Zo was het in het geval van Johannes de Doper, de Millerieten, en zo zal het zijn met de honderd vierenveertigduizend. Van 1840 tot 1844 werd een reinigingsproces in gang gezet door de toetsende kwestie van de profetische boodschap die aan William Miller was gegeven. Dit leidde ertoe dat de Heer op 22 oktober 1844 plotseling tot Zijn tempel kwam, maar het reinigingsproces eindigde niet vóór 1863.</w:t>
      </w:r>
    </w:p>
    <w:p>
      <w:pPr>
        <w:pStyle w:val="ArticleScripture"/>
        <w:jc w:val="left"/>
      </w:pPr>
      <w:r>
        <w:rPr>
          <w:rFonts w:ascii="Times New Roman" w:hAnsi="Times New Roman" w:eastAsia="Times New Roman" w:cs="Times New Roman"/>
        </w:rPr>
        <w:t xml:space="preserve">“Daniel 8:14 </w:t>
      </w:r>
      <w:r>
        <w:rPr>
          <w:rFonts w:ascii="Microsoft YaHei" w:hAnsi="Microsoft YaHei" w:eastAsia="Microsoft YaHei" w:cs="Microsoft YaHei"/>
        </w:rPr>
        <w:t>的预言</w:t>
      </w:r>
      <w:r>
        <w:rPr>
          <w:rFonts w:ascii="Times New Roman" w:hAnsi="Times New Roman" w:eastAsia="Times New Roman" w:cs="Times New Roman"/>
        </w:rPr>
        <w:t>,‘</w:t>
      </w:r>
      <w:r>
        <w:rPr>
          <w:rFonts w:ascii="Microsoft YaHei" w:hAnsi="Microsoft YaHei" w:eastAsia="Microsoft YaHei" w:cs="Microsoft YaHei"/>
        </w:rPr>
        <w:t>到二千三百日</w:t>
      </w:r>
      <w:r>
        <w:rPr>
          <w:rFonts w:ascii="Times New Roman" w:hAnsi="Times New Roman" w:eastAsia="Times New Roman" w:cs="Times New Roman"/>
        </w:rPr>
        <w:t>,</w:t>
      </w:r>
      <w:r>
        <w:rPr>
          <w:rFonts w:ascii="Microsoft YaHei" w:hAnsi="Microsoft YaHei" w:eastAsia="Microsoft YaHei" w:cs="Microsoft YaHei"/>
        </w:rPr>
        <w:t>圣所就必洁净</w:t>
      </w:r>
      <w:r>
        <w:rPr>
          <w:rFonts w:ascii="Times New Roman" w:hAnsi="Times New Roman" w:eastAsia="Times New Roman" w:cs="Times New Roman"/>
        </w:rPr>
        <w:t>’,</w:t>
      </w:r>
      <w:r>
        <w:rPr>
          <w:rFonts w:ascii="Microsoft YaHei" w:hAnsi="Microsoft YaHei" w:eastAsia="Microsoft YaHei" w:cs="Microsoft YaHei"/>
        </w:rPr>
        <w:t>以及第一位天使的信息</w:t>
      </w:r>
      <w:r>
        <w:rPr>
          <w:rFonts w:ascii="Times New Roman" w:hAnsi="Times New Roman" w:eastAsia="Times New Roman" w:cs="Times New Roman"/>
        </w:rPr>
        <w:t>,‘</w:t>
      </w:r>
      <w:r>
        <w:rPr>
          <w:rFonts w:ascii="Microsoft YaHei" w:hAnsi="Microsoft YaHei" w:eastAsia="Microsoft YaHei" w:cs="Microsoft YaHei"/>
        </w:rPr>
        <w:t>应当敬畏上帝</w:t>
      </w:r>
      <w:r>
        <w:rPr>
          <w:rFonts w:ascii="Times New Roman" w:hAnsi="Times New Roman" w:eastAsia="Times New Roman" w:cs="Times New Roman"/>
        </w:rPr>
        <w:t>,</w:t>
      </w:r>
      <w:r>
        <w:rPr>
          <w:rFonts w:ascii="Microsoft YaHei" w:hAnsi="Microsoft YaHei" w:eastAsia="Microsoft YaHei" w:cs="Microsoft YaHei"/>
        </w:rPr>
        <w:t>将荣耀归给他！因他施行审判的时候已经到了</w:t>
      </w:r>
      <w:r>
        <w:rPr>
          <w:rFonts w:ascii="Times New Roman" w:hAnsi="Times New Roman" w:eastAsia="Times New Roman" w:cs="Times New Roman"/>
        </w:rPr>
        <w:t>’,</w:t>
      </w:r>
      <w:r>
        <w:rPr>
          <w:rFonts w:ascii="Microsoft YaHei" w:hAnsi="Microsoft YaHei" w:eastAsia="Microsoft YaHei" w:cs="Microsoft YaHei"/>
        </w:rPr>
        <w:t>所指的都是基督在至圣所中的职任</w:t>
      </w:r>
      <w:r>
        <w:rPr>
          <w:rFonts w:ascii="Times New Roman" w:hAnsi="Times New Roman" w:eastAsia="Times New Roman" w:cs="Times New Roman"/>
        </w:rPr>
        <w:t>,</w:t>
      </w:r>
      <w:r>
        <w:rPr>
          <w:rFonts w:ascii="Microsoft YaHei" w:hAnsi="Microsoft YaHei" w:eastAsia="Microsoft YaHei" w:cs="Microsoft YaHei"/>
        </w:rPr>
        <w:t>是指查案审判</w:t>
      </w:r>
      <w:r>
        <w:rPr>
          <w:rFonts w:ascii="Times New Roman" w:hAnsi="Times New Roman" w:eastAsia="Times New Roman" w:cs="Times New Roman"/>
        </w:rPr>
        <w:t>,</w:t>
      </w:r>
      <w:r>
        <w:rPr>
          <w:rFonts w:ascii="Microsoft YaHei" w:hAnsi="Microsoft YaHei" w:eastAsia="Microsoft YaHei" w:cs="Microsoft YaHei"/>
        </w:rPr>
        <w:t>而不是指基督降临</w:t>
      </w:r>
      <w:r>
        <w:rPr>
          <w:rFonts w:ascii="Times New Roman" w:hAnsi="Times New Roman" w:eastAsia="Times New Roman" w:cs="Times New Roman"/>
        </w:rPr>
        <w:t>,</w:t>
      </w:r>
      <w:r>
        <w:rPr>
          <w:rFonts w:ascii="Microsoft YaHei" w:hAnsi="Microsoft YaHei" w:eastAsia="Microsoft YaHei" w:cs="Microsoft YaHei"/>
        </w:rPr>
        <w:t>为救赎他的子民并毁灭恶人</w:t>
      </w:r>
      <w:r>
        <w:rPr>
          <w:rFonts w:ascii="Times New Roman" w:hAnsi="Times New Roman" w:eastAsia="Times New Roman" w:cs="Times New Roman"/>
        </w:rPr>
        <w:t>.</w:t>
      </w:r>
      <w:r>
        <w:rPr>
          <w:rFonts w:ascii="Microsoft YaHei" w:hAnsi="Microsoft YaHei" w:eastAsia="Microsoft YaHei" w:cs="Microsoft YaHei"/>
        </w:rPr>
        <w:t>错误并不在于对预言时期的推算</w:t>
      </w:r>
      <w:r>
        <w:rPr>
          <w:rFonts w:ascii="Times New Roman" w:hAnsi="Times New Roman" w:eastAsia="Times New Roman" w:cs="Times New Roman"/>
        </w:rPr>
        <w:t>,</w:t>
      </w:r>
      <w:r>
        <w:rPr>
          <w:rFonts w:ascii="Microsoft YaHei" w:hAnsi="Microsoft YaHei" w:eastAsia="Microsoft YaHei" w:cs="Microsoft YaHei"/>
        </w:rPr>
        <w:t>而在于对那二千三百日结束时所要发生之事件的理解</w:t>
      </w:r>
      <w:r>
        <w:rPr>
          <w:rFonts w:ascii="Times New Roman" w:hAnsi="Times New Roman" w:eastAsia="Times New Roman" w:cs="Times New Roman"/>
        </w:rPr>
        <w:t>.</w:t>
      </w:r>
      <w:r>
        <w:rPr>
          <w:rFonts w:ascii="Microsoft YaHei" w:hAnsi="Microsoft YaHei" w:eastAsia="Microsoft YaHei" w:cs="Microsoft YaHei"/>
        </w:rPr>
        <w:t>信徒因这错误而遭受了失望</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凡预言所预告的</w:t>
      </w:r>
      <w:r>
        <w:rPr>
          <w:rFonts w:ascii="Times New Roman" w:hAnsi="Times New Roman" w:eastAsia="Times New Roman" w:cs="Times New Roman"/>
        </w:rPr>
        <w:t>,</w:t>
      </w:r>
      <w:r>
        <w:rPr>
          <w:rFonts w:ascii="Microsoft YaHei" w:hAnsi="Microsoft YaHei" w:eastAsia="Microsoft YaHei" w:cs="Microsoft YaHei"/>
        </w:rPr>
        <w:t>以及他们按圣经根据所能期待的一切</w:t>
      </w:r>
      <w:r>
        <w:rPr>
          <w:rFonts w:ascii="Times New Roman" w:hAnsi="Times New Roman" w:eastAsia="Times New Roman" w:cs="Times New Roman"/>
        </w:rPr>
        <w:t>,</w:t>
      </w:r>
      <w:r>
        <w:rPr>
          <w:rFonts w:ascii="Microsoft YaHei" w:hAnsi="Microsoft YaHei" w:eastAsia="Microsoft YaHei" w:cs="Microsoft YaHei"/>
        </w:rPr>
        <w:t>都已经应验了</w:t>
      </w:r>
      <w:r>
        <w:rPr>
          <w:rFonts w:ascii="Times New Roman" w:hAnsi="Times New Roman" w:eastAsia="Times New Roman" w:cs="Times New Roman"/>
        </w:rPr>
        <w:t>.</w:t>
      </w:r>
      <w:r>
        <w:rPr>
          <w:rFonts w:ascii="Microsoft YaHei" w:hAnsi="Microsoft YaHei" w:eastAsia="Microsoft YaHei" w:cs="Microsoft YaHei"/>
        </w:rPr>
        <w:t>正当他们为自己希望落空而哀痛之时</w:t>
      </w:r>
      <w:r>
        <w:rPr>
          <w:rFonts w:ascii="Times New Roman" w:hAnsi="Times New Roman" w:eastAsia="Times New Roman" w:cs="Times New Roman"/>
        </w:rPr>
        <w:t>,</w:t>
      </w:r>
      <w:r>
        <w:rPr>
          <w:rFonts w:ascii="Microsoft YaHei" w:hAnsi="Microsoft YaHei" w:eastAsia="Microsoft YaHei" w:cs="Microsoft YaHei"/>
        </w:rPr>
        <w:t>那由信息所预告、并且必须先行应验、然后主才会显现来报赏他仆人的事件</w:t>
      </w:r>
      <w:r>
        <w:rPr>
          <w:rFonts w:ascii="Times New Roman" w:hAnsi="Times New Roman" w:eastAsia="Times New Roman" w:cs="Times New Roman"/>
        </w:rPr>
        <w:t>,</w:t>
      </w:r>
      <w:r>
        <w:rPr>
          <w:rFonts w:ascii="Microsoft YaHei" w:hAnsi="Microsoft YaHei" w:eastAsia="Microsoft YaHei" w:cs="Microsoft YaHei"/>
        </w:rPr>
        <w:t>已经发生了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«Քրիստոսը եկել էր ոչ թե երկիր, ինչպես նրանք սպասում էին, այլ, ինչպես նախապատկերված էր խորհրդանիշում, երկնքում գտնվող Աստծո տաճարի Սրբությունների Սուրբը։ Դանիել մարգարեն Նրան ներկայացնում է որպես այս ժամանակ գալով Հինավուրց Օրերի մոտ. «Գիշերային տեսիլքներում տեսնում էի, և ահա մարդու Որդու նման մեկը գալիս էր երկնքի ամպերով և եկավ»՝ ոչ թե երկիր, այլ՝ «Հինավուրց Օրերի մոտ, և Նրան մոտեցրին Նրա առաջ»։ Դանիել 7:13։»</w:t>
      </w:r>
    </w:p>
    <w:p>
      <w:pPr>
        <w:pStyle w:val="ArticleScripture"/>
        <w:jc w:val="left"/>
      </w:pPr>
      <w:r>
        <w:rPr>
          <w:rFonts w:ascii="Times New Roman" w:hAnsi="Times New Roman" w:eastAsia="Times New Roman" w:cs="Times New Roman"/>
        </w:rPr>
        <w:t>« Cette venue est aussi annoncée par le prophète Malachie : “Le Seigneur, que vous cherchez, viendra soudain à son temple, et le Messager de l’alliance, que vous désirez ; voici, il vient, dit l’Éternel des armées.” Malachie 3:1. La venue du Seigneur à son temple fut soudaine, inattendue, pour son peuple. Ils ne l’y attendaient pas. Ils s’attendaient à ce qu’il vînt sur la terre, “dans une flamme de feu, pour tirer vengeance de ceux qui ne connaissent pas Dieu et qui n’obéissent pas à l’Évangile.” 2 Thessaloniciens 1:8. »</w:t>
      </w:r>
    </w:p>
    <w:p>
      <w:pPr>
        <w:pStyle w:val="ArticleScripture"/>
        <w:jc w:val="left"/>
      </w:pPr>
      <w:r>
        <w:rPr>
          <w:rFonts w:ascii="Times New Roman" w:hAnsi="Times New Roman" w:eastAsia="Times New Roman" w:cs="Times New Roman"/>
        </w:rPr>
        <w:t>“Amma har yanzu jama’a ba su shirya su sadu da Ubangijinsu ba. Har yanzu akwai aikin shiri da ya wajaba a kammala dominsu. Ya kamata a ba da haske, yana juyar da hankalinsu zuwa haikalin Allah a sama; kuma yayin da za su bi Babban Firistinsu ta wurin bangaskiya a hidimarsa a can, za a bayyana musu sabbin ayyuka. Wani saƙo kuma na gargaɗi da koyarwa ya kamata a ba wa ikilisiya.</w:t>
      </w:r>
    </w:p>
    <w:p>
      <w:pPr>
        <w:pStyle w:val="ArticleScripture"/>
        <w:jc w:val="left"/>
      </w:pPr>
      <w:r>
        <w:rPr>
          <w:rFonts w:ascii="Times New Roman" w:hAnsi="Times New Roman" w:eastAsia="Times New Roman" w:cs="Times New Roman"/>
        </w:rPr>
        <w:t>Ua vula na parofita: ‘O cei ena rawa ni vosota na siga ni Nona lako mai? ka o cei ena tucake ni sa rairai mai ko Koya? ni sa vaka na bukawaqa ni dauvakasavasavataka na koula, ka vaka na sovu ni dauvakasavasavataka na isulu: ka ena dabe ko Koya me vaka na dauvakasavasavataka ka vakasavasavataka na siliva: ka ena vakasavasavataki ira na luvei Livai, ka savasavataki ira me vaka na koula kei na siliva, me rawa ni ra vakacabora vua na Jiova e dua na isoro ena yalododonu.’ Malakai 3:2, 3. O ira era bula tiko e vuravura ni sa oti na veimasulaki i Karisito ena vale tabu mai cake, era na tucake ena mata ni Kalou tabu ka sega e dua na dauniveivosoti. E dodonu me sega ni ca na nodra isulu, e dodonu me vakasavasavataki na nodra itovo mai na ivalavala ca ena dra ni veirorogo. Ena loloma soli wale ni Kalou kei na nodra sasaga gugumatua, e dodonu me ra qaqa ena ivalu kei na ca. Ni sa toso tiko e lomalagi na veilewai ni vakadidike, ni sa kau tani tiko mai na vale tabu na nodra ivalavala ca na tamata vakabauta sa veivutuni, e dodonu me dua na cakacaka vakatabakidua ni vakasavasavataki, na biu tani ni ivalavala ca, ena kedra maliwa na tamata ni Kalou e vuravura. Na cakacaka oqo sa vakaraitaki vakamatata cake ena veika sa tukuni ena iTukutuku 14.</w:t>
      </w:r>
    </w:p>
    <w:p>
      <w:pPr>
        <w:pStyle w:val="ArticleScripture"/>
        <w:jc w:val="left"/>
      </w:pPr>
      <w:r>
        <w:rPr>
          <w:rFonts w:ascii="Times New Roman" w:hAnsi="Times New Roman" w:eastAsia="Times New Roman" w:cs="Times New Roman"/>
        </w:rPr>
        <w:t>“Lorsque cette œuvre aura été accomplie, les disciples du Christ seront prêts pour son apparition. ‘Alors l’offrande de Juda et de Jérusalem sera agréable à l’Éternel, comme aux anciens jours, comme aux années d’autrefois.’ Malachie 3:4. Alors l’Église que notre Seigneur, à son avènement, doit recevoir à lui-même sera une ‘Église glorieuse, sans tache, ni ride, ni rien de semblable.’ Éphésiens 5:27. Alors elle paraîtra ‘comme l’aurore, belle comme la lune, pure comme le soleil, mais redoutable comme des troupes sous leurs bannières.’ Cantique des cantiques 6:10.”</w:t>
      </w:r>
    </w:p>
    <w:p>
      <w:pPr>
        <w:pStyle w:val="ArticleScripture"/>
        <w:jc w:val="left"/>
      </w:pPr>
      <w:r>
        <w:rPr>
          <w:rFonts w:ascii="Times New Roman" w:hAnsi="Times New Roman" w:eastAsia="Times New Roman" w:cs="Times New Roman"/>
        </w:rPr>
        <w:t>«تا افزون بر آمدن خداوند به هیکل خویش، ملاکی نیز ظهور دوم او، یعنی آمدنش برای اجرای داوری را، با این سخنان پیشگویی می‌کند: “و من برای داوری به شما نزدیک خواهم شد؛ و بر ضد جادوگران، و بر ضد زناکاران، و بر ضد سوگنددروغان، و بر ضد کسانی که مزدِ مزدور را پایمال می‌کنند، و بیوه‌زنان و یتیمان را ستم می‌نمایند، و حقِ غریب را منحرف می‌سازند، و از من نمی‌ترسند، شهادتی سریع خواهم داد، می‌گوید یهوه صبایوت.” ملاکی 3:5. یهودا نیز به همین صحنه اشاره می‌کند آنگاه که می‌گوید: “اینک خداوند با ده‌ها هزار از مقدسان خویش می‌آید، تا بر همه داوری را اجرا کند، و همه بی‌دینان را از همه اعمال بی‌دینانه‌شان محکوم سازد.” یهودا 14، 15. این آمدن، و آمدن خداوند به هیکل خویش، دو رویداد متمایز و جدا از یکدیگرند.»</w:t>
      </w:r>
    </w:p>
    <w:p>
      <w:pPr>
        <w:pStyle w:val="ArticleScripture"/>
        <w:jc w:val="left"/>
      </w:pPr>
      <w:r>
        <w:rPr>
          <w:rFonts w:ascii="Times New Roman" w:hAnsi="Times New Roman" w:eastAsia="Times New Roman" w:cs="Times New Roman"/>
        </w:rPr>
        <w:t>„Venirea lui Hristos ca Marele nostru Preot în Locul Preasfânt, pentru curățirea sanctuarului, prezentată în Daniel 8:14; venirea Fiului omului la Cel Îmbătrânit de zile, așa cum este înfățișată în Daniel 7:13; și venirea Domnului la templul Său, prevestită de Maleahi, sunt descrieri ale aceluiași eveniment; iar acesta este reprezentat, de asemenea, prin venirea Mirelui la nuntă, descrisă de Hristos în parabola celor zece fecioare, din Matei 25.” Tragedia veacurilor, 424–426.</w:t>
      </w:r>
    </w:p>
    <w:p>
      <w:pPr>
        <w:pStyle w:val="ArticleBody"/>
        <w:jc w:val="left"/>
      </w:pPr>
      <w:r>
        <w:rPr>
          <w:rFonts w:ascii="Nirmala UI" w:hAnsi="Nirmala UI" w:eastAsia="Nirmala UI" w:cs="Nirmala UI"/>
        </w:rPr>
        <w:t>ਖ਼ਤਮੀ</w:t>
      </w:r>
      <w:r>
        <w:rPr>
          <w:rFonts w:ascii="Times New Roman" w:hAnsi="Times New Roman" w:eastAsia="Times New Roman" w:cs="Times New Roman"/>
        </w:rPr>
        <w:t xml:space="preserve"> </w:t>
      </w:r>
      <w:r>
        <w:rPr>
          <w:rFonts w:ascii="Nirmala UI" w:hAnsi="Nirmala UI" w:eastAsia="Nirmala UI" w:cs="Nirmala UI"/>
        </w:rPr>
        <w:t>ਪੈਰਾਗ੍ਰਾਫ</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ਉਲੇਖ</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 On attire souvent mon attention sur la parabole des dix vierges, dont cinq étaient sages et cinq insensées. Cette parabole s’est accomplie et s’accomplira jusque dans les moindres détails, car elle s’applique d’une manière particulière à notre époque et, à l’instar du message du troisième ange, elle s’est accomplie et continuera d’être la vérité présente jusqu’à la fin des temps. » Review and Herald, 19 août 1890.</w:t>
      </w:r>
    </w:p>
    <w:p>
      <w:pPr>
        <w:pStyle w:val="ArticleBody"/>
        <w:jc w:val="left"/>
      </w:pPr>
      <w:r>
        <w:rPr>
          <w:rFonts w:ascii="Times New Roman" w:hAnsi="Times New Roman" w:eastAsia="Times New Roman" w:cs="Times New Roman"/>
        </w:rPr>
        <w:t>Si les quatre « venues » « sont des descriptions du même événement », alors ces quatre « venues » qui se sont accomplies au commencement de l’adventisme dans le mouvement millérite « s’accompliront » de nouveau « à la lettre même » dans le mouvement d’Élie à la fin de l’adventisme.</w:t>
      </w:r>
    </w:p>
    <w:p>
      <w:pPr>
        <w:pStyle w:val="ArticleBody"/>
        <w:jc w:val="left"/>
      </w:pPr>
      <w:r>
        <w:rPr>
          <w:rFonts w:ascii="Times New Roman" w:hAnsi="Times New Roman" w:eastAsia="Times New Roman" w:cs="Times New Roman"/>
        </w:rPr>
        <w:t>William Miller et les millérites furent les représentants du message du premier ange, et, dans le même passage de Early Writings que nous avons récemment cité, le message du premier ange possédait les caractéristiques mêmes de Jean-Baptiste. Nous avons cité le passage qui dit que ceux qui rejetèrent le message de Jean-Baptiste ne pouvaient tirer aucun bénéfice des enseignements de Jésus. Dans le paragraphe suivant, elle dit : « Ceux qui rejetèrent le premier message ne pouvaient être favorisés par le second ; ils ne furent pas davantage favorisés par le cri de minuit, lequel devait les préparer à entrer avec Jésus, par la foi, dans le lieu très saint du sanctuaire céleste. » William Miller aussi bien que Jean-Baptiste représentent des instruments de jugement.</w:t>
      </w:r>
    </w:p>
    <w:p>
      <w:pPr>
        <w:pStyle w:val="ArticleBody"/>
        <w:jc w:val="left"/>
      </w:pPr>
      <w:r>
        <w:rPr>
          <w:rFonts w:ascii="Nirmala UI" w:hAnsi="Nirmala UI" w:eastAsia="Nirmala UI" w:cs="Nirmala UI"/>
        </w:rPr>
        <w:t>अगर</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तिरस्कार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उत्तरदायी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पूर्वकाल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w:t>
      </w:r>
      <w:r>
        <w:rPr>
          <w:rFonts w:ascii="Nirmala UI" w:hAnsi="Nirmala UI" w:eastAsia="Nirmala UI" w:cs="Nirmala UI"/>
        </w:rPr>
        <w:t>नंगाई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1840 </w:t>
      </w:r>
      <w:r>
        <w:rPr>
          <w:rFonts w:ascii="Nirmala UI" w:hAnsi="Nirmala UI" w:eastAsia="Nirmala UI" w:cs="Nirmala UI"/>
        </w:rPr>
        <w:t>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कर्मेल</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उतरने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पूर्वरूपित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“the people were not yet ready to meet their Lord. There was still a work of preparation to be accomplished for them. Light was to be given, directing their minds to the temple of God in heaven; and as they should by faith follow their High Priest in His ministration there, new duties would be revealed. Another message of warning and instruction was to be given to the church.”</w:t>
      </w:r>
    </w:p>
    <w:p>
      <w:pPr>
        <w:pStyle w:val="ArticleBody"/>
        <w:jc w:val="left"/>
      </w:pPr>
      <w:r>
        <w:rPr>
          <w:rFonts w:ascii="Times New Roman" w:hAnsi="Times New Roman" w:eastAsia="Times New Roman" w:cs="Times New Roman"/>
        </w:rPr>
        <w:t>Ланӈдыг ӧтӄэ ытвэтни тэвыкэн Левитын еп ытлён «ӄӄэнмэл янрак» ытвык, инэн Даниил Моисейн «клятва» тэлгын, эйин нэнмэлӈыт ӄутыӈинэ гымнин вылвылын, мэнин очищениен процесс ынпыӈык продолжаться гымнин начальный работа ӄутыӈинэ истинаӈыт, судын открытиен лыӄылвылын.</w:t>
      </w:r>
    </w:p>
    <w:p>
      <w:pPr>
        <w:pStyle w:val="ArticleBody"/>
        <w:jc w:val="left"/>
      </w:pPr>
      <w:r>
        <w:rPr>
          <w:rFonts w:ascii="Times New Roman" w:hAnsi="Times New Roman" w:eastAsia="Times New Roman" w:cs="Times New Roman"/>
        </w:rPr>
        <w:t>Nous aborderons le processus continu de purification dans l’article suivant, et commencerons à mettre en parallèle la corne du véritable protestantisme que l’adventisme millérite a reçue dans les années 1840 avec la corne du républicanisme.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trois</dc:title>
  <dc:subject>Fa it Be Knoen</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