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quatre</w:t>
      </w:r>
    </w:p>
    <w:p>
      <w:pPr>
        <w:pStyle w:val="ArticleSubtitle"/>
        <w:jc w:val="left"/>
      </w:pPr>
      <w:r>
        <w:rPr>
          <w:rFonts w:ascii="Arial" w:hAnsi="Arial" w:eastAsia="Arial" w:cs="Arial"/>
        </w:rPr>
        <w:t>Servitude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Icyo Eliya yashinze intahe cye gitangira igihe yatangarizaga ko hatazagwa imvura, keretse ku ijambo rye, mu gihe cy’imyaka itatu n’igice.</w:t>
      </w:r>
    </w:p>
    <w:p>
      <w:pPr>
        <w:pStyle w:val="ArticleScripture"/>
        <w:jc w:val="left"/>
      </w:pPr>
      <w:r>
        <w:rPr>
          <w:rFonts w:ascii="Times New Roman" w:hAnsi="Times New Roman" w:eastAsia="Times New Roman" w:cs="Times New Roman"/>
        </w:rPr>
        <w:t>Kae Ilaija, na kai Tisibaiti, e dua vei ira na lewenivanua mai Kiliati, a kaya vei Eapi, Me vaka sa bula Jiova na Kalou i Isireli, ena matana au sa tu kina, ena sega ni tau na tegu se na uca ena veiyabaki oqo, ia me vaka ga na noqu vosa. 1 Tui 17:1.</w:t>
      </w:r>
    </w:p>
    <w:p>
      <w:pPr>
        <w:pStyle w:val="ArticleBody"/>
        <w:jc w:val="left"/>
      </w:pPr>
      <w:r>
        <w:rPr>
          <w:rFonts w:ascii="Times New Roman" w:hAnsi="Times New Roman" w:eastAsia="Times New Roman" w:cs="Times New Roman"/>
        </w:rPr>
        <w:t>Esos tres años y medio representan la historia de Tiatira desde 538 hasta 1798. En 1798, al final del período de sequía, Elías convoca a Acab al Carmelo. El mensaje del primer ángel anunció la hora del juicio de Dios el 22 de octubre de 1844. El mensaje del primer ángel fue la orden dada a Acab de convocar a todo Israel al Carmelo.</w:t>
      </w:r>
    </w:p>
    <w:p>
      <w:pPr>
        <w:pStyle w:val="ArticleScripture"/>
        <w:jc w:val="left"/>
      </w:pPr>
      <w:r>
        <w:rPr>
          <w:rFonts w:ascii="Times New Roman" w:hAnsi="Times New Roman" w:eastAsia="Times New Roman" w:cs="Times New Roman"/>
        </w:rPr>
        <w:t>Ek hett gebeur toe Agab Elía sien, dat Agab vir hom sê: Is dit jy, jy wat Israel in die ongeluk stort? En hy antwoord: Ek het Israel nie in die ongeluk gestort nie; maar jy en jou vader se huis, omdat julle die gebooie van die Here verlaat het en jy die Baäls nagevolg het. Stuur dan nou en laat die hele Israel by my bymekaarkom op die berg Karmel, en die vierhonderd-en-vyftig profete van Baäl en die vierhonderd profete van die heilige boomstamme wat van Isébel se tafel eet. Daarop het Agab na al die kinders van Israel gestuur en die profete op die berg Karmel bymekaargeroep. Toe kom Elía na die hele volk en sê: Hoe lank hink julle op twee gedagtes? As die Here God is, volg Hom na; maar as Baäl dit is, volg hom na. Maar die volk het hom nie een woord geantwoord nie. 1 Konings 18:17–21.</w:t>
      </w:r>
    </w:p>
    <w:p>
      <w:pPr>
        <w:pStyle w:val="ArticleBody"/>
        <w:jc w:val="left"/>
      </w:pPr>
      <w:r>
        <w:rPr>
          <w:rFonts w:ascii="Nirmala UI" w:hAnsi="Nirmala UI" w:eastAsia="Nirmala UI" w:cs="Nirmala UI"/>
        </w:rPr>
        <w:t>ઈલિયાના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ઇઝરાયેલ</w:t>
      </w:r>
      <w:r>
        <w:rPr>
          <w:rFonts w:ascii="Times New Roman" w:hAnsi="Times New Roman" w:eastAsia="Times New Roman" w:cs="Times New Roman"/>
        </w:rPr>
        <w:t xml:space="preserve"> </w:t>
      </w:r>
      <w:r>
        <w:rPr>
          <w:rFonts w:ascii="Nirmala UI" w:hAnsi="Nirmala UI" w:eastAsia="Nirmala UI" w:cs="Nirmala UI"/>
        </w:rPr>
        <w:t>કર્મેલ</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એકત્રિત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અનુસંધાને</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ઇતિહાસાવસ્થાનું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ત્રણની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કલીસિયાઓને</w:t>
      </w:r>
      <w:r>
        <w:rPr>
          <w:rFonts w:ascii="Times New Roman" w:hAnsi="Times New Roman" w:eastAsia="Times New Roman" w:cs="Times New Roman"/>
        </w:rPr>
        <w:t xml:space="preserve"> </w:t>
      </w:r>
      <w:r>
        <w:rPr>
          <w:rFonts w:ascii="Nirmala UI" w:hAnsi="Nirmala UI" w:eastAsia="Nirmala UI" w:cs="Nirmala UI"/>
        </w:rPr>
        <w:t>એકસાથે</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કલીસિયા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શરૂઆતમાં</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૫૩૮માં</w:t>
      </w:r>
      <w:r>
        <w:rPr>
          <w:rFonts w:ascii="Times New Roman" w:hAnsi="Times New Roman" w:eastAsia="Times New Roman" w:cs="Times New Roman"/>
        </w:rPr>
        <w:t xml:space="preserve"> </w:t>
      </w:r>
      <w:r>
        <w:rPr>
          <w:rFonts w:ascii="Nirmala UI" w:hAnsi="Nirmala UI" w:eastAsia="Nirmala UI" w:cs="Nirmala UI"/>
        </w:rPr>
        <w:t>યેઝેબેલના</w:t>
      </w:r>
      <w:r>
        <w:rPr>
          <w:rFonts w:ascii="Times New Roman" w:hAnsi="Times New Roman" w:eastAsia="Times New Roman" w:cs="Times New Roman"/>
        </w:rPr>
        <w:t xml:space="preserve"> </w:t>
      </w:r>
      <w:r>
        <w:rPr>
          <w:rFonts w:ascii="Nirmala UI" w:hAnsi="Nirmala UI" w:eastAsia="Nirmala UI" w:cs="Nirmala UI"/>
        </w:rPr>
        <w:t>અત્યાચારથી</w:t>
      </w:r>
      <w:r>
        <w:rPr>
          <w:rFonts w:ascii="Times New Roman" w:hAnsi="Times New Roman" w:eastAsia="Times New Roman" w:cs="Times New Roman"/>
        </w:rPr>
        <w:t xml:space="preserve"> </w:t>
      </w:r>
      <w:r>
        <w:rPr>
          <w:rFonts w:ascii="Nirmala UI" w:hAnsi="Nirmala UI" w:eastAsia="Nirmala UI" w:cs="Nirmala UI"/>
        </w:rPr>
        <w:t>બચવા</w:t>
      </w:r>
      <w:r>
        <w:rPr>
          <w:rFonts w:ascii="Times New Roman" w:hAnsi="Times New Roman" w:eastAsia="Times New Roman" w:cs="Times New Roman"/>
        </w:rPr>
        <w:t xml:space="preserve"> </w:t>
      </w:r>
      <w:r>
        <w:rPr>
          <w:rFonts w:ascii="Nirmala UI" w:hAnsi="Nirmala UI" w:eastAsia="Nirmala UI" w:cs="Nirmala UI"/>
        </w:rPr>
        <w:t>અરણ્યમાં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થિયાતીરાની</w:t>
      </w:r>
      <w:r>
        <w:rPr>
          <w:rFonts w:ascii="Times New Roman" w:hAnsi="Times New Roman" w:eastAsia="Times New Roman" w:cs="Times New Roman"/>
        </w:rPr>
        <w:t xml:space="preserve"> </w:t>
      </w:r>
      <w:r>
        <w:rPr>
          <w:rFonts w:ascii="Nirmala UI" w:hAnsi="Nirmala UI" w:eastAsia="Nirmala UI" w:cs="Nirmala UI"/>
        </w:rPr>
        <w:t>કલીસિયા</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અરણ્યમાંથી</w:t>
      </w:r>
      <w:r>
        <w:rPr>
          <w:rFonts w:ascii="Times New Roman" w:hAnsi="Times New Roman" w:eastAsia="Times New Roman" w:cs="Times New Roman"/>
        </w:rPr>
        <w:t xml:space="preserve"> </w:t>
      </w:r>
      <w:r>
        <w:rPr>
          <w:rFonts w:ascii="Nirmala UI" w:hAnsi="Nirmala UI" w:eastAsia="Nirmala UI" w:cs="Nirmala UI"/>
        </w:rPr>
        <w:t>બહાર</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પેઢી</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ઈલિયાના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પૃથ્વીરૂપ</w:t>
      </w:r>
      <w:r>
        <w:rPr>
          <w:rFonts w:ascii="Times New Roman" w:hAnsi="Times New Roman" w:eastAsia="Times New Roman" w:cs="Times New Roman"/>
        </w:rPr>
        <w:t xml:space="preserve"> </w:t>
      </w:r>
      <w:r>
        <w:rPr>
          <w:rFonts w:ascii="Nirmala UI" w:hAnsi="Nirmala UI" w:eastAsia="Nirmala UI" w:cs="Nirmala UI"/>
        </w:rPr>
        <w:t>પશુએ</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ખોલ્યું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વિરુદ્ધ</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બેસો</w:t>
      </w:r>
      <w:r>
        <w:rPr>
          <w:rFonts w:ascii="Times New Roman" w:hAnsi="Times New Roman" w:eastAsia="Times New Roman" w:cs="Times New Roman"/>
        </w:rPr>
        <w:t xml:space="preserve"> </w:t>
      </w:r>
      <w:r>
        <w:rPr>
          <w:rFonts w:ascii="Nirmala UI" w:hAnsi="Nirmala UI" w:eastAsia="Nirmala UI" w:cs="Nirmala UI"/>
        </w:rPr>
        <w:t>સાઠ</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મોકલવામાં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અત્યાચારના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ગળી</w:t>
      </w:r>
      <w:r>
        <w:rPr>
          <w:rFonts w:ascii="Times New Roman" w:hAnsi="Times New Roman" w:eastAsia="Times New Roman" w:cs="Times New Roman"/>
        </w:rPr>
        <w:t xml:space="preserve"> </w:t>
      </w:r>
      <w:r>
        <w:rPr>
          <w:rFonts w:ascii="Nirmala UI" w:hAnsi="Nirmala UI" w:eastAsia="Nirmala UI" w:cs="Nirmala UI"/>
        </w:rPr>
        <w:t>ગયું।</w:t>
      </w:r>
    </w:p>
    <w:p>
      <w:pPr>
        <w:pStyle w:val="ArticleScripture"/>
        <w:jc w:val="left"/>
      </w:pPr>
      <w:r>
        <w:rPr>
          <w:rFonts w:ascii="Times New Roman" w:hAnsi="Times New Roman" w:eastAsia="Times New Roman" w:cs="Times New Roman"/>
        </w:rPr>
        <w:t>Et la terre secourut la femme, et la terre ouvrit sa bouche, et engloutit le fleuve que le dragon avait lancé de sa bouche. Apocalypse 12:16.</w:t>
      </w:r>
    </w:p>
    <w:p>
      <w:pPr>
        <w:pStyle w:val="ArticleBody"/>
        <w:jc w:val="left"/>
      </w:pPr>
      <w:r>
        <w:rPr>
          <w:rFonts w:ascii="Times New Roman" w:hAnsi="Times New Roman" w:eastAsia="Times New Roman" w:cs="Times New Roman"/>
        </w:rPr>
        <w:t>En prophétie, le « fait de parler d’une nation » désigne l’action de ses autorités législatives et judiciaires; et, en 1789, les États-Unis établirent le document divin qu’est la Constitution des États-Unis, protégeant ainsi les droits et la liberté nécessaires pour garantir une protection contre la persécution tant des rois d’Europe que de l’Église catholique apostate.</w:t>
      </w:r>
    </w:p>
    <w:p>
      <w:pPr>
        <w:pStyle w:val="ArticleScripture"/>
        <w:jc w:val="left"/>
      </w:pPr>
      <w:r>
        <w:rPr>
          <w:rFonts w:ascii="Times New Roman" w:hAnsi="Times New Roman" w:eastAsia="Times New Roman" w:cs="Times New Roman"/>
        </w:rPr>
        <w:t>«Қавмнинг гапириши — унинг қонун чиқарувчи ва суд ҳокимиятларининг ҳаракатидир». The Great Controversy, 443.</w:t>
      </w:r>
    </w:p>
    <w:p>
      <w:pPr>
        <w:pStyle w:val="ArticleBody"/>
        <w:jc w:val="left"/>
      </w:pPr>
      <w:r>
        <w:rPr>
          <w:rFonts w:ascii="Times New Roman" w:hAnsi="Times New Roman" w:eastAsia="Times New Roman" w:cs="Times New Roman"/>
        </w:rPr>
        <w:t xml:space="preserve">1789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भविष्यद्वाणिक</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बोलेगा।</w:t>
      </w:r>
    </w:p>
    <w:p>
      <w:pPr>
        <w:pStyle w:val="ArticleScripture"/>
        <w:jc w:val="left"/>
      </w:pPr>
      <w:r>
        <w:rPr>
          <w:rFonts w:ascii="Times New Roman" w:hAnsi="Times New Roman" w:eastAsia="Times New Roman" w:cs="Times New Roman"/>
        </w:rPr>
        <w:t>“Minn tí sá eina aðra skepnu stíga upp úr jørðini; og hon hevði tvey horn lík einum lambi, og hon talaði sum ein dreki.” Opinberingin 13:11.</w:t>
      </w:r>
    </w:p>
    <w:p>
      <w:pPr>
        <w:pStyle w:val="ArticleBody"/>
        <w:jc w:val="left"/>
      </w:pPr>
      <w:r>
        <w:rPr>
          <w:rFonts w:ascii="Times New Roman" w:hAnsi="Times New Roman" w:eastAsia="Times New Roman" w:cs="Times New Roman"/>
        </w:rPr>
        <w:t>Le commencement et la fin de la bête de la terre sont marqués par sa parole. En 1798, Achab convoque tout Israël au mont Carmel, où Élie va proposer une épreuve afin de démontrer à ceux qui regardent si le Dieu des Hébreux ou le dieu de Jézabel est le vrai Dieu. Jézabel avait quatre cent cinquante prophètes de Baal et quatre cents prophètes des bosquets sacrés. Le faux dieu Baal était une divinité masculine, et la fausse déesse Astarté était une divinité féminine.</w:t>
      </w:r>
    </w:p>
    <w:p>
      <w:pPr>
        <w:pStyle w:val="ArticleBody"/>
        <w:jc w:val="left"/>
      </w:pPr>
      <w:r>
        <w:rPr>
          <w:rFonts w:ascii="Times New Roman" w:hAnsi="Times New Roman" w:eastAsia="Times New Roman" w:cs="Times New Roman"/>
        </w:rPr>
        <w:t>Ces deux catégories de faux prophètes représentent l’union de l’Église et de l’État; car, dans la prophétie, lorsqu’un homme et une femme sont présentés ensemble, la femme représente une Église et l’homme l’État. Élie se trouva seul contre huit cent cinquante lorsqu’il affronta l’alliance impie de l’Église et de l’État, telle qu’elle était représentée par les fausses divinités féminine et masculine, ainsi que par le mariage d’Achab et de Jézabel. La représentation de l’Église et de l’État par Achab et Jézabel figure la corruption de la corne du républicanisme, et Baal ainsi qu’Astarté représentent la corruption de la corne protestante.</w:t>
      </w:r>
    </w:p>
    <w:p>
      <w:pPr>
        <w:pStyle w:val="ArticleBody"/>
        <w:jc w:val="left"/>
      </w:pPr>
      <w:r>
        <w:rPr>
          <w:rFonts w:ascii="Times New Roman" w:hAnsi="Times New Roman" w:eastAsia="Times New Roman" w:cs="Times New Roman"/>
        </w:rPr>
        <w:t>L’enjeu était la protestation d’Élie contre la religion corrompue représentée par Thyatire au chapitre deux de l’Apocalypse. Élie représentait un protestant, car la seule définition d’un protestant est celle de quelqu’un qui proteste contre Rome. La protestation d’Élie représente une protestation contre l’union de l’Église et de l’État, réalisée par l’alliance impie entre un État corrompu et une Église corrompue.</w:t>
      </w:r>
    </w:p>
    <w:p>
      <w:pPr>
        <w:pStyle w:val="ArticleScripture"/>
        <w:jc w:val="left"/>
      </w:pPr>
      <w:r>
        <w:rPr>
          <w:rFonts w:ascii="Times New Roman" w:hAnsi="Times New Roman" w:eastAsia="Times New Roman" w:cs="Times New Roman"/>
        </w:rPr>
        <w:t>Cependant, j’ai contre toi quelques griefs : c’est que tu laisses cette femme Jézabel, qui se dit prophétesse, enseigner et séduire mes serviteurs, pour les entraîner à se livrer à la fornication et à manger des viandes sacrifiées aux idoles. Je lui ai donné du temps afin qu’elle se repente de sa fornication ; mais elle ne s’est point repentie. Voici, je vais la jeter sur un lit, et ceux qui commettent adultère avec elle, dans une grande tribulation, à moins qu’ils ne se repentent de leurs œuvres. Apocalypse 2:20–22.</w:t>
      </w:r>
    </w:p>
    <w:p>
      <w:pPr>
        <w:pStyle w:val="ArticleBody"/>
        <w:jc w:val="left"/>
      </w:pPr>
      <w:r>
        <w:rPr>
          <w:rFonts w:ascii="Times New Roman" w:hAnsi="Times New Roman" w:eastAsia="Times New Roman" w:cs="Times New Roman"/>
        </w:rPr>
        <w:t>Manger représente le message que l’on accepte, et un message sacrifié aux idoles représente les doctrines du catholicisme, symbole même du culte abominable des idoles. Le peuple de Dieu, au Moyen Âge, en était venu à accepter nombre des doctrines païennes du catholicisme, et tout particulièrement l’adoration du soleil.</w:t>
      </w:r>
    </w:p>
    <w:p>
      <w:pPr>
        <w:pStyle w:val="ArticleBody"/>
        <w:jc w:val="left"/>
      </w:pPr>
      <w:r>
        <w:rPr>
          <w:rFonts w:ascii="Times New Roman" w:hAnsi="Times New Roman" w:eastAsia="Times New Roman" w:cs="Times New Roman"/>
        </w:rPr>
        <w:t>La fornication est une relation illicite et représente prophétiquement l’essence même de ce que la Constitution interdit : l’union de l’Église et de l’État. Achab était dans une relation illicite avec Jézabel, car, en tant que roi d’Israël, il ne devait pas épouser une princesse païenne. Jésus a identifié Jean-Baptiste comme Élie, et Jean a lui aussi affronté cette même relation impie lorsqu’il reprit Hérode pour avoir épousé Hérodiade, la femme de son frère.</w:t>
      </w:r>
    </w:p>
    <w:p>
      <w:pPr>
        <w:pStyle w:val="ArticleScripture"/>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पकड़कर</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हेरोदियास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फिलिप्पुस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बन्दीगृह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विधिसम्मत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14:3, 4.</w:t>
      </w:r>
    </w:p>
    <w:p>
      <w:pPr>
        <w:pStyle w:val="ArticleBody"/>
        <w:jc w:val="left"/>
      </w:pPr>
      <w:r>
        <w:rPr>
          <w:rFonts w:ascii="Times New Roman" w:hAnsi="Times New Roman" w:eastAsia="Times New Roman" w:cs="Times New Roman"/>
        </w:rPr>
        <w:t>La confrontation d’Élie avec Achab et Jézabel préfigurait la confrontation de Jean avec Hérode et Hérodiade, car ces deux relations représentaient une union illicite de l’Église et de l’État. Ensemble, elles représentent le message d’Élie des cent quarante-quatre mille, qui confronte la papauté (Jézabel et Hérodiade), les dix rois qui représentent les Nations Unies (Achab et Hérode), et les États-Unis, qui représentent le faux prophète (les faux prophètes du Carmel et Salomé, fille d’Hérodiade).</w:t>
      </w:r>
    </w:p>
    <w:p>
      <w:pPr>
        <w:pStyle w:val="ArticleBody"/>
        <w:jc w:val="left"/>
      </w:pPr>
      <w:r>
        <w:rPr>
          <w:rFonts w:ascii="Times New Roman" w:hAnsi="Times New Roman" w:eastAsia="Times New Roman" w:cs="Times New Roman"/>
        </w:rPr>
        <w:t>The prophetische setting at Carmel omvat de verdediging door Elia van de Grondwet van de Verenigde Staten, die het beginsel van de scheiding van kerk en staat verankert.</w:t>
      </w:r>
    </w:p>
    <w:p>
      <w:pPr>
        <w:pStyle w:val="ArticleScripture"/>
        <w:jc w:val="left"/>
      </w:pPr>
      <w:r>
        <w:rPr>
          <w:rFonts w:ascii="Times New Roman" w:hAnsi="Times New Roman" w:eastAsia="Times New Roman" w:cs="Times New Roman"/>
        </w:rPr>
        <w:t>Et il arriva, lorsque Achab vit Élie, qu’Achab lui dit : Est-ce toi qui troubles Israël ? Et il répondit : Ce n’est pas moi qui trouble Israël ; c’est toi, au contraire, et la maison de ton père, parce que vous avez abandonné les commandements de l’Éternel, et que tu as suivi les Baals. 1 Rois 18:17, 18.</w:t>
      </w:r>
    </w:p>
    <w:p>
      <w:pPr>
        <w:pStyle w:val="ArticleBody"/>
        <w:jc w:val="left"/>
      </w:pPr>
      <w:r>
        <w:rPr>
          <w:rFonts w:ascii="Times New Roman" w:hAnsi="Times New Roman" w:eastAsia="Times New Roman" w:cs="Times New Roman"/>
        </w:rPr>
        <w:t>Konstituutiolla vahvistettiin, että republikaanisuuden ja protestanttisuuden kaksi sarvea pysyisivät aina erillään toisistaan. Mutta Ilmestys osoittaa, että kun Yhdysvallat lopulta puhuu lohikäärmeen tavoin, se tekee niin silloin, kun Yhdysvaltojen luopuneet kirkot ottavat vallan ja yhtyvät luopuneeseen hallitukseen.</w:t>
      </w:r>
    </w:p>
    <w:p>
      <w:pPr>
        <w:pStyle w:val="ArticleScripture"/>
        <w:jc w:val="left"/>
      </w:pPr>
      <w:r>
        <w:rPr>
          <w:rFonts w:ascii="Times New Roman" w:hAnsi="Times New Roman" w:eastAsia="Times New Roman" w:cs="Times New Roman"/>
        </w:rPr>
        <w:t>«А что такое “образ зверя”? и как он должен быть создан? Образ создаётся зверем с двумя рогами и является образом зверю. Он также называется образом зверя. Итак, чтобы узнать, каков этот образ и как он должен быть создан, нам необходимо исследовать свойства самого зверя — папства.</w:t>
      </w:r>
    </w:p>
    <w:p>
      <w:pPr>
        <w:pStyle w:val="ArticleScripture"/>
        <w:jc w:val="left"/>
      </w:pPr>
      <w:r>
        <w:rPr>
          <w:rFonts w:ascii="Times New Roman" w:hAnsi="Times New Roman" w:eastAsia="Times New Roman" w:cs="Times New Roman"/>
        </w:rPr>
        <w:t>“Първата църква, когато се поквари, като се отклони от простотата на евангелието и прие езически обреди и обичаи, изгуби Духа и силата на Бога; и за да владее над съвестта на народа, потърси подкрепата на светската власт. Резултатът беше папството — църква, която контролираше държавната власт и я използваше, за да прокарва своите собствени цели, особено за наказване на „ерес“. За да могат Съединените щати да създадат образ на звяра, религиозната власт трябва дотолкова да подчини гражданското управление, че и държавната власт да бъде използвана от църквата за постигане на нейните собствени цели.” Великата борба, 443.</w:t>
      </w:r>
    </w:p>
    <w:p>
      <w:pPr>
        <w:pStyle w:val="ArticleBody"/>
        <w:jc w:val="left"/>
      </w:pPr>
      <w:r>
        <w:rPr>
          <w:rFonts w:ascii="Times New Roman" w:hAnsi="Times New Roman" w:eastAsia="Times New Roman" w:cs="Times New Roman"/>
        </w:rPr>
        <w:t>Élie au mont Carmel représentait l’œuvre des millérites, et les millérites furent établis comme le véritable prophète, par contraste avec ceux qui étaient récemment sortis de l’influence du catholicisme, mais qui choisirent, par leur rejet de la lumière du premier ange, de retourner à Rome. Ainsi, le message du second ange, au printemps de 1844, consistait à identifier les dénominations protestantes comme les filles de Babylone, et les millérites comme la véritable corne protestante.</w:t>
      </w:r>
    </w:p>
    <w:p>
      <w:pPr>
        <w:pStyle w:val="ArticleBody"/>
        <w:jc w:val="left"/>
      </w:pPr>
      <w:r>
        <w:rPr>
          <w:rFonts w:ascii="Times New Roman" w:hAnsi="Times New Roman" w:eastAsia="Times New Roman" w:cs="Times New Roman"/>
        </w:rPr>
        <w:t>Da Dio anticaeleavitù d e fece passare attraverso le acque del Mar Rosso, Egli diede inizio a un processo progressivo di prova che cominciò con la prova della manna celeste.</w:t>
      </w:r>
    </w:p>
    <w:p>
      <w:pPr>
        <w:pStyle w:val="ArticleScripture"/>
        <w:jc w:val="left"/>
      </w:pPr>
      <w:r>
        <w:rPr>
          <w:rFonts w:ascii="Times New Roman" w:hAnsi="Times New Roman" w:eastAsia="Times New Roman" w:cs="Times New Roman"/>
        </w:rPr>
        <w:t>«Sur nous resplendit la lumière accumulée des siècles passés. Le récit de l’oubli d’Israël a été conservé pour notre instruction. En cet âge, Dieu a mis la main à l’œuvre afin de se rassembler un peuple de toute nation, tribu et langue. Dans le mouvement adventiste, Il a agi en faveur de Son héritage, de même qu’Il agit pour les Israélites en les conduisant hors d’Égypte. Dans la grande déception de 1844, la foi de Son peuple fut mise à l’épreuve, comme le fut celle des Hébreux à la mer Rouge.» Testimonies, volume 8, 115, 116.</w:t>
      </w:r>
    </w:p>
    <w:p>
      <w:pPr>
        <w:pStyle w:val="ArticleBody"/>
        <w:jc w:val="left"/>
      </w:pPr>
      <w:r>
        <w:rPr>
          <w:rFonts w:ascii="Times New Roman" w:hAnsi="Times New Roman" w:eastAsia="Times New Roman" w:cs="Times New Roman"/>
        </w:rPr>
        <w:t>La désillusion du 22 octobre 1844 conduisit à la compréhension du sanctuaire céleste, lequel présenta alors l’épreuve du sabbat, tout comme l’épreuve de la manne devint la première d’une série de dix épreuves pour l’ancien Israël.</w:t>
      </w:r>
    </w:p>
    <w:p>
      <w:pPr>
        <w:pStyle w:val="ArticleScripture"/>
        <w:jc w:val="left"/>
      </w:pPr>
      <w:r>
        <w:rPr>
          <w:rFonts w:ascii="Times New Roman" w:hAnsi="Times New Roman" w:eastAsia="Times New Roman" w:cs="Times New Roman"/>
        </w:rPr>
        <w:t>«И Господь дал мне следующее видение в 1847 году, когда братья были собраны в субботу в Топшеме, штат Мэн. »</w:t>
      </w:r>
    </w:p>
    <w:p>
      <w:pPr>
        <w:pStyle w:val="ArticleScripture"/>
        <w:jc w:val="left"/>
      </w:pPr>
      <w:r>
        <w:rPr>
          <w:rFonts w:ascii="Times New Roman" w:hAnsi="Times New Roman" w:eastAsia="Times New Roman" w:cs="Times New Roman"/>
        </w:rPr>
        <w:t>“</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ዘይተለምደ</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ተሰሚዑና።</w:t>
      </w:r>
      <w:r>
        <w:rPr>
          <w:rFonts w:ascii="Times New Roman" w:hAnsi="Times New Roman" w:eastAsia="Times New Roman" w:cs="Times New Roman"/>
        </w:rPr>
        <w:t xml:space="preserve"> </w:t>
      </w:r>
      <w:r>
        <w:rPr>
          <w:rFonts w:ascii="Ebrima" w:hAnsi="Ebrima" w:eastAsia="Ebrima" w:cs="Ebrima"/>
        </w:rPr>
        <w:t>እናጸለና</w:t>
      </w:r>
      <w:r>
        <w:rPr>
          <w:rFonts w:ascii="Times New Roman" w:hAnsi="Times New Roman" w:eastAsia="Times New Roman" w:cs="Times New Roman"/>
        </w:rPr>
        <w:t xml:space="preserve"> </w:t>
      </w:r>
      <w:r>
        <w:rPr>
          <w:rFonts w:ascii="Ebrima" w:hAnsi="Ebrima" w:eastAsia="Ebrima" w:cs="Ebrima"/>
        </w:rPr>
        <w:t>ከለና</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ልዕሌና</w:t>
      </w:r>
      <w:r>
        <w:rPr>
          <w:rFonts w:ascii="Times New Roman" w:hAnsi="Times New Roman" w:eastAsia="Times New Roman" w:cs="Times New Roman"/>
        </w:rPr>
        <w:t xml:space="preserve"> </w:t>
      </w:r>
      <w:r>
        <w:rPr>
          <w:rFonts w:ascii="Ebrima" w:hAnsi="Ebrima" w:eastAsia="Ebrima" w:cs="Ebrima"/>
        </w:rPr>
        <w:t>ወረደ።</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ሕጉሳት</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ሓጺር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ምድራዊ</w:t>
      </w:r>
      <w:r>
        <w:rPr>
          <w:rFonts w:ascii="Times New Roman" w:hAnsi="Times New Roman" w:eastAsia="Times New Roman" w:cs="Times New Roman"/>
        </w:rPr>
        <w:t xml:space="preserve"> </w:t>
      </w:r>
      <w:r>
        <w:rPr>
          <w:rFonts w:ascii="Ebrima" w:hAnsi="Ebrima" w:eastAsia="Ebrima" w:cs="Ebrima"/>
        </w:rPr>
        <w:t>ነገራት</w:t>
      </w:r>
      <w:r>
        <w:rPr>
          <w:rFonts w:ascii="Times New Roman" w:hAnsi="Times New Roman" w:eastAsia="Times New Roman" w:cs="Times New Roman"/>
        </w:rPr>
        <w:t xml:space="preserve"> </w:t>
      </w:r>
      <w:r>
        <w:rPr>
          <w:rFonts w:ascii="Ebrima" w:hAnsi="Ebrima" w:eastAsia="Ebrima" w:cs="Ebrima"/>
        </w:rPr>
        <w:t>ጠፊአ</w:t>
      </w:r>
      <w:r>
        <w:rPr>
          <w:rFonts w:ascii="Times New Roman" w:hAnsi="Times New Roman" w:eastAsia="Times New Roman" w:cs="Times New Roman"/>
        </w:rPr>
        <w:t xml:space="preserve"> </w:t>
      </w:r>
      <w:r>
        <w:rPr>
          <w:rFonts w:ascii="Ebrima" w:hAnsi="Ebrima" w:eastAsia="Ebrima" w:cs="Ebrima"/>
        </w:rPr>
        <w:t>ብራእይ</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ተሸፊነ</w:t>
      </w:r>
      <w:r>
        <w:rPr>
          <w:rFonts w:ascii="Times New Roman" w:hAnsi="Times New Roman" w:eastAsia="Times New Roman" w:cs="Times New Roman"/>
        </w:rPr>
        <w:t xml:space="preserve"> </w:t>
      </w:r>
      <w:r>
        <w:rPr>
          <w:rFonts w:ascii="Ebrima" w:hAnsi="Ebrima" w:eastAsia="Ebrima" w:cs="Ebrima"/>
        </w:rPr>
        <w:t>ነበርኩ።</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ብፍጥነት</w:t>
      </w:r>
      <w:r>
        <w:rPr>
          <w:rFonts w:ascii="Times New Roman" w:hAnsi="Times New Roman" w:eastAsia="Times New Roman" w:cs="Times New Roman"/>
        </w:rPr>
        <w:t xml:space="preserve"> </w:t>
      </w:r>
      <w:r>
        <w:rPr>
          <w:rFonts w:ascii="Ebrima" w:hAnsi="Ebrima" w:eastAsia="Ebrima" w:cs="Ebrima"/>
        </w:rPr>
        <w:t>ናባይ</w:t>
      </w:r>
      <w:r>
        <w:rPr>
          <w:rFonts w:ascii="Times New Roman" w:hAnsi="Times New Roman" w:eastAsia="Times New Roman" w:cs="Times New Roman"/>
        </w:rPr>
        <w:t xml:space="preserve"> </w:t>
      </w:r>
      <w:r>
        <w:rPr>
          <w:rFonts w:ascii="Ebrima" w:hAnsi="Ebrima" w:eastAsia="Ebrima" w:cs="Ebrima"/>
        </w:rPr>
        <w:t>እናነፈረ</w:t>
      </w:r>
      <w:r>
        <w:rPr>
          <w:rFonts w:ascii="Times New Roman" w:hAnsi="Times New Roman" w:eastAsia="Times New Roman" w:cs="Times New Roman"/>
        </w:rPr>
        <w:t xml:space="preserve"> </w:t>
      </w:r>
      <w:r>
        <w:rPr>
          <w:rFonts w:ascii="Ebrima" w:hAnsi="Ebrima" w:eastAsia="Ebrima" w:cs="Ebrima"/>
        </w:rPr>
        <w:t>ረኣኹ።</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ብቕልጡፍ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ናብታ</w:t>
      </w:r>
      <w:r>
        <w:rPr>
          <w:rFonts w:ascii="Times New Roman" w:hAnsi="Times New Roman" w:eastAsia="Times New Roman" w:cs="Times New Roman"/>
        </w:rPr>
        <w:t xml:space="preserve"> </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ወሰደኒ።</w:t>
      </w:r>
      <w:r>
        <w:rPr>
          <w:rFonts w:ascii="Times New Roman" w:hAnsi="Times New Roman" w:eastAsia="Times New Roman" w:cs="Times New Roman"/>
        </w:rPr>
        <w:t xml:space="preserve"> </w:t>
      </w:r>
      <w:r>
        <w:rPr>
          <w:rFonts w:ascii="Ebrima" w:hAnsi="Ebrima" w:eastAsia="Ebrima" w:cs="Ebrima"/>
        </w:rPr>
        <w:t>ኣብታ</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ናብኡ</w:t>
      </w:r>
      <w:r>
        <w:rPr>
          <w:rFonts w:ascii="Times New Roman" w:hAnsi="Times New Roman" w:eastAsia="Times New Roman" w:cs="Times New Roman"/>
        </w:rPr>
        <w:t xml:space="preserve"> </w:t>
      </w:r>
      <w:r>
        <w:rPr>
          <w:rFonts w:ascii="Ebrima" w:hAnsi="Ebrima" w:eastAsia="Ebrima" w:cs="Ebrima"/>
        </w:rPr>
        <w:t>ዝኣተኹዎ</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ረኣኹ።</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መጋረጃ</w:t>
      </w:r>
      <w:r>
        <w:rPr>
          <w:rFonts w:ascii="Times New Roman" w:hAnsi="Times New Roman" w:eastAsia="Times New Roman" w:cs="Times New Roman"/>
        </w:rPr>
        <w:t xml:space="preserve"> </w:t>
      </w:r>
      <w:r>
        <w:rPr>
          <w:rFonts w:ascii="Ebrima" w:hAnsi="Ebrima" w:eastAsia="Ebrima" w:cs="Ebrima"/>
        </w:rPr>
        <w:t>ከይበጻሕኩ</w:t>
      </w:r>
      <w:r>
        <w:rPr>
          <w:rFonts w:ascii="Times New Roman" w:hAnsi="Times New Roman" w:eastAsia="Times New Roman" w:cs="Times New Roman"/>
        </w:rPr>
        <w:t xml:space="preserve"> </w:t>
      </w:r>
      <w:r>
        <w:rPr>
          <w:rFonts w:ascii="Ebrima" w:hAnsi="Ebrima" w:eastAsia="Ebrima" w:cs="Ebrima"/>
        </w:rPr>
        <w:t>ብኣፍ</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ሓለፍኩ።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መጋረጃ</w:t>
      </w:r>
      <w:r>
        <w:rPr>
          <w:rFonts w:ascii="Times New Roman" w:hAnsi="Times New Roman" w:eastAsia="Times New Roman" w:cs="Times New Roman"/>
        </w:rPr>
        <w:t xml:space="preserve"> </w:t>
      </w:r>
      <w:r>
        <w:rPr>
          <w:rFonts w:ascii="Ebrima" w:hAnsi="Ebrima" w:eastAsia="Ebrima" w:cs="Ebrima"/>
        </w:rPr>
        <w:t>ተልዒሉ</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ኣነ</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ኣተኹ።</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መሰውኢ</w:t>
      </w:r>
      <w:r>
        <w:rPr>
          <w:rFonts w:ascii="Times New Roman" w:hAnsi="Times New Roman" w:eastAsia="Times New Roman" w:cs="Times New Roman"/>
        </w:rPr>
        <w:t xml:space="preserve"> </w:t>
      </w:r>
      <w:r>
        <w:rPr>
          <w:rFonts w:ascii="Ebrima" w:hAnsi="Ebrima" w:eastAsia="Ebrima" w:cs="Ebrima"/>
        </w:rPr>
        <w:t>ዕጣን፣</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መብራህቲ</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ቀንዴል፣</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ገጽ</w:t>
      </w:r>
      <w:r>
        <w:rPr>
          <w:rFonts w:ascii="Times New Roman" w:hAnsi="Times New Roman" w:eastAsia="Times New Roman" w:cs="Times New Roman"/>
        </w:rPr>
        <w:t xml:space="preserve"> </w:t>
      </w:r>
      <w:r>
        <w:rPr>
          <w:rFonts w:ascii="Ebrima" w:hAnsi="Ebrima" w:eastAsia="Ebrima" w:cs="Ebrima"/>
        </w:rPr>
        <w:t>እንጌራ</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ሰደቓ</w:t>
      </w:r>
      <w:r>
        <w:rPr>
          <w:rFonts w:ascii="Times New Roman" w:hAnsi="Times New Roman" w:eastAsia="Times New Roman" w:cs="Times New Roman"/>
        </w:rPr>
        <w:t xml:space="preserve"> </w:t>
      </w:r>
      <w:r>
        <w:rPr>
          <w:rFonts w:ascii="Ebrima" w:hAnsi="Ebrima" w:eastAsia="Ebrima" w:cs="Ebrima"/>
        </w:rPr>
        <w:t>ረኣኹ።</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ምርኣየይ፣</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መጋረጃ</w:t>
      </w:r>
      <w:r>
        <w:rPr>
          <w:rFonts w:ascii="Times New Roman" w:hAnsi="Times New Roman" w:eastAsia="Times New Roman" w:cs="Times New Roman"/>
        </w:rPr>
        <w:t xml:space="preserve"> </w:t>
      </w:r>
      <w:r>
        <w:rPr>
          <w:rFonts w:ascii="Ebrima" w:hAnsi="Ebrima" w:eastAsia="Ebrima" w:cs="Ebrima"/>
        </w:rPr>
        <w:t>ኣልዒሉ፣</w:t>
      </w:r>
      <w:r>
        <w:rPr>
          <w:rFonts w:ascii="Times New Roman" w:hAnsi="Times New Roman" w:eastAsia="Times New Roman" w:cs="Times New Roman"/>
        </w:rPr>
        <w:t xml:space="preserve"> </w:t>
      </w:r>
      <w:r>
        <w:rPr>
          <w:rFonts w:ascii="Ebrima" w:hAnsi="Ebrima" w:eastAsia="Ebrima" w:cs="Ebrima"/>
        </w:rPr>
        <w:t>ኣነ</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ኣተኹ።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पार्श्वों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मढ़ा</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धूपदानी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धूपदानी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प्रार्थनाओं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कोपलें</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पटियाएँ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पटिया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चमकती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प्रभामण्डल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बदलता।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Early Writings, 32.</w:t>
      </w:r>
    </w:p>
    <w:p>
      <w:pPr>
        <w:pStyle w:val="ArticleBody"/>
        <w:jc w:val="left"/>
      </w:pPr>
      <w:r>
        <w:rPr>
          <w:rFonts w:ascii="Times New Roman" w:hAnsi="Times New Roman" w:eastAsia="Times New Roman" w:cs="Times New Roman"/>
        </w:rPr>
        <w:t>Når protestantene trådte ut av mørketiden i 1798, og Daniels bok ble åpnet, begynte det sjette riket i Bibelens profeti, det tohornede jorddyret i Åpenbaringen tretten, sin fremmarsj gjennom den profetiske historie. Protestantismen var grunnlagt på det hellige dokument som kalles Den hellige bibel, og republikanismen var grunnlagt på det hellige dokument som kalles Konstitusjonen. Gud hadde ført sin menighet i ørkenen ut av mørketiden, men slik det også var med det gamle Israel under den egyptiske trelldomsperiode, var sabbatsbudet blitt glemt. Likesom Israel krysset Rødehavet på vei til lovgivningen ved Sinai, krysset det moderne Israel Atlanterhavet på vei til 22. oktober 1844, hvor loven igjen skulle bli åpenbart. Herren oppreiste på ny et folk som skulle være forvalterne av hans lov, forvalterne av hans profetiske åpenbaringer, og som skulle bære protestantismens kappe. Det gamle Israel fikk de to steintavlene med De ti bud som symbolet på sin gjerning som forvaltere av hans lov, og det moderne Israel fikk Habakkuks to tavler som symbolet på sin gjerning som forvaltere av hans profetiske ord.</w:t>
      </w:r>
    </w:p>
    <w:p>
      <w:pPr>
        <w:pStyle w:val="ArticleBody"/>
        <w:jc w:val="left"/>
      </w:pPr>
      <w:r>
        <w:rPr>
          <w:rFonts w:ascii="Times New Roman" w:hAnsi="Times New Roman" w:eastAsia="Times New Roman" w:cs="Times New Roman"/>
        </w:rPr>
        <w:t>Israël moderne devait porter les deux ensembles de deux tables lorsqu’il présentait au monde le message du troisième ange, lequel est le message proclamé par ceux qui portent le manteau du protestantisme. Le protestantisme qui sortit des âges de ténèbres était alors incomplet, tout comme l’ancien Israël lorsqu’il traversa la mer Rouge. Le protestantisme avait professé la devise de la Bible et de la Bible seule, mais il possédait une compréhension incomplète de la Parole de Dieu après des siècles durant lesquels il s’était nourri des doctrines païennes du catholicisme romain (des choses sacrifiées aux idoles). Dieu avait voulu qu’un véritable protestant représente l’ensemble de la Parole de Dieu, comme le symbolisent « la loi et les prophètes », les deux ensembles de deux tables qui représentent à la fois l’œuvre du peuple de Dieu et le caractère de Dieu. L’œuvre du premier ange devait produire un peuple authentiquement protestant, qui serait à la fois le dépositaire de Sa loi et de Sa Parole prophétique.</w:t>
      </w:r>
    </w:p>
    <w:p>
      <w:pPr>
        <w:pStyle w:val="ArticleScripture"/>
        <w:jc w:val="left"/>
      </w:pPr>
      <w:r>
        <w:rPr>
          <w:rFonts w:ascii="Times New Roman" w:hAnsi="Times New Roman" w:eastAsia="Times New Roman" w:cs="Times New Roman"/>
        </w:rPr>
        <w:t>“Mungu ameliita kanisa Lake katika siku hizi, kama alivyowaita Israeli wa kale, kusimama kama nuru duniani. Kwa upanga mkuu wa ukweli, yaani ujumbe wa malaika wa kwanza, wa pili, na wa tatu, amewatenga na makanisa mengine na na ulimwengu ili awalete katika ukaribu mtakatifu na Yeye mwenyewe. Amewafanya kuwa wahifadhi wa sheria Yake na amewakabidhi kweli kuu za unabii kwa ajili ya wakati huu. Kama vile maneno matakatifu ya Mungu yalivyowekwa mikononi mwa Israeli wa kale, haya nayo ni amana takatifu ya kuwasilishwa kwa ulimwengu. Wale malaika watatu wa Ufunuo 14 wanawawakilisha watu wanaoupokea nuru ya jumbe za Mungu na kwenda mbele kama wajumbe Wake kuitangaza onyo katika urefu na upana wa dunia yote.” Testimonies, juzuu ya 5, 455.</w:t>
      </w:r>
    </w:p>
    <w:p>
      <w:pPr>
        <w:pStyle w:val="ArticleBody"/>
        <w:jc w:val="left"/>
      </w:pPr>
      <w:r>
        <w:rPr>
          <w:rFonts w:ascii="Times New Roman" w:hAnsi="Times New Roman" w:eastAsia="Times New Roman" w:cs="Times New Roman"/>
        </w:rPr>
        <w:t>Le avertimento que debe esser proclamate per illes qui ha essite identificate como le depositarios del duo series de duo tabulas es contra le reception del marca del Catholicismo. Iste protesto es contra le relation illicite de Achab e Jezabel e esseva representate per Elia super le Monte Carmelo. Le donation del duo tabulas de petra al Monte Sinai typificava le donation del duo tabulas de panno de Habacuc in le historia de 1842 usque 1849. Le duo tabulas de Habacuc es le symbolo del relation de pacto inter Deo e Su populo protestante. Rejectar iste tabulas esserea le mesme como le antique Israel rejectar le lege de Deo.</w:t>
      </w:r>
    </w:p>
    <w:p>
      <w:pPr>
        <w:pStyle w:val="ArticleBody"/>
        <w:jc w:val="left"/>
      </w:pPr>
      <w:r>
        <w:rPr>
          <w:rFonts w:ascii="Times New Roman" w:hAnsi="Times New Roman" w:eastAsia="Times New Roman" w:cs="Times New Roman"/>
        </w:rPr>
        <w:t>Milleritehguo̍k tiến vào Nơi Chí Thánh và đã nhận lãnh ánh sáng về ngày Sa-bát, nhưng tiến trình thử luyện vẫn chưa hoàn tất. Đồng thời, chiếc sừng của chủ nghĩa Cộng hòa đang tiến bước qua chính cùng một lịch sử ấy. Và cả hai chiếc sừng sẽ cùng đạt đến một cột mốc trong cuộc tiến trình chung của mình vào năm 1863.</w:t>
      </w:r>
    </w:p>
    <w:p>
      <w:pPr>
        <w:pStyle w:val="ArticleBody"/>
        <w:jc w:val="left"/>
      </w:pPr>
      <w:r>
        <w:rPr>
          <w:rFonts w:ascii="Times New Roman" w:hAnsi="Times New Roman" w:eastAsia="Times New Roman" w:cs="Times New Roman"/>
        </w:rPr>
        <w:t>Ujumbe wa Eliya wa Miller ulizalisha mchakato wa utakaso wa hatua kwa hatua kwa kusudi lililokusudiwa la kuisimamisha pembe ya Kiprotestanti, na katika historia hiyohiyo pembe ya Kirepublican ilihusika katika mchakato wa maendeleo ya kisiasa wa hatua kwa hatua. Pembe zote mbili ziko juu ya mnyama yuleyule wa nchi, kwa hiyo ni lazima zisafiri kwa umoja katika historia yote ya mnyama wa nchi.</w:t>
      </w:r>
    </w:p>
    <w:p>
      <w:pPr>
        <w:pStyle w:val="ArticleBody"/>
        <w:jc w:val="left"/>
      </w:pPr>
      <w:r>
        <w:rPr>
          <w:rFonts w:ascii="Times New Roman" w:hAnsi="Times New Roman" w:eastAsia="Times New Roman" w:cs="Times New Roman"/>
        </w:rPr>
        <w:t>Sifa ya kwanza ya kinabii ya pembe ya Kirepublikani ya mnyama wa nchi ilikuwa tendo la kuitamka Katiba ili ianze kutumika mwaka 1789. Mwaka 1798, (wakati wa mwisho ambapo kitabu cha Danieli kilifunuliwa), mnyama wa nchi angenena kwa mara ya kwanza kama ufalme wa sita wa unabii wa Biblia. Mwaka 1798 ulikuwa mwanzo wa Marekani kama ufalme wa sita wa unabii wa Biblia, na kunena kulikotokea mwanzoni mwa historia ya mnyama wa nchi mwaka 1798 kungekuwa kielelezo cha mara ya mwisho ambapo ufalme wa sita ungenenena, na wakati huo unawakilishwa kama sauti ya joka. Tunapozingatia sheria zilizopitishwa na pembe ya Kirepublikani nchini Marekani mwaka 1798, tunapaswa kutarajia kuona mfano wa sheria zitakazopitishwa kwa kushirikiana na sheria ya Jumapili wakati Marekani itakaponena kama joka. Tunapozingatia sheria nne zifuatazo, jiulize kama sheria nne zilizopitishwa mwaka 1798 zina alama ya kinabii ya Alfa na Omega?</w:t>
      </w:r>
    </w:p>
    <w:p>
      <w:pPr>
        <w:pStyle w:val="ArticleBody"/>
        <w:jc w:val="left"/>
      </w:pPr>
      <w:r>
        <w:rPr>
          <w:rFonts w:ascii="Times New Roman" w:hAnsi="Times New Roman" w:eastAsia="Times New Roman" w:cs="Times New Roman"/>
        </w:rPr>
        <w:t>Mwaka wa 1798, Merika ilipitisha sheria kadhaa muhimu zilizojulikana kama Sheria za Wageni na Uchochezi. Sheria hizi zilikuwa mfululizo wa sheria nne zilizopitishwa na Bunge lililodhibitiwa na Chama cha Federalist na kutiwa saini kuwa sheria na Rais John Adams, rais wa pili wa Merika na aliyekuwa makamu wa rais wa George Washington.</w:t>
      </w:r>
    </w:p>
    <w:p>
      <w:pPr>
        <w:pStyle w:val="ArticleBody"/>
        <w:jc w:val="left"/>
      </w:pPr>
      <w:r>
        <w:rPr>
          <w:rFonts w:ascii="Times New Roman" w:hAnsi="Times New Roman" w:eastAsia="Times New Roman" w:cs="Times New Roman"/>
        </w:rPr>
        <w:t>قانون التجنيس: مدَّ هذا القانون مدةَ الإقامة المطلوبة للمهاجرين كي يصبحوا مواطنين في الولايات المتحدة من 5 إلى 14 سنة. وكان يهدف أساسًا إلى كبح نفوذ المهاجرين الوافدين حديثًا، الذين كانوا في الغالب متحالفين مع حزب المعارضة، الجمهوريين الديمقراطيين.</w:t>
      </w:r>
    </w:p>
    <w:p>
      <w:pPr>
        <w:pStyle w:val="ArticleBody"/>
        <w:jc w:val="left"/>
      </w:pPr>
      <w:r>
        <w:rPr>
          <w:rFonts w:ascii="Times New Roman" w:hAnsi="Times New Roman" w:eastAsia="Times New Roman" w:cs="Times New Roman"/>
        </w:rPr>
        <w:t>Loi sur les étrangers amis : Cette loi autorisait le président à expulser, en temps de paix, les non-citoyens jugés constituer une menace pour la sécurité des États-Unis. Elle permettait au président de détenir et d’expulser tout non-citoyen qu’il estimait dangereux.</w:t>
      </w:r>
    </w:p>
    <w:p>
      <w:pPr>
        <w:pStyle w:val="ArticleBody"/>
        <w:jc w:val="left"/>
      </w:pPr>
      <w:r>
        <w:rPr>
          <w:rFonts w:ascii="Times New Roman" w:hAnsi="Times New Roman" w:eastAsia="Times New Roman" w:cs="Times New Roman"/>
        </w:rPr>
        <w:t>Safofin Makiya na Maƙiya na Ƙasashen Waje: Wannan doka ta tanadi kama, tsarewa, da kuma kora ’yan ƙasa na ƙasashen da suke cikin yaƙi da Amurka. An zartar da ita a matsayin matakin kariya a lokacin yanayin tsanani na ƙarshen shekarun 1790.</w:t>
      </w:r>
    </w:p>
    <w:p>
      <w:pPr>
        <w:pStyle w:val="ArticleBody"/>
        <w:jc w:val="left"/>
      </w:pPr>
      <w:r>
        <w:rPr>
          <w:rFonts w:ascii="Nirmala UI" w:hAnsi="Nirmala UI" w:eastAsia="Nirmala UI" w:cs="Nirmala UI"/>
        </w:rPr>
        <w:t>કુટિલતા</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અધિનિયમ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Alien and Sedition Acts </w:t>
      </w:r>
      <w:r>
        <w:rPr>
          <w:rFonts w:ascii="Nirmala UI" w:hAnsi="Nirmala UI" w:eastAsia="Nirmala UI" w:cs="Nirmala UI"/>
        </w:rPr>
        <w:t>પૈકી</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વિવાદાસ્પદ</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સરકાર</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અધિકારીઓ</w:t>
      </w:r>
      <w:r>
        <w:rPr>
          <w:rFonts w:ascii="Times New Roman" w:hAnsi="Times New Roman" w:eastAsia="Times New Roman" w:cs="Times New Roman"/>
        </w:rPr>
        <w:t xml:space="preserve"> </w:t>
      </w:r>
      <w:r>
        <w:rPr>
          <w:rFonts w:ascii="Nirmala UI" w:hAnsi="Nirmala UI" w:eastAsia="Nirmala UI" w:cs="Nirmala UI"/>
        </w:rPr>
        <w:t>વિરુદ્ધ</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બદનામ</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પ્રતિષ્ઠા</w:t>
      </w:r>
      <w:r>
        <w:rPr>
          <w:rFonts w:ascii="Times New Roman" w:hAnsi="Times New Roman" w:eastAsia="Times New Roman" w:cs="Times New Roman"/>
        </w:rPr>
        <w:t xml:space="preserve"> </w:t>
      </w:r>
      <w:r>
        <w:rPr>
          <w:rFonts w:ascii="Nirmala UI" w:hAnsi="Nirmala UI" w:eastAsia="Nirmala UI" w:cs="Nirmala UI"/>
        </w:rPr>
        <w:t>ખંડિત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આશયથી</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કલંકજનક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દુર્ભાવનાપૂર્ણ</w:t>
      </w:r>
      <w:r>
        <w:rPr>
          <w:rFonts w:ascii="Times New Roman" w:hAnsi="Times New Roman" w:eastAsia="Times New Roman" w:cs="Times New Roman"/>
        </w:rPr>
        <w:t xml:space="preserve">” </w:t>
      </w:r>
      <w:r>
        <w:rPr>
          <w:rFonts w:ascii="Nirmala UI" w:hAnsi="Nirmala UI" w:eastAsia="Nirmala UI" w:cs="Nirmala UI"/>
        </w:rPr>
        <w:t>લખાણો</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દંડનીય</w:t>
      </w:r>
      <w:r>
        <w:rPr>
          <w:rFonts w:ascii="Times New Roman" w:hAnsi="Times New Roman" w:eastAsia="Times New Roman" w:cs="Times New Roman"/>
        </w:rPr>
        <w:t xml:space="preserve"> </w:t>
      </w:r>
      <w:r>
        <w:rPr>
          <w:rFonts w:ascii="Nirmala UI" w:hAnsi="Nirmala UI" w:eastAsia="Nirmala UI" w:cs="Nirmala UI"/>
        </w:rPr>
        <w:t>ગુનો</w:t>
      </w:r>
      <w:r>
        <w:rPr>
          <w:rFonts w:ascii="Times New Roman" w:hAnsi="Times New Roman" w:eastAsia="Times New Roman" w:cs="Times New Roman"/>
        </w:rPr>
        <w:t xml:space="preserve"> </w:t>
      </w:r>
      <w:r>
        <w:rPr>
          <w:rFonts w:ascii="Nirmala UI" w:hAnsi="Nirmala UI" w:eastAsia="Nirmala UI" w:cs="Nirmala UI"/>
        </w:rPr>
        <w:t>ઠરાવ્યો</w:t>
      </w:r>
      <w:r>
        <w:rPr>
          <w:rFonts w:ascii="Times New Roman" w:hAnsi="Times New Roman" w:eastAsia="Times New Roman" w:cs="Times New Roman"/>
        </w:rPr>
        <w:t xml:space="preserve">. </w:t>
      </w:r>
      <w:r>
        <w:rPr>
          <w:rFonts w:ascii="Nirmala UI" w:hAnsi="Nirmala UI" w:eastAsia="Nirmala UI" w:cs="Nirmala UI"/>
        </w:rPr>
        <w:t>વિવેચકોએ</w:t>
      </w:r>
      <w:r>
        <w:rPr>
          <w:rFonts w:ascii="Times New Roman" w:hAnsi="Times New Roman" w:eastAsia="Times New Roman" w:cs="Times New Roman"/>
        </w:rPr>
        <w:t xml:space="preserve"> </w:t>
      </w:r>
      <w:r>
        <w:rPr>
          <w:rFonts w:ascii="Nirmala UI" w:hAnsi="Nirmala UI" w:eastAsia="Nirmala UI" w:cs="Nirmala UI"/>
        </w:rPr>
        <w:t>આને</w:t>
      </w:r>
      <w:r>
        <w:rPr>
          <w:rFonts w:ascii="Times New Roman" w:hAnsi="Times New Roman" w:eastAsia="Times New Roman" w:cs="Times New Roman"/>
        </w:rPr>
        <w:t xml:space="preserve"> </w:t>
      </w:r>
      <w:r>
        <w:rPr>
          <w:rFonts w:ascii="Nirmala UI" w:hAnsi="Nirmala UI" w:eastAsia="Nirmala UI" w:cs="Nirmala UI"/>
        </w:rPr>
        <w:t>વાણી</w:t>
      </w:r>
      <w:r>
        <w:rPr>
          <w:rFonts w:ascii="Times New Roman" w:hAnsi="Times New Roman" w:eastAsia="Times New Roman" w:cs="Times New Roman"/>
        </w:rPr>
        <w:t>-</w:t>
      </w:r>
      <w:r>
        <w:rPr>
          <w:rFonts w:ascii="Nirmala UI" w:hAnsi="Nirmala UI" w:eastAsia="Nirmala UI" w:cs="Nirmala UI"/>
        </w:rPr>
        <w:t>સ્વાતંત્ર્ય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પત્રકારિતા</w:t>
      </w:r>
      <w:r>
        <w:rPr>
          <w:rFonts w:ascii="Times New Roman" w:hAnsi="Times New Roman" w:eastAsia="Times New Roman" w:cs="Times New Roman"/>
        </w:rPr>
        <w:t>-</w:t>
      </w:r>
      <w:r>
        <w:rPr>
          <w:rFonts w:ascii="Nirmala UI" w:hAnsi="Nirmala UI" w:eastAsia="Nirmala UI" w:cs="Nirmala UI"/>
        </w:rPr>
        <w:t>સ્વાતંત્ર્ય</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પ્રહાર</w:t>
      </w:r>
      <w:r>
        <w:rPr>
          <w:rFonts w:ascii="Times New Roman" w:hAnsi="Times New Roman" w:eastAsia="Times New Roman" w:cs="Times New Roman"/>
        </w:rPr>
        <w:t xml:space="preserve"> </w:t>
      </w:r>
      <w:r>
        <w:rPr>
          <w:rFonts w:ascii="Nirmala UI" w:hAnsi="Nirmala UI" w:eastAsia="Nirmala UI" w:cs="Nirmala UI"/>
        </w:rPr>
        <w:t>ગણાવ્યો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Loi ya Bapaya mpe ya Botomboki esalaki ntembe monene mpe ememaki botɛmɛli makasi uta epai ya ba Democratic-Republicans, oyo bandimaki ete mibeko yango ebukaki makoki ya ntina mingi ya Mobeko-Mokonzi mpe ezalaki kotya mokano na ekólo na bango ya politiki. Bango balobaki ete mibeko yango ezalaki kobebisa Bobongisi ya Liboso, oyo ebatelaka bonsomi ya koloba mpe ya bapanzi-sango. Na nsuka, mibeko yango esalaki eteni moko na maponami ya 1800, tango Thomas Jefferson mpe ba Democratic-Republicans balongaki bokonzi ya mokonzi mpe Congress, mpe yango ememaki na kolongolama ya Mobeko ya Botomboki.</w:t>
      </w:r>
    </w:p>
    <w:p>
      <w:pPr>
        <w:pStyle w:val="ArticleBody"/>
        <w:jc w:val="left"/>
      </w:pPr>
      <w:r>
        <w:rPr>
          <w:rFonts w:ascii="Malgun Gothic" w:hAnsi="Malgun Gothic" w:eastAsia="Malgun Gothic" w:cs="Malgun Gothic"/>
        </w:rPr>
        <w:t>파푸아민주공화국</w:t>
      </w:r>
      <w:r>
        <w:rPr>
          <w:rFonts w:ascii="Times New Roman" w:hAnsi="Times New Roman" w:eastAsia="Times New Roman" w:cs="Times New Roman"/>
        </w:rPr>
        <w:t xml:space="preserve"> </w:t>
      </w:r>
      <w:r>
        <w:rPr>
          <w:rFonts w:ascii="Malgun Gothic" w:hAnsi="Malgun Gothic" w:eastAsia="Malgun Gothic" w:cs="Malgun Gothic"/>
        </w:rPr>
        <w:t>정당은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법들이</w:t>
      </w:r>
      <w:r>
        <w:rPr>
          <w:rFonts w:ascii="Times New Roman" w:hAnsi="Times New Roman" w:eastAsia="Times New Roman" w:cs="Times New Roman"/>
        </w:rPr>
        <w:t xml:space="preserve"> </w:t>
      </w:r>
      <w:r>
        <w:rPr>
          <w:rFonts w:ascii="Malgun Gothic" w:hAnsi="Malgun Gothic" w:eastAsia="Malgun Gothic" w:cs="Malgun Gothic"/>
        </w:rPr>
        <w:t>헌법이</w:t>
      </w:r>
      <w:r>
        <w:rPr>
          <w:rFonts w:ascii="Times New Roman" w:hAnsi="Times New Roman" w:eastAsia="Times New Roman" w:cs="Times New Roman"/>
        </w:rPr>
        <w:t xml:space="preserve"> </w:t>
      </w:r>
      <w:r>
        <w:rPr>
          <w:rFonts w:ascii="Malgun Gothic" w:hAnsi="Malgun Gothic" w:eastAsia="Malgun Gothic" w:cs="Malgun Gothic"/>
        </w:rPr>
        <w:t>보장하는</w:t>
      </w:r>
      <w:r>
        <w:rPr>
          <w:rFonts w:ascii="Times New Roman" w:hAnsi="Times New Roman" w:eastAsia="Times New Roman" w:cs="Times New Roman"/>
        </w:rPr>
        <w:t xml:space="preserve"> </w:t>
      </w:r>
      <w:r>
        <w:rPr>
          <w:rFonts w:ascii="Malgun Gothic" w:hAnsi="Malgun Gothic" w:eastAsia="Malgun Gothic" w:cs="Malgun Gothic"/>
        </w:rPr>
        <w:t>근본적</w:t>
      </w:r>
      <w:r>
        <w:rPr>
          <w:rFonts w:ascii="Times New Roman" w:hAnsi="Times New Roman" w:eastAsia="Times New Roman" w:cs="Times New Roman"/>
        </w:rPr>
        <w:t xml:space="preserve"> </w:t>
      </w:r>
      <w:r>
        <w:rPr>
          <w:rFonts w:ascii="Malgun Gothic" w:hAnsi="Malgun Gothic" w:eastAsia="Malgun Gothic" w:cs="Malgun Gothic"/>
        </w:rPr>
        <w:t>권리들을</w:t>
      </w:r>
      <w:r>
        <w:rPr>
          <w:rFonts w:ascii="Times New Roman" w:hAnsi="Times New Roman" w:eastAsia="Times New Roman" w:cs="Times New Roman"/>
        </w:rPr>
        <w:t xml:space="preserve"> </w:t>
      </w:r>
      <w:r>
        <w:rPr>
          <w:rFonts w:ascii="Malgun Gothic" w:hAnsi="Malgun Gothic" w:eastAsia="Malgun Gothic" w:cs="Malgun Gothic"/>
        </w:rPr>
        <w:t>침해한다고</w:t>
      </w:r>
      <w:r>
        <w:rPr>
          <w:rFonts w:ascii="Times New Roman" w:hAnsi="Times New Roman" w:eastAsia="Times New Roman" w:cs="Times New Roman"/>
        </w:rPr>
        <w:t xml:space="preserve"> </w:t>
      </w:r>
      <w:r>
        <w:rPr>
          <w:rFonts w:ascii="Malgun Gothic" w:hAnsi="Malgun Gothic" w:eastAsia="Malgun Gothic" w:cs="Malgun Gothic"/>
        </w:rPr>
        <w:t>믿었으며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법들이</w:t>
      </w:r>
      <w:r>
        <w:rPr>
          <w:rFonts w:ascii="Times New Roman" w:hAnsi="Times New Roman" w:eastAsia="Times New Roman" w:cs="Times New Roman"/>
        </w:rPr>
        <w:t xml:space="preserve"> </w:t>
      </w:r>
      <w:r>
        <w:rPr>
          <w:rFonts w:ascii="Malgun Gothic" w:hAnsi="Malgun Gothic" w:eastAsia="Malgun Gothic" w:cs="Malgun Gothic"/>
        </w:rPr>
        <w:t>반대</w:t>
      </w:r>
      <w:r>
        <w:rPr>
          <w:rFonts w:ascii="Times New Roman" w:hAnsi="Times New Roman" w:eastAsia="Times New Roman" w:cs="Times New Roman"/>
        </w:rPr>
        <w:t xml:space="preserve"> </w:t>
      </w:r>
      <w:r>
        <w:rPr>
          <w:rFonts w:ascii="Malgun Gothic" w:hAnsi="Malgun Gothic" w:eastAsia="Malgun Gothic" w:cs="Malgun Gothic"/>
        </w:rPr>
        <w:t>정당을</w:t>
      </w:r>
      <w:r>
        <w:rPr>
          <w:rFonts w:ascii="Times New Roman" w:hAnsi="Times New Roman" w:eastAsia="Times New Roman" w:cs="Times New Roman"/>
        </w:rPr>
        <w:t xml:space="preserve"> </w:t>
      </w:r>
      <w:r>
        <w:rPr>
          <w:rFonts w:ascii="Malgun Gothic" w:hAnsi="Malgun Gothic" w:eastAsia="Malgun Gothic" w:cs="Malgun Gothic"/>
        </w:rPr>
        <w:t>겨냥하고</w:t>
      </w:r>
      <w:r>
        <w:rPr>
          <w:rFonts w:ascii="Times New Roman" w:hAnsi="Times New Roman" w:eastAsia="Times New Roman" w:cs="Times New Roman"/>
        </w:rPr>
        <w:t xml:space="preserve"> </w:t>
      </w:r>
      <w:r>
        <w:rPr>
          <w:rFonts w:ascii="Malgun Gothic" w:hAnsi="Malgun Gothic" w:eastAsia="Malgun Gothic" w:cs="Malgun Gothic"/>
        </w:rPr>
        <w:t>있다고</w:t>
      </w:r>
      <w:r>
        <w:rPr>
          <w:rFonts w:ascii="Times New Roman" w:hAnsi="Times New Roman" w:eastAsia="Times New Roman" w:cs="Times New Roman"/>
        </w:rPr>
        <w:t xml:space="preserve"> </w:t>
      </w:r>
      <w:r>
        <w:rPr>
          <w:rFonts w:ascii="Malgun Gothic" w:hAnsi="Malgun Gothic" w:eastAsia="Malgun Gothic" w:cs="Malgun Gothic"/>
        </w:rPr>
        <w:t>여겼다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법들이</w:t>
      </w:r>
      <w:r>
        <w:rPr>
          <w:rFonts w:ascii="Times New Roman" w:hAnsi="Times New Roman" w:eastAsia="Times New Roman" w:cs="Times New Roman"/>
        </w:rPr>
        <w:t xml:space="preserve"> </w:t>
      </w:r>
      <w:r>
        <w:rPr>
          <w:rFonts w:ascii="Malgun Gothic" w:hAnsi="Malgun Gothic" w:eastAsia="Malgun Gothic" w:cs="Malgun Gothic"/>
        </w:rPr>
        <w:t>폐지되었거나</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효력을</w:t>
      </w:r>
      <w:r>
        <w:rPr>
          <w:rFonts w:ascii="Times New Roman" w:hAnsi="Times New Roman" w:eastAsia="Times New Roman" w:cs="Times New Roman"/>
        </w:rPr>
        <w:t xml:space="preserve"> </w:t>
      </w:r>
      <w:r>
        <w:rPr>
          <w:rFonts w:ascii="Malgun Gothic" w:hAnsi="Malgun Gothic" w:eastAsia="Malgun Gothic" w:cs="Malgun Gothic"/>
        </w:rPr>
        <w:t>상실하였다는</w:t>
      </w:r>
      <w:r>
        <w:rPr>
          <w:rFonts w:ascii="Times New Roman" w:hAnsi="Times New Roman" w:eastAsia="Times New Roman" w:cs="Times New Roman"/>
        </w:rPr>
        <w:t xml:space="preserve"> </w:t>
      </w:r>
      <w:r>
        <w:rPr>
          <w:rFonts w:ascii="Malgun Gothic" w:hAnsi="Malgun Gothic" w:eastAsia="Malgun Gothic" w:cs="Malgun Gothic"/>
        </w:rPr>
        <w:t>사실은</w:t>
      </w:r>
      <w:r>
        <w:rPr>
          <w:rFonts w:ascii="Times New Roman" w:hAnsi="Times New Roman" w:eastAsia="Times New Roman" w:cs="Times New Roman"/>
        </w:rPr>
        <w:t xml:space="preserve"> </w:t>
      </w:r>
      <w:r>
        <w:rPr>
          <w:rFonts w:ascii="Malgun Gothic" w:hAnsi="Malgun Gothic" w:eastAsia="Malgun Gothic" w:cs="Malgun Gothic"/>
        </w:rPr>
        <w:t>중요하지</w:t>
      </w:r>
      <w:r>
        <w:rPr>
          <w:rFonts w:ascii="Times New Roman" w:hAnsi="Times New Roman" w:eastAsia="Times New Roman" w:cs="Times New Roman"/>
        </w:rPr>
        <w:t xml:space="preserve"> </w:t>
      </w:r>
      <w:r>
        <w:rPr>
          <w:rFonts w:ascii="Malgun Gothic" w:hAnsi="Malgun Gothic" w:eastAsia="Malgun Gothic" w:cs="Malgun Gothic"/>
        </w:rPr>
        <w:t>않다</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오메가는</w:t>
      </w:r>
      <w:r>
        <w:rPr>
          <w:rFonts w:ascii="Times New Roman" w:hAnsi="Times New Roman" w:eastAsia="Times New Roman" w:cs="Times New Roman"/>
        </w:rPr>
        <w:t xml:space="preserve"> </w:t>
      </w:r>
      <w:r>
        <w:rPr>
          <w:rFonts w:ascii="Malgun Gothic" w:hAnsi="Malgun Gothic" w:eastAsia="Malgun Gothic" w:cs="Malgun Gothic"/>
        </w:rPr>
        <w:t>시작으로</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법들이</w:t>
      </w:r>
      <w:r>
        <w:rPr>
          <w:rFonts w:ascii="Times New Roman" w:hAnsi="Times New Roman" w:eastAsia="Times New Roman" w:cs="Times New Roman"/>
        </w:rPr>
        <w:t xml:space="preserve"> </w:t>
      </w:r>
      <w:r>
        <w:rPr>
          <w:rFonts w:ascii="Malgun Gothic" w:hAnsi="Malgun Gothic" w:eastAsia="Malgun Gothic" w:cs="Malgun Gothic"/>
        </w:rPr>
        <w:t>제정되었거나</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법으로</w:t>
      </w:r>
      <w:r>
        <w:rPr>
          <w:rFonts w:ascii="Times New Roman" w:hAnsi="Times New Roman" w:eastAsia="Times New Roman" w:cs="Times New Roman"/>
        </w:rPr>
        <w:t xml:space="preserve"> “</w:t>
      </w:r>
      <w:r>
        <w:rPr>
          <w:rFonts w:ascii="Malgun Gothic" w:hAnsi="Malgun Gothic" w:eastAsia="Malgun Gothic" w:cs="Malgun Gothic"/>
        </w:rPr>
        <w:t>말해졌던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연방당은</w:t>
      </w:r>
      <w:r>
        <w:rPr>
          <w:rFonts w:ascii="Times New Roman" w:hAnsi="Times New Roman" w:eastAsia="Times New Roman" w:cs="Times New Roman"/>
        </w:rPr>
        <w:t xml:space="preserve"> </w:t>
      </w:r>
      <w:r>
        <w:rPr>
          <w:rFonts w:ascii="Malgun Gothic" w:hAnsi="Malgun Gothic" w:eastAsia="Malgun Gothic" w:cs="Malgun Gothic"/>
        </w:rPr>
        <w:t>민주공화당이라</w:t>
      </w:r>
      <w:r>
        <w:rPr>
          <w:rFonts w:ascii="Times New Roman" w:hAnsi="Times New Roman" w:eastAsia="Times New Roman" w:cs="Times New Roman"/>
        </w:rPr>
        <w:t xml:space="preserve"> </w:t>
      </w:r>
      <w:r>
        <w:rPr>
          <w:rFonts w:ascii="Malgun Gothic" w:hAnsi="Malgun Gothic" w:eastAsia="Malgun Gothic" w:cs="Malgun Gothic"/>
        </w:rPr>
        <w:t>불린</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정당의</w:t>
      </w:r>
      <w:r>
        <w:rPr>
          <w:rFonts w:ascii="Times New Roman" w:hAnsi="Times New Roman" w:eastAsia="Times New Roman" w:cs="Times New Roman"/>
        </w:rPr>
        <w:t xml:space="preserve"> </w:t>
      </w:r>
      <w:r>
        <w:rPr>
          <w:rFonts w:ascii="Malgun Gothic" w:hAnsi="Malgun Gothic" w:eastAsia="Malgun Gothic" w:cs="Malgun Gothic"/>
        </w:rPr>
        <w:t>반대를</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민주공화당의</w:t>
      </w:r>
      <w:r>
        <w:rPr>
          <w:rFonts w:ascii="Times New Roman" w:hAnsi="Times New Roman" w:eastAsia="Times New Roman" w:cs="Times New Roman"/>
        </w:rPr>
        <w:t xml:space="preserve"> </w:t>
      </w:r>
      <w:r>
        <w:rPr>
          <w:rFonts w:ascii="Malgun Gothic" w:hAnsi="Malgun Gothic" w:eastAsia="Malgun Gothic" w:cs="Malgun Gothic"/>
        </w:rPr>
        <w:t>발전은</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공화당을</w:t>
      </w:r>
      <w:r>
        <w:rPr>
          <w:rFonts w:ascii="Times New Roman" w:hAnsi="Times New Roman" w:eastAsia="Times New Roman" w:cs="Times New Roman"/>
        </w:rPr>
        <w:t xml:space="preserve"> </w:t>
      </w:r>
      <w:r>
        <w:rPr>
          <w:rFonts w:ascii="Malgun Gothic" w:hAnsi="Malgun Gothic" w:eastAsia="Malgun Gothic" w:cs="Malgun Gothic"/>
        </w:rPr>
        <w:t>산출한다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주로</w:t>
      </w:r>
      <w:r>
        <w:rPr>
          <w:rFonts w:ascii="Times New Roman" w:hAnsi="Times New Roman" w:eastAsia="Times New Roman" w:cs="Times New Roman"/>
        </w:rPr>
        <w:t xml:space="preserve"> </w:t>
      </w:r>
      <w:r>
        <w:rPr>
          <w:rFonts w:ascii="Malgun Gothic" w:hAnsi="Malgun Gothic" w:eastAsia="Malgun Gothic" w:cs="Malgun Gothic"/>
        </w:rPr>
        <w:t>노예제</w:t>
      </w:r>
      <w:r>
        <w:rPr>
          <w:rFonts w:ascii="Times New Roman" w:hAnsi="Times New Roman" w:eastAsia="Times New Roman" w:cs="Times New Roman"/>
        </w:rPr>
        <w:t xml:space="preserve"> </w:t>
      </w:r>
      <w:r>
        <w:rPr>
          <w:rFonts w:ascii="Malgun Gothic" w:hAnsi="Malgun Gothic" w:eastAsia="Malgun Gothic" w:cs="Malgun Gothic"/>
        </w:rPr>
        <w:t>반대</w:t>
      </w:r>
      <w:r>
        <w:rPr>
          <w:rFonts w:ascii="Times New Roman" w:hAnsi="Times New Roman" w:eastAsia="Times New Roman" w:cs="Times New Roman"/>
        </w:rPr>
        <w:t xml:space="preserve"> </w:t>
      </w:r>
      <w:r>
        <w:rPr>
          <w:rFonts w:ascii="Malgun Gothic" w:hAnsi="Malgun Gothic" w:eastAsia="Malgun Gothic" w:cs="Malgun Gothic"/>
        </w:rPr>
        <w:t>입장에</w:t>
      </w:r>
      <w:r>
        <w:rPr>
          <w:rFonts w:ascii="Times New Roman" w:hAnsi="Times New Roman" w:eastAsia="Times New Roman" w:cs="Times New Roman"/>
        </w:rPr>
        <w:t xml:space="preserve"> </w:t>
      </w:r>
      <w:r>
        <w:rPr>
          <w:rFonts w:ascii="Malgun Gothic" w:hAnsi="Malgun Gothic" w:eastAsia="Malgun Gothic" w:cs="Malgun Gothic"/>
        </w:rPr>
        <w:t>기초하여</w:t>
      </w:r>
      <w:r>
        <w:rPr>
          <w:rFonts w:ascii="Times New Roman" w:hAnsi="Times New Roman" w:eastAsia="Times New Roman" w:cs="Times New Roman"/>
        </w:rPr>
        <w:t xml:space="preserve"> </w:t>
      </w:r>
      <w:r>
        <w:rPr>
          <w:rFonts w:ascii="Malgun Gothic" w:hAnsi="Malgun Gothic" w:eastAsia="Malgun Gothic" w:cs="Malgun Gothic"/>
        </w:rPr>
        <w:t>결집된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정당이다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historiens situent l’année 1863 au point central même de la guerre civile, une guerre fondée sur la question de l’esclavage. L’année 1863 constitue également un jalon pour les nouveaux porte-étendards de la corne protestante, qui rejetèrent alors la première prophétie de temps donnée à Miller par des anges (la prophétie des « sept temps » de Lévitique vingt-six). Se pourrait-il que ce soit une simple coïncidence si la prophétie des sept temps se trouve précisément fondée sur les lois relatives à l’esclavage énoncées dans le chapitre précédent du Lévitique ? La « malédiction » désignée par les « sept temps » était la promesse que, si les lois de l’alliance du chapitre vingt-cinq venaient à être désobéies, Israël achèverait alors son histoire en retournant à l’esclavage dont il avait été tiré lorsqu’il commença son voyage à la mer Rouge.</w:t>
      </w:r>
    </w:p>
    <w:p>
      <w:pPr>
        <w:pStyle w:val="ArticleBody"/>
        <w:jc w:val="left"/>
      </w:pPr>
      <w:r>
        <w:rPr>
          <w:rFonts w:ascii="Times New Roman" w:hAnsi="Times New Roman" w:eastAsia="Times New Roman" w:cs="Times New Roman"/>
        </w:rPr>
        <w:t>من 1798 إلى 1863 مرّ الحزب السياسي المعروف بالحزب الديمقراطي–الجمهوري بسلسلة من عمليات التطهير أو الهزّات. ومنذ عام 1798 فصاعدًا، وعلى وجه الخصوص منذ 11 أغسطس 1840 فصاعدًا حتى عام 1863، مرّت الحركة الميلرية بسلسلة من عمليات التطهير والهزّات.</w:t>
      </w:r>
    </w:p>
    <w:p>
      <w:pPr>
        <w:pStyle w:val="ArticleBody"/>
        <w:jc w:val="left"/>
      </w:pPr>
      <w:r>
        <w:rPr>
          <w:rFonts w:ascii="Times New Roman" w:hAnsi="Times New Roman" w:eastAsia="Times New Roman" w:cs="Times New Roman"/>
        </w:rPr>
        <w:t>Il Partito Democratico-Repubblicano, che fu uno dei primi partiti politici negli Stati Uniti, non si trasformò direttamente nel moderno Partito Repubblicano così come esiste oggi. Piuttosto, attraversò nel tempo una serie di cambiamenti e scissioni, che portarono infine alla formazione di diversi partiti politici, prima dell’emergere del Partito Repubblicano.</w:t>
      </w:r>
    </w:p>
    <w:p>
      <w:pPr>
        <w:pStyle w:val="ArticleBody"/>
        <w:jc w:val="left"/>
      </w:pPr>
      <w:r>
        <w:rPr>
          <w:rFonts w:ascii="Times New Roman" w:hAnsi="Times New Roman" w:eastAsia="Times New Roman" w:cs="Times New Roman"/>
        </w:rPr>
        <w:t>د ډيموکرات-جمهوري غوښتونکي ګوند، چې ډېری وخت له توماس جيفرسن او جېمز مېډيسن سره تړل کېږي، د اتلسمې پېړۍ په وروستیو کې د فدراليست ګوند په غبرګون کې بنسټ کېښودل شو. ډيموکرات-جمهوري غوښتونکو د اساسي قانون سخت تفسير، د ايالتونو حقوق، او کرنيزې ګټې پلويتوب کاوه.</w:t>
      </w:r>
    </w:p>
    <w:p>
      <w:pPr>
        <w:pStyle w:val="ArticleBody"/>
        <w:jc w:val="left"/>
      </w:pPr>
      <w:r>
        <w:rPr>
          <w:rFonts w:ascii="Times New Roman" w:hAnsi="Times New Roman" w:eastAsia="Times New Roman" w:cs="Times New Roman"/>
        </w:rPr>
        <w:t>Cependant, dans les années 1820, le Parti démocrate-républicain commença à se fracturer selon des lignes régionales et idéologiques. La principale scission se produisit durant l’Ère des bons sentiments (1817–1825), lorsqu’il y eut une absence d’opposition vigoureuse à la présidence de James Monroe. Cette période de tranquillité politique contribua au déclin du Parti démocrate-républicain. Le parti finit par se scinder en plusieurs factions et évolua pour donner naissance aux groupes politiques suivants :</w:t>
      </w:r>
    </w:p>
    <w:p>
      <w:pPr>
        <w:pStyle w:val="ArticleBody"/>
        <w:jc w:val="left"/>
      </w:pPr>
      <w:r>
        <w:rPr>
          <w:rFonts w:ascii="Times New Roman" w:hAnsi="Times New Roman" w:eastAsia="Times New Roman" w:cs="Times New Roman"/>
        </w:rPr>
        <w:t>Πάρτι Δημοκρατικό: Οι οπαδοί του Άντριου Τζάκσον, ο οποίος έγινε ο έβδομος πρόεδρος το 1829, σχημάτισαν το Δημοκρατικό Κόμμα. Οι Τζακσονιανοί Δημοκρατικοί υποστήριζαν μια ισχυρή εκτελεστική εξουσία, την επέκταση προς τη Δύση και ένα ευρύτερο εκλογικό δικαίωμα για τους λευκούς άνδρες.</w:t>
      </w:r>
    </w:p>
    <w:p>
      <w:pPr>
        <w:pStyle w:val="ArticleBody"/>
        <w:jc w:val="left"/>
      </w:pP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ރިޕަބްލިކަން</w:t>
      </w:r>
      <w:r>
        <w:rPr>
          <w:rFonts w:ascii="Times New Roman" w:hAnsi="Times New Roman" w:eastAsia="Times New Roman" w:cs="Times New Roman"/>
        </w:rPr>
        <w:t xml:space="preserve"> </w:t>
      </w:r>
      <w:r>
        <w:rPr>
          <w:rFonts w:ascii="MV Boli" w:hAnsi="MV Boli" w:eastAsia="MV Boli" w:cs="MV Boli"/>
        </w:rPr>
        <w:t>ޕާޓީ</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ޕާޓީ</w:t>
      </w:r>
      <w:r>
        <w:rPr>
          <w:rFonts w:ascii="Times New Roman" w:hAnsi="Times New Roman" w:eastAsia="Times New Roman" w:cs="Times New Roman"/>
        </w:rPr>
        <w:t xml:space="preserve"> </w:t>
      </w:r>
      <w:r>
        <w:rPr>
          <w:rFonts w:ascii="MV Boli" w:hAnsi="MV Boli" w:eastAsia="MV Boli" w:cs="MV Boli"/>
        </w:rPr>
        <w:t>އުފެދުނީ</w:t>
      </w:r>
      <w:r>
        <w:rPr>
          <w:rFonts w:ascii="Times New Roman" w:hAnsi="Times New Roman" w:eastAsia="Times New Roman" w:cs="Times New Roman"/>
        </w:rPr>
        <w:t xml:space="preserve"> </w:t>
      </w:r>
      <w:r>
        <w:rPr>
          <w:rFonts w:ascii="MV Boli" w:hAnsi="MV Boli" w:eastAsia="MV Boli" w:cs="MV Boli"/>
        </w:rPr>
        <w:t>އެންޑްރޫ</w:t>
      </w:r>
      <w:r>
        <w:rPr>
          <w:rFonts w:ascii="Times New Roman" w:hAnsi="Times New Roman" w:eastAsia="Times New Roman" w:cs="Times New Roman"/>
        </w:rPr>
        <w:t xml:space="preserve"> </w:t>
      </w:r>
      <w:r>
        <w:rPr>
          <w:rFonts w:ascii="MV Boli" w:hAnsi="MV Boli" w:eastAsia="MV Boli" w:cs="MV Boli"/>
        </w:rPr>
        <w:t>ޖެކްސަންގެ</w:t>
      </w:r>
      <w:r>
        <w:rPr>
          <w:rFonts w:ascii="Times New Roman" w:hAnsi="Times New Roman" w:eastAsia="Times New Roman" w:cs="Times New Roman"/>
        </w:rPr>
        <w:t xml:space="preserve"> </w:t>
      </w:r>
      <w:r>
        <w:rPr>
          <w:rFonts w:ascii="MV Boli" w:hAnsi="MV Boli" w:eastAsia="MV Boli" w:cs="MV Boli"/>
        </w:rPr>
        <w:t>ރިޔާސަތަށް</w:t>
      </w:r>
      <w:r>
        <w:rPr>
          <w:rFonts w:ascii="Times New Roman" w:hAnsi="Times New Roman" w:eastAsia="Times New Roman" w:cs="Times New Roman"/>
        </w:rPr>
        <w:t xml:space="preserve"> </w:t>
      </w:r>
      <w:r>
        <w:rPr>
          <w:rFonts w:ascii="MV Boli" w:hAnsi="MV Boli" w:eastAsia="MV Boli" w:cs="MV Boli"/>
        </w:rPr>
        <w:t>ދެކޮޅު</w:t>
      </w:r>
      <w:r>
        <w:rPr>
          <w:rFonts w:ascii="Times New Roman" w:hAnsi="Times New Roman" w:eastAsia="Times New Roman" w:cs="Times New Roman"/>
        </w:rPr>
        <w:t xml:space="preserve"> </w:t>
      </w:r>
      <w:r>
        <w:rPr>
          <w:rFonts w:ascii="MV Boli" w:hAnsi="MV Boli" w:eastAsia="MV Boli" w:cs="MV Boli"/>
        </w:rPr>
        <w:t>ދިނުމެއްގެ</w:t>
      </w:r>
      <w:r>
        <w:rPr>
          <w:rFonts w:ascii="Times New Roman" w:hAnsi="Times New Roman" w:eastAsia="Times New Roman" w:cs="Times New Roman"/>
        </w:rPr>
        <w:t xml:space="preserve"> </w:t>
      </w:r>
      <w:r>
        <w:rPr>
          <w:rFonts w:ascii="MV Boli" w:hAnsi="MV Boli" w:eastAsia="MV Boli" w:cs="MV Boli"/>
        </w:rPr>
        <w:t>މަންޒަރުގައެވެ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ޖެކްސަންއާ</w:t>
      </w:r>
      <w:r>
        <w:rPr>
          <w:rFonts w:ascii="Times New Roman" w:hAnsi="Times New Roman" w:eastAsia="Times New Roman" w:cs="Times New Roman"/>
        </w:rPr>
        <w:t xml:space="preserve"> </w:t>
      </w:r>
      <w:r>
        <w:rPr>
          <w:rFonts w:ascii="MV Boli" w:hAnsi="MV Boli" w:eastAsia="MV Boli" w:cs="MV Boli"/>
        </w:rPr>
        <w:t>ދެކޮޅު</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ފިރުޤާތަކާ</w:t>
      </w:r>
      <w:r>
        <w:rPr>
          <w:rFonts w:ascii="Times New Roman" w:hAnsi="Times New Roman" w:eastAsia="Times New Roman" w:cs="Times New Roman"/>
        </w:rPr>
        <w:t xml:space="preserve"> </w:t>
      </w:r>
      <w:r>
        <w:rPr>
          <w:rFonts w:ascii="MV Boli" w:hAnsi="MV Boli" w:eastAsia="MV Boli" w:cs="MV Boli"/>
        </w:rPr>
        <w:t>އެކުވެ</w:t>
      </w:r>
      <w:r>
        <w:rPr>
          <w:rFonts w:ascii="Times New Roman" w:hAnsi="Times New Roman" w:eastAsia="Times New Roman" w:cs="Times New Roman"/>
        </w:rPr>
        <w:t xml:space="preserve"> </w:t>
      </w:r>
      <w:r>
        <w:rPr>
          <w:rFonts w:ascii="MV Boli" w:hAnsi="MV Boli" w:eastAsia="MV Boli" w:cs="MV Boli"/>
        </w:rPr>
        <w:t>ވިގް</w:t>
      </w:r>
      <w:r>
        <w:rPr>
          <w:rFonts w:ascii="Times New Roman" w:hAnsi="Times New Roman" w:eastAsia="Times New Roman" w:cs="Times New Roman"/>
        </w:rPr>
        <w:t xml:space="preserve"> </w:t>
      </w:r>
      <w:r>
        <w:rPr>
          <w:rFonts w:ascii="MV Boli" w:hAnsi="MV Boli" w:eastAsia="MV Boli" w:cs="MV Boli"/>
        </w:rPr>
        <w:t>ޕާޓީއަށް</w:t>
      </w:r>
      <w:r>
        <w:rPr>
          <w:rFonts w:ascii="Times New Roman" w:hAnsi="Times New Roman" w:eastAsia="Times New Roman" w:cs="Times New Roman"/>
        </w:rPr>
        <w:t xml:space="preserve"> </w:t>
      </w:r>
      <w:r>
        <w:rPr>
          <w:rFonts w:ascii="MV Boli" w:hAnsi="MV Boli" w:eastAsia="MV Boli" w:cs="MV Boli"/>
        </w:rPr>
        <w:t>ބަދަލުވިއެވެ</w:t>
      </w:r>
      <w:r>
        <w:rPr>
          <w:rFonts w:ascii="Times New Roman" w:hAnsi="Times New Roman" w:eastAsia="Times New Roman" w:cs="Times New Roman"/>
        </w:rPr>
        <w:t xml:space="preserve">. </w:t>
      </w: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ރިޕަބްލިކަނުން</w:t>
      </w:r>
      <w:r>
        <w:rPr>
          <w:rFonts w:ascii="Times New Roman" w:hAnsi="Times New Roman" w:eastAsia="Times New Roman" w:cs="Times New Roman"/>
        </w:rPr>
        <w:t xml:space="preserve"> </w:t>
      </w:r>
      <w:r>
        <w:rPr>
          <w:rFonts w:ascii="MV Boli" w:hAnsi="MV Boli" w:eastAsia="MV Boli" w:cs="MV Boli"/>
        </w:rPr>
        <w:t>އާންމުކޮށް</w:t>
      </w:r>
      <w:r>
        <w:rPr>
          <w:rFonts w:ascii="Times New Roman" w:hAnsi="Times New Roman" w:eastAsia="Times New Roman" w:cs="Times New Roman"/>
        </w:rPr>
        <w:t xml:space="preserve"> </w:t>
      </w:r>
      <w:r>
        <w:rPr>
          <w:rFonts w:ascii="MV Boli" w:hAnsi="MV Boli" w:eastAsia="MV Boli" w:cs="MV Boli"/>
        </w:rPr>
        <w:t>ގަދަ</w:t>
      </w:r>
      <w:r>
        <w:rPr>
          <w:rFonts w:ascii="Times New Roman" w:hAnsi="Times New Roman" w:eastAsia="Times New Roman" w:cs="Times New Roman"/>
        </w:rPr>
        <w:t xml:space="preserve"> </w:t>
      </w:r>
      <w:r>
        <w:rPr>
          <w:rFonts w:ascii="MV Boli" w:hAnsi="MV Boli" w:eastAsia="MV Boli" w:cs="MV Boli"/>
        </w:rPr>
        <w:t>ފެޑަރަލް</w:t>
      </w:r>
      <w:r>
        <w:rPr>
          <w:rFonts w:ascii="Times New Roman" w:hAnsi="Times New Roman" w:eastAsia="Times New Roman" w:cs="Times New Roman"/>
        </w:rPr>
        <w:t xml:space="preserve"> </w:t>
      </w:r>
      <w:r>
        <w:rPr>
          <w:rFonts w:ascii="MV Boli" w:hAnsi="MV Boli" w:eastAsia="MV Boli" w:cs="MV Boli"/>
        </w:rPr>
        <w:t>ސަރުކާރަކަށާއި</w:t>
      </w:r>
      <w:r>
        <w:rPr>
          <w:rFonts w:ascii="Times New Roman" w:hAnsi="Times New Roman" w:eastAsia="Times New Roman" w:cs="Times New Roman"/>
        </w:rPr>
        <w:t xml:space="preserve"> </w:t>
      </w:r>
      <w:r>
        <w:rPr>
          <w:rFonts w:ascii="MV Boli" w:hAnsi="MV Boli" w:eastAsia="MV Boli" w:cs="MV Boli"/>
        </w:rPr>
        <w:t>އިޤްތިޞާދީ</w:t>
      </w:r>
      <w:r>
        <w:rPr>
          <w:rFonts w:ascii="Times New Roman" w:hAnsi="Times New Roman" w:eastAsia="Times New Roman" w:cs="Times New Roman"/>
        </w:rPr>
        <w:t xml:space="preserve"> </w:t>
      </w:r>
      <w:r>
        <w:rPr>
          <w:rFonts w:ascii="MV Boli" w:hAnsi="MV Boli" w:eastAsia="MV Boli" w:cs="MV Boli"/>
        </w:rPr>
        <w:t>ތަރައްޤީއަށް</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ދެކޮޅުނުދޭ</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ބެލެވެއެވެ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Parti antimaçonnique : Il s’agissait d’un parti politique de courte durée qui apparut dans les années 1820, principalement en réaction aux inquiétudes suscitées par l’influence de la confrérie maçonnique secrète. Il absorba certains anciens démocrates-républicains.</w:t>
      </w:r>
    </w:p>
    <w:p>
      <w:pPr>
        <w:pStyle w:val="ArticleBody"/>
        <w:jc w:val="left"/>
      </w:pPr>
      <w:r>
        <w:rPr>
          <w:rFonts w:ascii="Times New Roman" w:hAnsi="Times New Roman" w:eastAsia="Times New Roman" w:cs="Times New Roman"/>
        </w:rPr>
        <w:t>ff</w:t>
      </w:r>
      <w:r>
        <w:rPr>
          <w:rFonts w:ascii="MS Gothic" w:hAnsi="MS Gothic" w:eastAsia="MS Gothic" w:cs="MS Gothic"/>
        </w:rPr>
        <w:t>の</w:t>
      </w:r>
      <w:r>
        <w:rPr>
          <w:rFonts w:ascii="Microsoft YaHei" w:hAnsi="Microsoft YaHei" w:eastAsia="Microsoft YaHei" w:cs="Microsoft YaHei"/>
        </w:rPr>
        <w:t>対象言語</w:t>
      </w:r>
      <w:r>
        <w:rPr>
          <w:rFonts w:ascii="MS Gothic" w:hAnsi="MS Gothic" w:eastAsia="MS Gothic" w:cs="MS Gothic"/>
        </w:rPr>
        <w:t>が</w:t>
      </w:r>
      <w:r>
        <w:rPr>
          <w:rFonts w:ascii="Microsoft YaHei" w:hAnsi="Microsoft YaHei" w:eastAsia="Microsoft YaHei" w:cs="Microsoft YaHei"/>
        </w:rPr>
        <w:t>指定</w:t>
      </w:r>
      <w:r>
        <w:rPr>
          <w:rFonts w:ascii="MS Gothic" w:hAnsi="MS Gothic" w:eastAsia="MS Gothic" w:cs="MS Gothic"/>
        </w:rPr>
        <w:t>されていません</w:t>
      </w:r>
      <w:r>
        <w:rPr>
          <w:rFonts w:ascii="Times New Roman" w:hAnsi="Times New Roman" w:eastAsia="Times New Roman" w:cs="Times New Roman"/>
        </w:rPr>
        <w:t>.</w:t>
      </w:r>
      <w:r>
        <w:rPr>
          <w:rFonts w:ascii="Microsoft YaHei" w:hAnsi="Microsoft YaHei" w:eastAsia="Microsoft YaHei" w:cs="Microsoft YaHei"/>
        </w:rPr>
        <w:t>翻訳先</w:t>
      </w:r>
      <w:r>
        <w:rPr>
          <w:rFonts w:ascii="MS Gothic" w:hAnsi="MS Gothic" w:eastAsia="MS Gothic" w:cs="MS Gothic"/>
        </w:rPr>
        <w:t>の</w:t>
      </w:r>
      <w:r>
        <w:rPr>
          <w:rFonts w:ascii="Microsoft YaHei" w:hAnsi="Microsoft YaHei" w:eastAsia="Microsoft YaHei" w:cs="Microsoft YaHei"/>
        </w:rPr>
        <w:t>言語名</w:t>
      </w:r>
      <w:r>
        <w:rPr>
          <w:rFonts w:ascii="MS Gothic" w:hAnsi="MS Gothic" w:eastAsia="MS Gothic" w:cs="MS Gothic"/>
        </w:rPr>
        <w:t>をご</w:t>
      </w:r>
      <w:r>
        <w:rPr>
          <w:rFonts w:ascii="Microsoft YaHei" w:hAnsi="Microsoft YaHei" w:eastAsia="Microsoft YaHei" w:cs="Microsoft YaHei"/>
        </w:rPr>
        <w:t>指定</w:t>
      </w:r>
      <w:r>
        <w:rPr>
          <w:rFonts w:ascii="MS Gothic" w:hAnsi="MS Gothic" w:eastAsia="MS Gothic" w:cs="MS Gothic"/>
        </w:rPr>
        <w:t>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May I confirm what language “ff” refers to?</w:t>
      </w:r>
    </w:p>
    <w:p>
      <w:pPr>
        <w:pStyle w:val="ArticleBody"/>
        <w:jc w:val="left"/>
      </w:pPr>
      <w:r>
        <w:rPr>
          <w:rFonts w:ascii="Times New Roman" w:hAnsi="Times New Roman" w:eastAsia="Times New Roman" w:cs="Times New Roman"/>
        </w:rPr>
        <w:t>تا سال 1860، حزب جمهوری‌خواه نخستین رئیس‌جمهور خود را برگزید. این حزب بر پایهٔ ائتلافی از احزاب سیاسی بنا شده بود که با برده‌داری مخالفت می‌ورزیدند. در سال 1863، اعلامیهٔ آزادی بردگان، برده‌داری را با «سخن گفتن» از میان برداشت. در سال 1863، شاخ جمهوری‌خواه، که در آن زمان به‌وسیلهٔ حزب جمهوری‌خواه نمایندگی می‌شد، برده‌داری را با «سخن گفتن» از میان برداشت، در حالی که شاخ پروتستان دیگر یک جنبش نبود و به کلیسای ادونتیست روز هفتم تبدیل شد. جنبش میلری‌ها به‌طور قانونی و رسمی در ماه مه 1863 پایان یافت، و در آن سال، سوگند موسی، یعنی نبوتِ برده‌داری، رد شد. هر که گوش شنوا دارد، بشنود.</w:t>
      </w:r>
    </w:p>
    <w:p>
      <w:pPr>
        <w:pStyle w:val="ArticleBody"/>
        <w:jc w:val="left"/>
      </w:pPr>
      <w:r>
        <w:rPr>
          <w:rFonts w:ascii="Times New Roman" w:hAnsi="Times New Roman" w:eastAsia="Times New Roman" w:cs="Times New Roman"/>
        </w:rPr>
        <w:t>Σε αυτό το σημείο, θα μπορούσε να είναι διαφωτιστικό να παρασχεθεί μια σύντομη επισκόπηση του «όρκου του Μωυσή», όπως ονομάζεται από τον προφήτη Δανιήλ.</w:t>
      </w:r>
    </w:p>
    <w:p>
      <w:pPr>
        <w:pStyle w:val="ArticleScripture"/>
        <w:jc w:val="left"/>
      </w:pPr>
      <w:r>
        <w:rPr>
          <w:rFonts w:ascii="Times New Roman" w:hAnsi="Times New Roman" w:eastAsia="Times New Roman" w:cs="Times New Roman"/>
        </w:rPr>
        <w:t>Oui, tout Israël a transgressé ta loi, en s’en détournant pour ne pas obéir à ta voix ; c’est pourquoi la malédiction s’est répandue sur nous, ainsi que le serment qui est écrit dans la loi de Moïse, serviteur de Dieu, parce que nous avons péché contre lui. Daniel 9:11.</w:t>
      </w:r>
    </w:p>
    <w:p>
      <w:pPr>
        <w:pStyle w:val="ArticleBody"/>
        <w:jc w:val="left"/>
      </w:pPr>
      <w:r>
        <w:rPr>
          <w:rFonts w:ascii="Times New Roman" w:hAnsi="Times New Roman" w:eastAsia="Times New Roman" w:cs="Times New Roman"/>
        </w:rPr>
        <w:t>William Miller, ambaye aliongozwa na Gabrieli na malaika wengine alipokuwa akijifunza Neno la Mungu, aliongozwa kwanza kwenye “nyakati saba” za Mambo ya Walawi ishirini na sita. Ushuhuda wa Miller ni kwamba katika kujifunza kwake Biblia, alianza katika kitabu cha Mwanzo, na kwa hiyo ni dhahiri kwamba alifika katika Mambo ya Walawi muda mrefu kabla hajafikia ile miaka elfu mbili na mia tatu ya Danieli sura ya nane na aya ya kumi na nne. Alitumia Biblia pekee na konkodansi ya Cruden.</w:t>
      </w:r>
    </w:p>
    <w:p>
      <w:pPr>
        <w:pStyle w:val="ArticleBody"/>
        <w:jc w:val="left"/>
      </w:pPr>
      <w:r>
        <w:rPr>
          <w:rFonts w:ascii="Times New Roman" w:hAnsi="Times New Roman" w:eastAsia="Times New Roman" w:cs="Times New Roman"/>
        </w:rPr>
        <w:t>Le concordancier de Cruden ne comporte aucune référence aux mots hébreux ou grecs qui furent ensuite traduits dans l’anglais de la Bible du roi Jacques. Miller considérait le « contexte » du passage qu’il étudiait comme le guide de sa compréhension d’un mot ou d’un passage de l’Écriture. Quant à sa compréhension des « sept temps », il est très simple de voir que le contexte des « sept temps » du chapitre vingt-six du Lévitique est le chapitre vingt-cinq.</w:t>
      </w:r>
    </w:p>
    <w:p>
      <w:pPr>
        <w:pStyle w:val="ArticleBody"/>
        <w:jc w:val="left"/>
      </w:pPr>
      <w:r>
        <w:rPr>
          <w:rFonts w:ascii="Times New Roman" w:hAnsi="Times New Roman" w:eastAsia="Times New Roman" w:cs="Times New Roman"/>
        </w:rPr>
        <w:t>Sura ishirin da biyar ta bayyana hutawar ƙasar, Shekarar Yubili, da ƙa’idodin bautar. Ƙa’idodin da ke cikin sura ta ishirin da biyar wani ɓangare ne na “shari’ar Musa bawan Allah” wadda ke haifar da albarka idan aka yi mata biyayya, da kuma “la’ana” idan aka ƙi ta. A sura ta ishirin da shida, la’anar “sau bakwai” tana daidai da shekaru dubu biyu da ɗari biyar da ashirin, kuma an gabatar da ita a cikin sararin ma’anar da ke a bayyane na ƙa’idodin hutawar ƙasar da ka’idojin bautar. A sura ta ishirin da shida, ana kiran hukuncin “rigimar alkawarina.”</w:t>
      </w:r>
    </w:p>
    <w:p>
      <w:pPr>
        <w:pStyle w:val="ArticleScripture"/>
        <w:jc w:val="left"/>
      </w:pPr>
      <w:r>
        <w:rPr>
          <w:rFonts w:ascii="Times New Roman" w:hAnsi="Times New Roman" w:eastAsia="Times New Roman" w:cs="Times New Roman"/>
        </w:rPr>
        <w:t>Alors moi aussi je marcherai contre vous, et je vous châtierai encore sept fois pour vos péchés. Et je ferai venir sur vous l’épée, qui vengera la querelle de mon alliance; et lorsque vous serez rassemblés dans vos villes, j’enverrai la peste au milieu de vous; et vous serez livrés entre les mains de l’ennemi. Lévitique 26:24, 25.</w:t>
      </w:r>
    </w:p>
    <w:p>
      <w:pPr>
        <w:pStyle w:val="ArticleBody"/>
        <w:jc w:val="left"/>
      </w:pPr>
      <w:r>
        <w:rPr>
          <w:rFonts w:ascii="Times New Roman" w:hAnsi="Times New Roman" w:eastAsia="Times New Roman" w:cs="Times New Roman"/>
        </w:rPr>
        <w:t>In de context is het “verbond” waarover God een “twist” heeft, het verbond dat eerder in hoofdstuk vijfentwintig werd aangehaald. De straf van de zeven tijden wordt de “twist van” Gods “verbond” genoemd, en de daaraan verbonden “vloek” is dat Israël “in de hand van hun” vijanden zou worden overgegeven; en eenmaal in het land van de vijanden, (zoals Daniël was) zou Israël de slaven van hun vijanden worden.</w:t>
      </w:r>
    </w:p>
    <w:p>
      <w:pPr>
        <w:pStyle w:val="ArticleBody"/>
        <w:jc w:val="left"/>
      </w:pPr>
      <w:r>
        <w:rPr>
          <w:rFonts w:ascii="Times New Roman" w:hAnsi="Times New Roman" w:eastAsia="Times New Roman" w:cs="Times New Roman"/>
        </w:rPr>
        <w:t>Sa taala ni Moses ang Leviticus kapitulo baynte-sais, ang karaang Israel bag-o pa lamang naluwas gikan sa pagkaulipon sa Egipto, ug ang mga prinsipyo sa pagkaulipon nga girepresentar sa kapitulo baynte-singko magadala ug panalangin o tunglo. Ang karaang Israel wala gayud magbuhat sa mga lagda sa Jubileo, ug sa katapusan ang amihanang ug habagatang mga gingharian nangapatlaag sulod sa “pito ka pilo” sa katumanan sa gitawag ni Daniel nga “tunglo ni Moses.”</w:t>
      </w:r>
    </w:p>
    <w:p>
      <w:pPr>
        <w:pStyle w:val="ArticleBody"/>
        <w:jc w:val="left"/>
      </w:pPr>
      <w:r>
        <w:rPr>
          <w:rFonts w:ascii="Times New Roman" w:hAnsi="Times New Roman" w:eastAsia="Times New Roman" w:cs="Times New Roman"/>
        </w:rPr>
        <w:t>Ang kaugnayang tipan sa pagitan ng Diyos at ng Israel, na nagsimula sa kanilang pagkaalipin sa Egipto, ay nagtapos sa kanilang pagkaalipin sa Asiria at Babilonia. Ang “pitong panahon” laban sa hilagang kaharian ay nagtapos noong 1798, at ang “pitong panahon” laban sa timog na kaharian ay nagtapos noong 1844. Ang panimulang punto ng dalawang yugto ng pitong panahon ay minarkahan sa Isaias kabanata pito sa pamamagitan ng isang propesiya ng animnapu’t limang taon na ipinahayag ni Isaias kay haring Ahaz ng Juda noong 742 BC.</w:t>
      </w:r>
    </w:p>
    <w:p>
      <w:pPr>
        <w:pStyle w:val="ArticleScripture"/>
        <w:jc w:val="left"/>
      </w:pPr>
      <w:r>
        <w:rPr>
          <w:rFonts w:ascii="Times New Roman" w:hAnsi="Times New Roman" w:eastAsia="Times New Roman" w:cs="Times New Roman"/>
        </w:rPr>
        <w:t>Потому что глава Сирии — Дамаск, и глава Дамаска — Рецин; и через шестьдесят пять лет Ефрем перестанет быть народом, ибо будет сокрушён. И глава Ефрема — Самария, и глава Самарии — сын Ремалии. Если вы не верите, то потому и не утвердитесь. Исаия 7:8, 9.</w:t>
      </w:r>
    </w:p>
    <w:p>
      <w:pPr>
        <w:pStyle w:val="ArticleBody"/>
        <w:jc w:val="left"/>
      </w:pPr>
      <w:r>
        <w:rPr>
          <w:rFonts w:ascii="Times New Roman" w:hAnsi="Times New Roman" w:eastAsia="Times New Roman" w:cs="Times New Roman"/>
        </w:rPr>
        <w:t>Isaïe avait indiqué que « dans » les soixante-cinq années à compter du moment où la prophétie fut proclamée en 742 av. J.-C., le royaume du nord serait brisé. Dix-neuf ans plus tard, en 723 av. J.-C., le royaume du nord d’Israël fut emmené en captivité par le roi d’Assyrie, et quarante-six ans plus tard, le roi de Babylone emmena en captivité le royaume du sud, Juda, en 677 av. J.-C. La prophétie des soixante-cinq années produit six balises historiques. La première est 742 av. J.-C., lorsque la prédiction est énoncée. Dix-neuf ans plus tard, en 723 av. J.-C., le royaume du nord fut emmené en captivité par les Assyriens. Quarante-six ans plus tard, en 677 av. J.-C., le royaume du sud fut emmené en captivité par les Babyloniens. Les premiers deux mille cinq cent vingt ans qui commencèrent en 723 av. J.-C. prirent ensuite fin en 1798. Puis, en 1844, les deux mille cinq cent vingt ans qui commencèrent en 677 av. J.-C. arrivèrent à leur terme. À partir de 1844, la prédiction se prolongea de dix-neuf ans jusqu’en 1863 afin d’achever l’ensemble de la structure prophétique, car lorsque l’Alpha et l’Oméga marquèrent dix-neuf ans pour commencer la structure prophétique, il devait y avoir dix-neuf ans pour en atteindre la fin.</w:t>
      </w:r>
    </w:p>
    <w:p>
      <w:pPr>
        <w:pStyle w:val="ArticleBody"/>
        <w:jc w:val="left"/>
      </w:pPr>
      <w:r>
        <w:rPr>
          <w:rFonts w:ascii="Times New Roman" w:hAnsi="Times New Roman" w:eastAsia="Times New Roman" w:cs="Times New Roman"/>
        </w:rPr>
        <w:t>Israël d’autrefois fut délivré de l’esclavage d’Égypte, et, par désobéissance, les royaumes du nord et du sud furent tous deux ramenés à l’esclavage. Les prophéties s’élèvent au-delà de l’histoire prophétique de l’ancien Israël littéral jusqu’à l’Israël spirituel moderne, et, ce faisant, le thème de tous les jalons prophétiques est l’esclavage.</w:t>
      </w:r>
    </w:p>
    <w:p>
      <w:pPr>
        <w:pStyle w:val="ArticleBody"/>
        <w:jc w:val="left"/>
      </w:pPr>
      <w:r>
        <w:rPr>
          <w:rFonts w:ascii="Times New Roman" w:hAnsi="Times New Roman" w:eastAsia="Times New Roman" w:cs="Times New Roman"/>
        </w:rPr>
        <w:t>ساتویں بابِ یسعیاہ کی نبوت 742 قبل مسیح میں یسعیاہ نے شریر بادشاہ اخز کے سامنے پیش کی، جب شمال اور جنوب کے درمیان ایک آنے والی خانہ جنگی کی نشان دہی کی جا رہی تھی۔ اخز کی جنوبی مملکت قدیم اسرائیل کی لفظی جلالی سرزمین تھی۔ 1798 میں بائبل کی نبوت کی روحانی جلالی سرزمین نے بائبل کی نبوت کی چھٹی سلطنت کے طور پر حکمرانی کرنا شروع کیا۔ جب 1844 میں لفظی جلالی سرزمین کے خلاف سات زمانے پورے ہوئے، تو بادشاہ اخز کی تاریخ کی مانند ایک آنے والی خانہ جنگی موجود تھی۔ 1844 تک، سیاسی جماعتوں کے ٹوٹنے اور اتحاد قائم کرنے کا ہنگامہ تقریباً مکمل طور پر سیاسی رجحانات کی دو جماعتوں میں ڈھل چکا تھا۔ غلامی کے حوالے سے ڈیموکریٹ غلامی کے حامی تھے اور ریپبلکن غلامی کے مخالف تھے۔ 1798 سے 1860 میں خانہ جنگی کے آغاز تک، سیاسی جماعتوں کی دو جماعتیں تشکیل پانے کا عمل طے پا چکا تھا۔</w:t>
      </w:r>
    </w:p>
    <w:p>
      <w:pPr>
        <w:pStyle w:val="ArticleBody"/>
        <w:jc w:val="left"/>
      </w:pPr>
      <w:r>
        <w:rPr>
          <w:rFonts w:ascii="Nirmala UI" w:hAnsi="Nirmala UI" w:eastAsia="Nirmala UI" w:cs="Nirmala UI"/>
        </w:rPr>
        <w:t>আহাজ</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সেইজন্য</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দেশেরও</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আহাজের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৭৪২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ইতিহাসেরও</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ঐশ্বরিকভাবে</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শাসনের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প্রতিবাদস্বরূপ</w:t>
      </w:r>
      <w:r>
        <w:rPr>
          <w:rFonts w:ascii="Times New Roman" w:hAnsi="Times New Roman" w:eastAsia="Times New Roman" w:cs="Times New Roman"/>
        </w:rPr>
        <w:t xml:space="preserve"> </w:t>
      </w:r>
      <w:r>
        <w:rPr>
          <w:rFonts w:ascii="Nirmala UI" w:hAnsi="Nirmala UI" w:eastAsia="Nirmala UI" w:cs="Nirmala UI"/>
        </w:rPr>
        <w:t>অপর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বিচ্ছিন্ন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উত্তরাঞ্চলের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মৈত্রীজোট</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জোটের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সংঘবদ্ধ</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প্রতীকীভাবে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Ce bref résumé montre que les « sept temps » de Lévitique vingt-six constituent une promesse d’alliance qui établit soit une bénédiction pour l’obéissance, soit la « malédiction » de l’esclavage pour la désobéissance. Les royaumes du Nord et du Sud commencèrent ensemble comme une seule nation délivrée de l’esclavage, pour être ensuite livrés de nouveau à l’esclavage à leurs fins respectives.</w:t>
      </w:r>
    </w:p>
    <w:p>
      <w:pPr>
        <w:pStyle w:val="ArticleBody"/>
        <w:jc w:val="left"/>
      </w:pPr>
      <w:r>
        <w:rPr>
          <w:rFonts w:ascii="Times New Roman" w:hAnsi="Times New Roman" w:eastAsia="Times New Roman" w:cs="Times New Roman"/>
        </w:rPr>
        <w:t>Iminyaka engamashumi ayisithupha nanhlanu ekupheleni kwalezo ziprofetho zobugqila yaphetha u-Israyeli womoya esezweni lenkazimulo lomoya, maphakathi nendawo impela yempi yombango yasenyakatho imelene neningizimu. Abaphikisanayo kule mpi yombango kwakuwumbuso owakha umfelandawonye wase wehlukana nohulumeni omiswe nguNkulunkulu owayekulowo mbuso ophikisayo.</w:t>
      </w:r>
    </w:p>
    <w:p>
      <w:pPr>
        <w:pStyle w:val="ArticleBody"/>
        <w:jc w:val="left"/>
      </w:pPr>
      <w:r>
        <w:rPr>
          <w:rFonts w:ascii="Times New Roman" w:hAnsi="Times New Roman" w:eastAsia="Times New Roman" w:cs="Times New Roman"/>
        </w:rPr>
        <w:t>Kuanzia mwaka 1798 na kuendelea hadi vita vya wenyewe kwa wenyewe, pembe ya Urepublikanismu iliwekwa katika mchakato uliotoa madarasa mawili ya wapinzani wa kisiasa yanayowakilisha pande mbili za masuala ya utumwa. Wapinzani wanaounga mkono utumwa waliotafuta kuendeleza desturi ya utumwa walishindwa katika pambano hilo.</w:t>
      </w:r>
    </w:p>
    <w:p>
      <w:pPr>
        <w:pStyle w:val="ArticleBody"/>
        <w:jc w:val="left"/>
      </w:pPr>
      <w:r>
        <w:rPr>
          <w:rFonts w:ascii="Times New Roman" w:hAnsi="Times New Roman" w:eastAsia="Times New Roman" w:cs="Times New Roman"/>
        </w:rPr>
        <w:t>Kuanzia mwaka 1798 na kuendelea hadi Vita vya wenyewe kwa wenyewe, pembe ya Uprotestanti ilipitishwa katika mchakato uliotoa madaraja mawili ya wapinzani wa kidini wanaowakilisha pande mbili za masuala ya utumwa. Wapinzani wanaounga mkono utumwa, waliotaka kuendeleza uelewa wa asili wa unabii wa utumwa, walishindwa katika pambano hilo.</w:t>
      </w:r>
    </w:p>
    <w:p>
      <w:pPr>
        <w:pStyle w:val="ArticleBody"/>
        <w:jc w:val="left"/>
      </w:pPr>
      <w:r>
        <w:rPr>
          <w:rFonts w:ascii="Times New Roman" w:hAnsi="Times New Roman" w:eastAsia="Times New Roman" w:cs="Times New Roman"/>
        </w:rPr>
        <w:t>Ɔafe 1863 no, Republicanism abɛn no tumi poow nkoasom amanne no.</w:t>
      </w:r>
    </w:p>
    <w:p>
      <w:pPr>
        <w:pStyle w:val="ArticleBody"/>
        <w:jc w:val="left"/>
      </w:pPr>
      <w:r>
        <w:rPr>
          <w:rFonts w:ascii="Times New Roman" w:hAnsi="Times New Roman" w:eastAsia="Times New Roman" w:cs="Times New Roman"/>
        </w:rPr>
        <w:t>Mnamo 1863 pembe ya Uprotestanti ilifanikiwa kukataa unabii wa utumwa.</w:t>
      </w:r>
    </w:p>
    <w:p>
      <w:pPr>
        <w:pStyle w:val="ArticleBody"/>
        <w:jc w:val="left"/>
      </w:pPr>
      <w:r>
        <w:rPr>
          <w:rFonts w:ascii="Times New Roman" w:hAnsi="Times New Roman" w:eastAsia="Times New Roman" w:cs="Times New Roman"/>
        </w:rPr>
        <w:t>En agissant ainsi, ils ont rejeté l’œuvre de Miller, l’Élie pour son temps. Ce faisant, ils ont également rejeté « le serment de Moïse », la pierre de fondement pour leur temps. Moïse et Élie furent alors rejetés, pour ne revenir que le 11 septembre 2001.</w:t>
      </w:r>
    </w:p>
    <w:p>
      <w:pPr>
        <w:pStyle w:val="ArticleBody"/>
        <w:jc w:val="left"/>
      </w:pPr>
      <w:r>
        <w:rPr>
          <w:rFonts w:ascii="Times New Roman" w:hAnsi="Times New Roman" w:eastAsia="Times New Roman" w:cs="Times New Roman"/>
        </w:rPr>
        <w:t>Alfa na Omega, mwanaisimu wa ajabu, aliandika sahihi Yake ya kimungu katika unabii wote wa wakati wa “kiapo cha Musa” ambao Yeye mwenyewe aliutangaza kama Palmoni, Mhesabuji wa Ajabu. Msipoamini, hakika hamtathibitika.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quatre</dc:title>
  <dc:subject>Servitude</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