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neuf</w:t>
      </w:r>
    </w:p>
    <w:p>
      <w:pPr>
        <w:pStyle w:val="ArticleSubtitle"/>
        <w:jc w:val="left"/>
      </w:pPr>
      <w:r>
        <w:rPr>
          <w:rFonts w:ascii="Arial" w:hAnsi="Arial" w:eastAsia="Arial" w:cs="Arial"/>
        </w:rPr>
        <w:t>Mpaminany Nandainga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Samapti huñjja qhipa qillqatan mä t’aqaruw tukuyapjjta, uka t’aqajj “mä llulla ajayu” satat parlki uka. Aka qhepatjja uka t’aqat mä párrafo ukaw utji.</w:t>
      </w:r>
    </w:p>
    <w:p>
      <w:pPr>
        <w:pStyle w:val="ArticleScripture"/>
        <w:jc w:val="left"/>
      </w:pPr>
      <w:r>
        <w:rPr>
          <w:rFonts w:ascii="Times New Roman" w:hAnsi="Times New Roman" w:eastAsia="Times New Roman" w:cs="Times New Roman"/>
        </w:rPr>
        <w:t>“Abefundisi abangangcwaliswanga bazimisa belwa noThixo. Badumisa uKristu nothixo weli hlabathi ngomphefumlo omnye. Nangona ngokuvakalayo besithi bayamamkela uKristu, bayamanga uBharrabhas, baze ngezenzo zabo bathi, ‘AsinguLo lo Mntu, koko nguBharrabhas.’ Bonke abafunda le migca mabathabathe ingqalelo. USathana uqhayisile ngoko anokukwenza. Ucinga ukulichitha umanyano uKristu awathandaza ukuba lube khona ebandleni laKhe. Uthi, ‘Ndiya kuphuma ndibe ngumoya wobuxoki ukuze ndilahlekise abo ndinako, ndigxeke, ndigwebe, ndize ndigqwethise.’ Makwamelwe ngovuyo ngulo nyana wenkohliso nowobungqina bobuxoki libandla elithe lafumana ukukhanya okukhulu, ubungqina obukhulu, yaye elo bandla liya kuwulahla umyalezo iNkosi ewuthumeleyo, lize lamkele ezona zibango zingenangqiqo, neengcinga zobuxoki, neethiyori zobuxoki. USathana uyahleka ngobuyatha babo, kuba uyayazi into eyinyaniso.” Testimonies to Ministers, 409.</w:t>
      </w:r>
    </w:p>
    <w:p>
      <w:pPr>
        <w:pStyle w:val="ArticleBody"/>
        <w:jc w:val="left"/>
      </w:pPr>
      <w:r>
        <w:rPr>
          <w:rFonts w:ascii="Times New Roman" w:hAnsi="Times New Roman" w:eastAsia="Times New Roman" w:cs="Times New Roman"/>
        </w:rPr>
        <w:t>Laat “die seun van bedrog en valse getuienis deur ’n kerk gehuisves word wat groot lig, groot bewys gehad het, en daardie kerk sal die boodskap wat die Here gestuur het, verwerp en die mees onredelike bewerings en valse veronderstellings en valse teorieë aanneem.” In 1863 het Milleritiese Adventisme ‘teruggekeer’ na die onredelike en valse metodologie wat deur afvallige Protestantisme gebruik is en William Miller se identifisering van die sewe tye van Levitikus ses-en-twintig verwerp. Die onderwerp van ‘terugkeer’ is uitgebeeld deur die rebelle in Numeri veertien, toe hulle besluit het om vir hulle ’n kaptein te kies en na Egipte terug te keer.</w:t>
      </w:r>
    </w:p>
    <w:p>
      <w:pPr>
        <w:pStyle w:val="ArticleScripture"/>
        <w:jc w:val="left"/>
      </w:pPr>
      <w:r>
        <w:rPr>
          <w:rFonts w:ascii="Leelawadee UI" w:hAnsi="Leelawadee UI" w:eastAsia="Leelawadee UI" w:cs="Leelawadee UI"/>
        </w:rPr>
        <w:t>ពួកគេក៏និយាយគ្នាទៅវិញទៅមកថា</w:t>
      </w:r>
      <w:r>
        <w:rPr>
          <w:rFonts w:ascii="Times New Roman" w:hAnsi="Times New Roman" w:eastAsia="Times New Roman" w:cs="Times New Roman"/>
        </w:rPr>
        <w:t xml:space="preserve"> «</w:t>
      </w:r>
      <w:r>
        <w:rPr>
          <w:rFonts w:ascii="Leelawadee UI" w:hAnsi="Leelawadee UI" w:eastAsia="Leelawadee UI" w:cs="Leelawadee UI"/>
        </w:rPr>
        <w:t>ចូរយើងតែងតាំងមេដឹកនាំម្នាក់</w:t>
      </w:r>
      <w:r>
        <w:rPr>
          <w:rFonts w:ascii="Times New Roman" w:hAnsi="Times New Roman" w:eastAsia="Times New Roman" w:cs="Times New Roman"/>
        </w:rPr>
        <w:t xml:space="preserve"> </w:t>
      </w:r>
      <w:r>
        <w:rPr>
          <w:rFonts w:ascii="Leelawadee UI" w:hAnsi="Leelawadee UI" w:eastAsia="Leelawadee UI" w:cs="Leelawadee UI"/>
        </w:rPr>
        <w:t>ហើយត្រឡប់ទៅអេស៊ីព្ទវិញ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ជនគណនា</w:t>
      </w:r>
      <w:r>
        <w:rPr>
          <w:rFonts w:ascii="Times New Roman" w:hAnsi="Times New Roman" w:eastAsia="Times New Roman" w:cs="Times New Roman"/>
        </w:rPr>
        <w:t xml:space="preserve"> </w:t>
      </w:r>
      <w:r>
        <w:rPr>
          <w:rFonts w:ascii="Leelawadee UI" w:hAnsi="Leelawadee UI" w:eastAsia="Leelawadee UI" w:cs="Leelawadee UI"/>
        </w:rPr>
        <w:t>១៤៖៤</w:t>
      </w:r>
    </w:p>
    <w:p>
      <w:pPr>
        <w:pStyle w:val="ArticleBody"/>
        <w:jc w:val="left"/>
      </w:pPr>
      <w:r>
        <w:rPr>
          <w:rFonts w:ascii="Times New Roman" w:hAnsi="Times New Roman" w:eastAsia="Times New Roman" w:cs="Times New Roman"/>
        </w:rPr>
        <w:t>Le sujet du « retour » vers le protestantisme apostat fut aussi représenté par Jérémie, lorsque, au chapitre quinze, il lui fut dit que les protestants déchus pouvaient revenir à lui, mais qu’il ne devait pas « retourner » vers eux.</w:t>
      </w:r>
    </w:p>
    <w:p>
      <w:pPr>
        <w:pStyle w:val="ArticleScripture"/>
        <w:jc w:val="left"/>
      </w:pPr>
      <w:r>
        <w:rPr>
          <w:rFonts w:ascii="Times New Roman" w:hAnsi="Times New Roman" w:eastAsia="Times New Roman" w:cs="Times New Roman"/>
        </w:rPr>
        <w:t>Mi ne sidis en la kunveno de la mokantoj, nek ĝojis; mi sidis sola pro Via mano, ĉar Vi plenigis min per indigno. Kial mia doloro estas senĉesa, kaj mia vundo nekuracebla, rifuzanta saniĝi? Ĉu Vi fariĝos por mi tute kiel trompa torento, kiel akvoj, kiuj malaperas? Tial tiel diras la Eternulo: Se vi revenos, tiam Mi revenigos vin, kaj vi staros antaŭ Mi; kaj se vi apartigos la altvaloran de la malinda, vi estos kiel Mia buŝo; ili revenu al vi, sed vi ne revenu al ili. Kaj Mi faros vin por ĉi tiu popolo fortikigita kupra muro; kaj ili batalos kontraŭ vi, sed ili ne venkos vin; ĉar Mi estas kun vi, por savi vin kaj por liberigi vin, diras la Eternulo. Jeremia 15:17–20.</w:t>
      </w:r>
    </w:p>
    <w:p>
      <w:pPr>
        <w:pStyle w:val="ArticleBody"/>
        <w:jc w:val="left"/>
      </w:pPr>
      <w:r>
        <w:rPr>
          <w:rFonts w:ascii="Times New Roman" w:hAnsi="Times New Roman" w:eastAsia="Times New Roman" w:cs="Times New Roman"/>
        </w:rPr>
        <w:t>Peut-être l’illustration prophétique la plus claire du principe consistant à ne pas retourner au protestantisme apostat se trouve-t-elle dans le récit du prophète désobéissant, qui adressa un message de réprimande à Jéroboam, premier roi des dix tribus du nord.</w:t>
      </w:r>
    </w:p>
    <w:p>
      <w:pPr>
        <w:pStyle w:val="ArticleScripture"/>
        <w:jc w:val="left"/>
      </w:pPr>
      <w:r>
        <w:rPr>
          <w:rFonts w:ascii="Times New Roman" w:hAnsi="Times New Roman" w:eastAsia="Times New Roman" w:cs="Times New Roman"/>
        </w:rPr>
        <w:t>Olùú ọba sì wí fún ọkùnrin Ọlọ́run náà pé, Bá mi lọ sí ilé, kí o sì tù ara rẹ sọ́run, èmi yóò sì fún ọ ní èrè. Ṣùgbọ́n ọkùnrin Ọlọ́run náà wí fún ọba náà pé, Bí o bá fẹ́ fún mi ní ààbọ̀ ilé rẹ, èmi kì yóò bá ọ wọlé, bẹ́ẹ̀ ni èmi kì yóò jẹ àkàrà tàbí mu omi ní ibí yìí: nítorí bẹ́ẹ̀ ni a ti pa á láṣẹ fún mi nípasẹ̀ ọ̀rọ̀ Olúwa, pé, Má ṣe jẹ àkàrà, má sì ṣe mu omi, bẹ́ẹ̀ ni má ṣe padà ní ọ̀nà kan náà tí o gbà wá. Ní náà ni ó gba ọ̀nà mìíràn lọ, kò sì padà ní ọ̀nà tí ó gbà wá sí Beteli. 1 Ọba 13:7–10.</w:t>
      </w:r>
    </w:p>
    <w:p>
      <w:pPr>
        <w:pStyle w:val="ArticleBody"/>
        <w:jc w:val="left"/>
      </w:pPr>
      <w:r>
        <w:rPr>
          <w:rFonts w:ascii="Times New Roman" w:hAnsi="Times New Roman" w:eastAsia="Times New Roman" w:cs="Times New Roman"/>
        </w:rPr>
        <w:t>De ongehoorzame profeet was door God gezegd dat hij niet moest terugkeren langs de weg waarlangs hij gekomen was. Het Milleritische Adventisme was uit het Protestantisme, voorgesteld door Sardis, uitgegaan, en het mocht niet terugkeren. Hoewel de ongehoorzame profeet zeer goed wist dat hij niet moest terugkeren langs de weg waarlangs hij gekomen was, zei een valse profeet uit het koninkrijk van Jerobeam hem dat God had gezegd dat de ongehoorzame profeet naar het huis van de valse profeet moest terugkeren en met hem moest eten. Ondanks Gods aanwijzing deed hij juist dat. Zodra hij begonnen was van het voedsel van de valse profeet te eten, verklaart de Bijbel duidelijk dat de profeet van Samaria gelogen had.</w:t>
      </w:r>
    </w:p>
    <w:p>
      <w:pPr>
        <w:pStyle w:val="ArticleScripture"/>
        <w:jc w:val="left"/>
      </w:pPr>
      <w:r>
        <w:rPr>
          <w:rFonts w:ascii="Microsoft YaHei" w:hAnsi="Microsoft YaHei" w:eastAsia="Microsoft YaHei" w:cs="Microsoft YaHei"/>
        </w:rPr>
        <w:t>自此</w:t>
      </w:r>
      <w:r>
        <w:rPr>
          <w:rFonts w:ascii="Times New Roman" w:hAnsi="Times New Roman" w:eastAsia="Times New Roman" w:cs="Times New Roman"/>
        </w:rPr>
        <w:t>,</w:t>
      </w:r>
      <w:r>
        <w:rPr>
          <w:rFonts w:ascii="Microsoft YaHei" w:hAnsi="Microsoft YaHei" w:eastAsia="Microsoft YaHei" w:cs="Microsoft YaHei"/>
        </w:rPr>
        <w:t>伯特利住着一位老先知</w:t>
      </w:r>
      <w:r>
        <w:rPr>
          <w:rFonts w:ascii="Times New Roman" w:hAnsi="Times New Roman" w:eastAsia="Times New Roman" w:cs="Times New Roman"/>
        </w:rPr>
        <w:t>;</w:t>
      </w:r>
      <w:r>
        <w:rPr>
          <w:rFonts w:ascii="Microsoft YaHei" w:hAnsi="Microsoft YaHei" w:eastAsia="Microsoft YaHei" w:cs="Microsoft YaHei"/>
        </w:rPr>
        <w:t>他的儿子们前来</w:t>
      </w:r>
      <w:r>
        <w:rPr>
          <w:rFonts w:ascii="Times New Roman" w:hAnsi="Times New Roman" w:eastAsia="Times New Roman" w:cs="Times New Roman"/>
        </w:rPr>
        <w:t>,</w:t>
      </w:r>
      <w:r>
        <w:rPr>
          <w:rFonts w:ascii="Microsoft YaHei" w:hAnsi="Microsoft YaHei" w:eastAsia="Microsoft YaHei" w:cs="Microsoft YaHei"/>
        </w:rPr>
        <w:t>将那神人当日在伯特利所行的一切事都告诉了他</w:t>
      </w:r>
      <w:r>
        <w:rPr>
          <w:rFonts w:ascii="Times New Roman" w:hAnsi="Times New Roman" w:eastAsia="Times New Roman" w:cs="Times New Roman"/>
        </w:rPr>
        <w:t>;</w:t>
      </w:r>
      <w:r>
        <w:rPr>
          <w:rFonts w:ascii="Microsoft YaHei" w:hAnsi="Microsoft YaHei" w:eastAsia="Microsoft YaHei" w:cs="Microsoft YaHei"/>
        </w:rPr>
        <w:t>他对王所说的话</w:t>
      </w:r>
      <w:r>
        <w:rPr>
          <w:rFonts w:ascii="Times New Roman" w:hAnsi="Times New Roman" w:eastAsia="Times New Roman" w:cs="Times New Roman"/>
        </w:rPr>
        <w:t>,</w:t>
      </w:r>
      <w:r>
        <w:rPr>
          <w:rFonts w:ascii="Microsoft YaHei" w:hAnsi="Microsoft YaHei" w:eastAsia="Microsoft YaHei" w:cs="Microsoft YaHei"/>
        </w:rPr>
        <w:t>他们也都告诉了父亲</w:t>
      </w:r>
      <w:r>
        <w:rPr>
          <w:rFonts w:ascii="Times New Roman" w:hAnsi="Times New Roman" w:eastAsia="Times New Roman" w:cs="Times New Roman"/>
        </w:rPr>
        <w:t>.</w:t>
      </w:r>
      <w:r>
        <w:rPr>
          <w:rFonts w:ascii="Microsoft YaHei" w:hAnsi="Microsoft YaHei" w:eastAsia="Microsoft YaHei" w:cs="Microsoft YaHei"/>
        </w:rPr>
        <w:t>父亲对他们说</w:t>
      </w:r>
      <w:r>
        <w:rPr>
          <w:rFonts w:ascii="Times New Roman" w:hAnsi="Times New Roman" w:eastAsia="Times New Roman" w:cs="Times New Roman"/>
        </w:rPr>
        <w:t>,</w:t>
      </w:r>
      <w:r>
        <w:rPr>
          <w:rFonts w:ascii="Microsoft YaHei" w:hAnsi="Microsoft YaHei" w:eastAsia="Microsoft YaHei" w:cs="Microsoft YaHei"/>
        </w:rPr>
        <w:t>他走的是哪条路呢？因为他儿子们看见了那从犹大来的神人所走的路</w:t>
      </w:r>
      <w:r>
        <w:rPr>
          <w:rFonts w:ascii="Times New Roman" w:hAnsi="Times New Roman" w:eastAsia="Times New Roman" w:cs="Times New Roman"/>
        </w:rPr>
        <w:t>.</w:t>
      </w:r>
      <w:r>
        <w:rPr>
          <w:rFonts w:ascii="Microsoft YaHei" w:hAnsi="Microsoft YaHei" w:eastAsia="Microsoft YaHei" w:cs="Microsoft YaHei"/>
        </w:rPr>
        <w:t>老先知对儿子们说</w:t>
      </w:r>
      <w:r>
        <w:rPr>
          <w:rFonts w:ascii="Times New Roman" w:hAnsi="Times New Roman" w:eastAsia="Times New Roman" w:cs="Times New Roman"/>
        </w:rPr>
        <w:t>,</w:t>
      </w:r>
      <w:r>
        <w:rPr>
          <w:rFonts w:ascii="Microsoft YaHei" w:hAnsi="Microsoft YaHei" w:eastAsia="Microsoft YaHei" w:cs="Microsoft YaHei"/>
        </w:rPr>
        <w:t>你们为我备驴</w:t>
      </w:r>
      <w:r>
        <w:rPr>
          <w:rFonts w:ascii="Times New Roman" w:hAnsi="Times New Roman" w:eastAsia="Times New Roman" w:cs="Times New Roman"/>
        </w:rPr>
        <w:t>.</w:t>
      </w:r>
      <w:r>
        <w:rPr>
          <w:rFonts w:ascii="Microsoft YaHei" w:hAnsi="Microsoft YaHei" w:eastAsia="Microsoft YaHei" w:cs="Microsoft YaHei"/>
        </w:rPr>
        <w:t>于是他们为他备了驴</w:t>
      </w:r>
      <w:r>
        <w:rPr>
          <w:rFonts w:ascii="Times New Roman" w:hAnsi="Times New Roman" w:eastAsia="Times New Roman" w:cs="Times New Roman"/>
        </w:rPr>
        <w:t>,</w:t>
      </w:r>
      <w:r>
        <w:rPr>
          <w:rFonts w:ascii="Microsoft YaHei" w:hAnsi="Microsoft YaHei" w:eastAsia="Microsoft YaHei" w:cs="Microsoft YaHei"/>
        </w:rPr>
        <w:t>他就骑上</w:t>
      </w:r>
      <w:r>
        <w:rPr>
          <w:rFonts w:ascii="Times New Roman" w:hAnsi="Times New Roman" w:eastAsia="Times New Roman" w:cs="Times New Roman"/>
        </w:rPr>
        <w:t>,</w:t>
      </w:r>
      <w:r>
        <w:rPr>
          <w:rFonts w:ascii="Microsoft YaHei" w:hAnsi="Microsoft YaHei" w:eastAsia="Microsoft YaHei" w:cs="Microsoft YaHei"/>
        </w:rPr>
        <w:t>去追赶那神人</w:t>
      </w:r>
      <w:r>
        <w:rPr>
          <w:rFonts w:ascii="Times New Roman" w:hAnsi="Times New Roman" w:eastAsia="Times New Roman" w:cs="Times New Roman"/>
        </w:rPr>
        <w:t>,</w:t>
      </w:r>
      <w:r>
        <w:rPr>
          <w:rFonts w:ascii="Microsoft YaHei" w:hAnsi="Microsoft YaHei" w:eastAsia="Microsoft YaHei" w:cs="Microsoft YaHei"/>
        </w:rPr>
        <w:t>遇见他坐在一棵橡树下</w:t>
      </w:r>
      <w:r>
        <w:rPr>
          <w:rFonts w:ascii="Times New Roman" w:hAnsi="Times New Roman" w:eastAsia="Times New Roman" w:cs="Times New Roman"/>
        </w:rPr>
        <w:t>,</w:t>
      </w:r>
      <w:r>
        <w:rPr>
          <w:rFonts w:ascii="Microsoft YaHei" w:hAnsi="Microsoft YaHei" w:eastAsia="Microsoft YaHei" w:cs="Microsoft YaHei"/>
        </w:rPr>
        <w:t>就对他说</w:t>
      </w:r>
      <w:r>
        <w:rPr>
          <w:rFonts w:ascii="Times New Roman" w:hAnsi="Times New Roman" w:eastAsia="Times New Roman" w:cs="Times New Roman"/>
        </w:rPr>
        <w:t>,</w:t>
      </w:r>
      <w:r>
        <w:rPr>
          <w:rFonts w:ascii="Microsoft YaHei" w:hAnsi="Microsoft YaHei" w:eastAsia="Microsoft YaHei" w:cs="Microsoft YaHei"/>
        </w:rPr>
        <w:t>你是那从犹大来的神人吗？他说</w:t>
      </w:r>
      <w:r>
        <w:rPr>
          <w:rFonts w:ascii="Times New Roman" w:hAnsi="Times New Roman" w:eastAsia="Times New Roman" w:cs="Times New Roman"/>
        </w:rPr>
        <w:t>,</w:t>
      </w:r>
      <w:r>
        <w:rPr>
          <w:rFonts w:ascii="Microsoft YaHei" w:hAnsi="Microsoft YaHei" w:eastAsia="Microsoft YaHei" w:cs="Microsoft YaHei"/>
        </w:rPr>
        <w:t>我是</w:t>
      </w:r>
      <w:r>
        <w:rPr>
          <w:rFonts w:ascii="Times New Roman" w:hAnsi="Times New Roman" w:eastAsia="Times New Roman" w:cs="Times New Roman"/>
        </w:rPr>
        <w:t>.</w:t>
      </w:r>
      <w:r>
        <w:rPr>
          <w:rFonts w:ascii="Microsoft YaHei" w:hAnsi="Microsoft YaHei" w:eastAsia="Microsoft YaHei" w:cs="Microsoft YaHei"/>
        </w:rPr>
        <w:t>老先知对他说</w:t>
      </w:r>
      <w:r>
        <w:rPr>
          <w:rFonts w:ascii="Times New Roman" w:hAnsi="Times New Roman" w:eastAsia="Times New Roman" w:cs="Times New Roman"/>
        </w:rPr>
        <w:t>,</w:t>
      </w:r>
      <w:r>
        <w:rPr>
          <w:rFonts w:ascii="Microsoft YaHei" w:hAnsi="Microsoft YaHei" w:eastAsia="Microsoft YaHei" w:cs="Microsoft YaHei"/>
        </w:rPr>
        <w:t>请你同我回家吃饭</w:t>
      </w:r>
      <w:r>
        <w:rPr>
          <w:rFonts w:ascii="Times New Roman" w:hAnsi="Times New Roman" w:eastAsia="Times New Roman" w:cs="Times New Roman"/>
        </w:rPr>
        <w:t>.</w:t>
      </w:r>
      <w:r>
        <w:rPr>
          <w:rFonts w:ascii="Microsoft YaHei" w:hAnsi="Microsoft YaHei" w:eastAsia="Microsoft YaHei" w:cs="Microsoft YaHei"/>
        </w:rPr>
        <w:t>神人说</w:t>
      </w:r>
      <w:r>
        <w:rPr>
          <w:rFonts w:ascii="Times New Roman" w:hAnsi="Times New Roman" w:eastAsia="Times New Roman" w:cs="Times New Roman"/>
        </w:rPr>
        <w:t>,</w:t>
      </w:r>
      <w:r>
        <w:rPr>
          <w:rFonts w:ascii="Microsoft YaHei" w:hAnsi="Microsoft YaHei" w:eastAsia="Microsoft YaHei" w:cs="Microsoft YaHei"/>
        </w:rPr>
        <w:t>我不可同你回去</w:t>
      </w:r>
      <w:r>
        <w:rPr>
          <w:rFonts w:ascii="Times New Roman" w:hAnsi="Times New Roman" w:eastAsia="Times New Roman" w:cs="Times New Roman"/>
        </w:rPr>
        <w:t>,</w:t>
      </w:r>
      <w:r>
        <w:rPr>
          <w:rFonts w:ascii="Microsoft YaHei" w:hAnsi="Microsoft YaHei" w:eastAsia="Microsoft YaHei" w:cs="Microsoft YaHei"/>
        </w:rPr>
        <w:t>也不可同你进去</w:t>
      </w:r>
      <w:r>
        <w:rPr>
          <w:rFonts w:ascii="Times New Roman" w:hAnsi="Times New Roman" w:eastAsia="Times New Roman" w:cs="Times New Roman"/>
        </w:rPr>
        <w:t>;</w:t>
      </w:r>
      <w:r>
        <w:rPr>
          <w:rFonts w:ascii="Microsoft YaHei" w:hAnsi="Microsoft YaHei" w:eastAsia="Microsoft YaHei" w:cs="Microsoft YaHei"/>
        </w:rPr>
        <w:t>在这地方</w:t>
      </w:r>
      <w:r>
        <w:rPr>
          <w:rFonts w:ascii="Times New Roman" w:hAnsi="Times New Roman" w:eastAsia="Times New Roman" w:cs="Times New Roman"/>
        </w:rPr>
        <w:t>,</w:t>
      </w:r>
      <w:r>
        <w:rPr>
          <w:rFonts w:ascii="Microsoft YaHei" w:hAnsi="Microsoft YaHei" w:eastAsia="Microsoft YaHei" w:cs="Microsoft YaHei"/>
        </w:rPr>
        <w:t>我也不可与你吃饭喝水</w:t>
      </w:r>
      <w:r>
        <w:rPr>
          <w:rFonts w:ascii="Times New Roman" w:hAnsi="Times New Roman" w:eastAsia="Times New Roman" w:cs="Times New Roman"/>
        </w:rPr>
        <w:t>;</w:t>
      </w:r>
      <w:r>
        <w:rPr>
          <w:rFonts w:ascii="Microsoft YaHei" w:hAnsi="Microsoft YaHei" w:eastAsia="Microsoft YaHei" w:cs="Microsoft YaHei"/>
        </w:rPr>
        <w:t>因为有耶和华的话吩咐我说</w:t>
      </w:r>
      <w:r>
        <w:rPr>
          <w:rFonts w:ascii="Times New Roman" w:hAnsi="Times New Roman" w:eastAsia="Times New Roman" w:cs="Times New Roman"/>
        </w:rPr>
        <w:t>,</w:t>
      </w:r>
      <w:r>
        <w:rPr>
          <w:rFonts w:ascii="Microsoft YaHei" w:hAnsi="Microsoft YaHei" w:eastAsia="Microsoft YaHei" w:cs="Microsoft YaHei"/>
        </w:rPr>
        <w:t>你在那里不可吃饭</w:t>
      </w:r>
      <w:r>
        <w:rPr>
          <w:rFonts w:ascii="Times New Roman" w:hAnsi="Times New Roman" w:eastAsia="Times New Roman" w:cs="Times New Roman"/>
        </w:rPr>
        <w:t>,</w:t>
      </w:r>
      <w:r>
        <w:rPr>
          <w:rFonts w:ascii="Microsoft YaHei" w:hAnsi="Microsoft YaHei" w:eastAsia="Microsoft YaHei" w:cs="Microsoft YaHei"/>
        </w:rPr>
        <w:t>不可喝水</w:t>
      </w:r>
      <w:r>
        <w:rPr>
          <w:rFonts w:ascii="Times New Roman" w:hAnsi="Times New Roman" w:eastAsia="Times New Roman" w:cs="Times New Roman"/>
        </w:rPr>
        <w:t>,</w:t>
      </w:r>
      <w:r>
        <w:rPr>
          <w:rFonts w:ascii="Microsoft YaHei" w:hAnsi="Microsoft YaHei" w:eastAsia="Microsoft YaHei" w:cs="Microsoft YaHei"/>
        </w:rPr>
        <w:t>也不可从你来的原路回去</w:t>
      </w:r>
      <w:r>
        <w:rPr>
          <w:rFonts w:ascii="Times New Roman" w:hAnsi="Times New Roman" w:eastAsia="Times New Roman" w:cs="Times New Roman"/>
        </w:rPr>
        <w:t>.</w:t>
      </w:r>
      <w:r>
        <w:rPr>
          <w:rFonts w:ascii="Microsoft YaHei" w:hAnsi="Microsoft YaHei" w:eastAsia="Microsoft YaHei" w:cs="Microsoft YaHei"/>
        </w:rPr>
        <w:t>老先知对他说</w:t>
      </w:r>
      <w:r>
        <w:rPr>
          <w:rFonts w:ascii="Times New Roman" w:hAnsi="Times New Roman" w:eastAsia="Times New Roman" w:cs="Times New Roman"/>
        </w:rPr>
        <w:t>,</w:t>
      </w:r>
      <w:r>
        <w:rPr>
          <w:rFonts w:ascii="Microsoft YaHei" w:hAnsi="Microsoft YaHei" w:eastAsia="Microsoft YaHei" w:cs="Microsoft YaHei"/>
        </w:rPr>
        <w:t>我也是先知</w:t>
      </w:r>
      <w:r>
        <w:rPr>
          <w:rFonts w:ascii="Times New Roman" w:hAnsi="Times New Roman" w:eastAsia="Times New Roman" w:cs="Times New Roman"/>
        </w:rPr>
        <w:t>,</w:t>
      </w:r>
      <w:r>
        <w:rPr>
          <w:rFonts w:ascii="Microsoft YaHei" w:hAnsi="Microsoft YaHei" w:eastAsia="Microsoft YaHei" w:cs="Microsoft YaHei"/>
        </w:rPr>
        <w:t>和你一样</w:t>
      </w:r>
      <w:r>
        <w:rPr>
          <w:rFonts w:ascii="Times New Roman" w:hAnsi="Times New Roman" w:eastAsia="Times New Roman" w:cs="Times New Roman"/>
        </w:rPr>
        <w:t>;</w:t>
      </w:r>
      <w:r>
        <w:rPr>
          <w:rFonts w:ascii="Microsoft YaHei" w:hAnsi="Microsoft YaHei" w:eastAsia="Microsoft YaHei" w:cs="Microsoft YaHei"/>
        </w:rPr>
        <w:t>并且有天使奉耶和华的话对我说</w:t>
      </w:r>
      <w:r>
        <w:rPr>
          <w:rFonts w:ascii="Times New Roman" w:hAnsi="Times New Roman" w:eastAsia="Times New Roman" w:cs="Times New Roman"/>
        </w:rPr>
        <w:t>,</w:t>
      </w:r>
      <w:r>
        <w:rPr>
          <w:rFonts w:ascii="Microsoft YaHei" w:hAnsi="Microsoft YaHei" w:eastAsia="Microsoft YaHei" w:cs="Microsoft YaHei"/>
        </w:rPr>
        <w:t>你去把他带回你家</w:t>
      </w:r>
      <w:r>
        <w:rPr>
          <w:rFonts w:ascii="Times New Roman" w:hAnsi="Times New Roman" w:eastAsia="Times New Roman" w:cs="Times New Roman"/>
        </w:rPr>
        <w:t>,</w:t>
      </w:r>
      <w:r>
        <w:rPr>
          <w:rFonts w:ascii="Microsoft YaHei" w:hAnsi="Microsoft YaHei" w:eastAsia="Microsoft YaHei" w:cs="Microsoft YaHei"/>
        </w:rPr>
        <w:t>叫他吃饭喝水</w:t>
      </w:r>
      <w:r>
        <w:rPr>
          <w:rFonts w:ascii="Times New Roman" w:hAnsi="Times New Roman" w:eastAsia="Times New Roman" w:cs="Times New Roman"/>
        </w:rPr>
        <w:t>.</w:t>
      </w:r>
      <w:r>
        <w:rPr>
          <w:rFonts w:ascii="Microsoft YaHei" w:hAnsi="Microsoft YaHei" w:eastAsia="Microsoft YaHei" w:cs="Microsoft YaHei"/>
        </w:rPr>
        <w:t>只是这老先知是哄骗他</w:t>
      </w:r>
      <w:r>
        <w:rPr>
          <w:rFonts w:ascii="Times New Roman" w:hAnsi="Times New Roman" w:eastAsia="Times New Roman" w:cs="Times New Roman"/>
        </w:rPr>
        <w:t>.</w:t>
      </w:r>
      <w:r>
        <w:rPr>
          <w:rFonts w:ascii="Microsoft YaHei" w:hAnsi="Microsoft YaHei" w:eastAsia="Microsoft YaHei" w:cs="Microsoft YaHei"/>
        </w:rPr>
        <w:t>于是神人同他回去</w:t>
      </w:r>
      <w:r>
        <w:rPr>
          <w:rFonts w:ascii="Times New Roman" w:hAnsi="Times New Roman" w:eastAsia="Times New Roman" w:cs="Times New Roman"/>
        </w:rPr>
        <w:t>,</w:t>
      </w:r>
      <w:r>
        <w:rPr>
          <w:rFonts w:ascii="Microsoft YaHei" w:hAnsi="Microsoft YaHei" w:eastAsia="Microsoft YaHei" w:cs="Microsoft YaHei"/>
        </w:rPr>
        <w:t>在他家里吃饭喝水</w:t>
      </w:r>
      <w:r>
        <w:rPr>
          <w:rFonts w:ascii="Times New Roman" w:hAnsi="Times New Roman" w:eastAsia="Times New Roman" w:cs="Times New Roman"/>
        </w:rPr>
        <w:t>.</w:t>
      </w:r>
      <w:r>
        <w:rPr>
          <w:rFonts w:ascii="Microsoft YaHei" w:hAnsi="Microsoft YaHei" w:eastAsia="Microsoft YaHei" w:cs="Microsoft YaHei"/>
        </w:rPr>
        <w:t>列王纪上</w:t>
      </w:r>
      <w:r>
        <w:rPr>
          <w:rFonts w:ascii="Times New Roman" w:hAnsi="Times New Roman" w:eastAsia="Times New Roman" w:cs="Times New Roman"/>
        </w:rPr>
        <w:t xml:space="preserve"> 13:11–19.</w:t>
      </w:r>
    </w:p>
    <w:p>
      <w:pPr>
        <w:pStyle w:val="ArticleBody"/>
        <w:jc w:val="left"/>
      </w:pPr>
      <w:r>
        <w:rPr>
          <w:rFonts w:ascii="Times New Roman" w:hAnsi="Times New Roman" w:eastAsia="Times New Roman" w:cs="Times New Roman"/>
        </w:rPr>
        <w:t>Սամարիայի ստախոս մարգարեի հետ անհնազանդ մարգարեն կերավ ու խմեց, այսինքն՝ նա ընդունեց ուրացող մարգարեի պատգամը և մերժեց Տիրոջ պատգամը։ Այն պատգամը, որ նույն օրը հավատարմորեն հռչակել էր։ Նա լիովին գիտեր, որ չպետք է վերադառնար, սակայն, այնուամենայնիվ, այդպես արեց։ Քույր Ուայթը տեղեկացնում է մեզ, որ եթե «խաբեության և սուտ վկայության որդին ընդունվի մի եկեղեցու կողմից, որը մեծ լույս, մեծ ապացույց է ունեցել, ապա այդ եկեղեցին կմերժի այն պատգամը, որ Տերն ուղարկել է»։ Միլլերի շարժման պատմության մեջ առաջին հրեշտակը իր փառքով լուսավորել էր երկիրը։ 1840 թվականին առաջին հրեշտակի պատգամը հասցվեց աշխարհի բոլոր միսիոներական կայաններին։</w:t>
      </w:r>
    </w:p>
    <w:p>
      <w:pPr>
        <w:pStyle w:val="ArticleScripture"/>
        <w:jc w:val="left"/>
      </w:pPr>
      <w:r>
        <w:rPr>
          <w:rFonts w:ascii="Times New Roman" w:hAnsi="Times New Roman" w:eastAsia="Times New Roman" w:cs="Times New Roman"/>
        </w:rPr>
        <w:t>« La nouvelle de la proche venue du Seigneur dans la puissance et une grande gloire pour notre monde est la vérité, et, en 1840, de nombreuses voix s’élevèrent pour la proclamer. » Manuscript Releases, volume 9, 134.</w:t>
      </w:r>
    </w:p>
    <w:p>
      <w:pPr>
        <w:pStyle w:val="ArticleBody"/>
        <w:jc w:val="left"/>
      </w:pPr>
      <w:r>
        <w:rPr>
          <w:rFonts w:ascii="Times New Roman" w:hAnsi="Times New Roman" w:eastAsia="Times New Roman" w:cs="Times New Roman"/>
        </w:rPr>
        <w:t>Muda mfupi baadaye, Uadventisti wa Miller ulirudia “uongo” wa mbinu ya Uprotestanti ulioasi, na kuutupa “ujumbe wa Bwana” ambao Mungu alikuwa ametuma kupitia William Miller. Waliutupa ujumbe wa Musa kama ulivyowasilishwa na Eliya, na “uongo” uliopokelewa hapo mwanzo katika historia ya Millerite, unawakilisha “uongo” unaoaminiwa mwishoni; “uongo” unaoleta upotofu wenye nguvu juu ya Uadventisti wa Laodikia.</w:t>
      </w:r>
    </w:p>
    <w:p>
      <w:pPr>
        <w:pStyle w:val="ArticleScripture"/>
        <w:jc w:val="left"/>
      </w:pPr>
      <w:r>
        <w:rPr>
          <w:rFonts w:ascii="Times New Roman" w:hAnsi="Times New Roman" w:eastAsia="Times New Roman" w:cs="Times New Roman"/>
        </w:rPr>
        <w:t>Et avec toutes les séductions de l’iniquité parmi ceux qui périssent, parce qu’ils n’ont pas reçu l’amour de la vérité pour être sauvés. C’est pourquoi Dieu leur enverra une puissance d’égarement, afin qu’ils croient au mensonge, afin que tous ceux qui n’ont pas cru à la vérité, mais qui ont pris plaisir à l’iniquité, soient condamnés. 2 Thessaloniciens 2:10–12.</w:t>
      </w:r>
    </w:p>
    <w:p>
      <w:pPr>
        <w:pStyle w:val="ArticleBody"/>
        <w:jc w:val="left"/>
      </w:pPr>
      <w:r>
        <w:rPr>
          <w:rFonts w:ascii="Times New Roman" w:hAnsi="Times New Roman" w:eastAsia="Times New Roman" w:cs="Times New Roman"/>
        </w:rPr>
        <w:t>Nous nous efforçons de mettre en évidence le rôle d’Élie comme symbole en rapport avec les histoires parallèles de la corne du protestantisme et de la corne du républicanisme durant la période où règne le sixième royaume de la prophétie biblique. La difficulté à rassembler prophétiquement tous les aspects de 1863, du moins pour moi, réside dans les diverses lignes interdépendantes qui touchent à la notion de « logique circulaire ». Une logique directe est toujours la meilleure approche, mais discerner les vérités divines et les relations que ces vérités entretiennent entre elles est une œuvre difficile, car elles se trouvent dans la Bible « çà un peu et là un peu ».</w:t>
      </w:r>
    </w:p>
    <w:p>
      <w:pPr>
        <w:pStyle w:val="ArticleScripture"/>
        <w:jc w:val="left"/>
      </w:pPr>
      <w:r>
        <w:rPr>
          <w:rFonts w:ascii="Times New Roman" w:hAnsi="Times New Roman" w:eastAsia="Times New Roman" w:cs="Times New Roman"/>
        </w:rPr>
        <w:t>Ni nani atakayemfundisha maarifa? naye ni nani atakayemfahamisha mafundisho? Ni wale walioachishwa maziwa, na kuondolewa vifuani. Kwa maana amri yapasa kuwa juu ya amri, amri juu ya amri; mstari juu ya mstari, mstari juu ya mstari; hapa kidogo, na pale kidogo. Isaya 28:9, 10.</w:t>
      </w:r>
    </w:p>
    <w:p>
      <w:pPr>
        <w:pStyle w:val="ArticleBody"/>
        <w:jc w:val="left"/>
      </w:pPr>
      <w:r>
        <w:rPr>
          <w:rFonts w:ascii="Times New Roman" w:hAnsi="Times New Roman" w:eastAsia="Times New Roman" w:cs="Times New Roman"/>
        </w:rPr>
        <w:t>Igin korroc ay maysa met a narigat nga aramid no dagiti tudtudoenyo a bumasa ket pakairamanan dagidiay nga am-ammoda iti kangrunaan a kinapudno a pagsasaoanyo, ngem dagiti dadduma ket baro pay laeng kadagitoy amin. Amin a kasla amin dagiti kinapudno a kayatko a mangted iti maysa a pangkita a kabuklan iti daytoy nga artikulo, mabirukan idiay dagiti Tablada ni Habakkuk. Tapno saanak a kasla aguni nga agar-aramatak iti “naliklikan a lohika,” ibagak kadakayo iti mapanantayo, sakbay a mapantayo iti dayta.</w:t>
      </w:r>
    </w:p>
    <w:p>
      <w:pPr>
        <w:pStyle w:val="ArticleBody"/>
        <w:jc w:val="left"/>
      </w:pPr>
      <w:r>
        <w:rPr>
          <w:rFonts w:ascii="Times New Roman" w:hAnsi="Times New Roman" w:eastAsia="Times New Roman" w:cs="Times New Roman"/>
        </w:rPr>
        <w:t>En 1863, l’adventisme millérite laodicéen érigea une image de jalousie. L’image de jalousie représente la première des quatre générations de l’adventisme laodicéen.</w:t>
      </w:r>
    </w:p>
    <w:p>
      <w:pPr>
        <w:pStyle w:val="ArticleScripture"/>
        <w:jc w:val="left"/>
      </w:pPr>
      <w:r>
        <w:rPr>
          <w:rFonts w:ascii="Times New Roman" w:hAnsi="Times New Roman" w:eastAsia="Times New Roman" w:cs="Times New Roman"/>
        </w:rPr>
        <w:t>Afei na ɔka kyerɛɛ me sɛ, Ɔdesani ba, ma w’ani so afei kyerɛ atifi fam. Enti memaa m’ani so kyerɛɛ atifi fam, na hwɛ, atifi fam wɔ afɔremuka no pon ano no, ninkutwe honi yi wɔ ɔkwan no ano. Hesekiel 8:5.</w:t>
      </w:r>
    </w:p>
    <w:p>
      <w:pPr>
        <w:pStyle w:val="ArticleBody"/>
        <w:jc w:val="left"/>
      </w:pPr>
      <w:r>
        <w:rPr>
          <w:rFonts w:ascii="Times New Roman" w:hAnsi="Times New Roman" w:eastAsia="Times New Roman" w:cs="Times New Roman"/>
        </w:rPr>
        <w:t>أربعُ أجيالِ كنيسةِ الأدفنتستِ السبتيين مُمثَّلةٌ في مواضعَ متعدِّدةٍ من الكتاب المقدّس، غيرَ أنّني أستخدم حزقيالَ الثامنَ بوصفِه نقطةَ المرجعِ الرئيسة. وسببُ ذلك أنّ الإصحاحَ الثامنَ يفضي إلى الإصحاحِ التاسع. ففي حزقيالَ التاسعِ تُصوَّرُ عمليةُ ختمِ المئةِ والأربعةِ والأربعينَ ألفًا، وفي الشهادات، المجلّد الخامس، تُحدِّدُ الأختُ وايت هذه الحقيقةَ بوضوح. وفي تعليقاتِ الأختِ وايت تتناولُ بجلاءٍ فئتَين من العابدين في أورشليم حينَ يقعُ الختم. ويفعلُ حزقيالُ الأمرَ نفسه، أمّا الفئةُ التي لا تنالُ الختمَ فتُمثَّلُ في الإصحاحِ الثامن.</w:t>
      </w:r>
    </w:p>
    <w:p>
      <w:pPr>
        <w:pStyle w:val="ArticleScripture"/>
        <w:jc w:val="left"/>
      </w:pPr>
      <w:r>
        <w:rPr>
          <w:rFonts w:ascii="Times New Roman" w:hAnsi="Times New Roman" w:eastAsia="Times New Roman" w:cs="Times New Roman"/>
        </w:rPr>
        <w:t>«Le groupe de ceux qui ne se sentent pas attristés de leur propre déchéance spirituelle, ni ne pleurent sur les péchés des autres, sera laissé sans le sceau de Dieu. Le Seigneur donne cet ordre à Ses messagers, les hommes ayant en main des armes de destruction : “Passez après lui par la ville, et frappez ; que votre œil soit sans épargne, et n’ayez point de pitié : tuez, détruisez vieillards et jeunes gens, vierges, petits enfants et femmes ; mais n’approchez d’aucun homme sur qui est la marque ; et commencez par Mon sanctuaire. Ils commencèrent donc par les anciens qui étaient devant la maison.”»</w:t>
      </w:r>
    </w:p>
    <w:p>
      <w:pPr>
        <w:pStyle w:val="ArticleScripture"/>
        <w:jc w:val="left"/>
      </w:pPr>
      <w:r>
        <w:rPr>
          <w:rFonts w:ascii="Times New Roman" w:hAnsi="Times New Roman" w:eastAsia="Times New Roman" w:cs="Times New Roman"/>
        </w:rPr>
        <w:t>“Hier sehen wir, dass die Gemeinde — das Heiligtum des Herrn — die erste war, die den Schlag des Zornes Gottes zu spüren bekam. Die alten Männer, denen Gott großes Licht gegeben hatte und die als Hüter der geistlichen Belange des Volkes dagestanden hatten, hatten das ihnen anvertraute Gut verraten. Sie hatten den Standpunkt eingenommen, dass wir nicht nach Wundern und der auffälligen Offenbarung der Macht Gottes zu suchen brauchten wie in früheren Tagen. Die Zeiten haben sich geändert. Diese Worte stärken ihren Unglauben, und sie sagen: Der Herr wird weder Gutes tun noch Böses. Er ist zu barmherzig, um sein Volk im Gericht heimzusuchen. So ist „Friede und Sicherheit“ der Ruf von Männern, die niemals wieder ihre Stimme wie eine Posaune erheben werden, um dem Volke Gottes seine Übertretungen und dem Hause Jakob seine Sünden zu zeigen. Diese stummen Hunde, die nicht bellen wollten, sind es, die die gerechte Vergeltung eines beleidigten Gottes zu spüren bekommen. Männer, Jungfrauen und kleine Kinder kommen alle miteinander um.” Testimonies, Band 5, 211.</w:t>
      </w:r>
    </w:p>
    <w:p>
      <w:pPr>
        <w:pStyle w:val="ArticleBody"/>
        <w:jc w:val="left"/>
      </w:pPr>
      <w:r>
        <w:rPr>
          <w:rFonts w:ascii="Times New Roman" w:hAnsi="Times New Roman" w:eastAsia="Times New Roman" w:cs="Times New Roman"/>
        </w:rPr>
        <w:t>Nkapitulo ea borobeli e hlalosa ba leng Jerusalema—“kereke”—bao molokong oa bone ho e mene ba emeloang ba inamela letsatsi.</w:t>
      </w:r>
    </w:p>
    <w:p>
      <w:pPr>
        <w:pStyle w:val="ArticleScripture"/>
        <w:jc w:val="left"/>
      </w:pPr>
      <w:r>
        <w:rPr>
          <w:rFonts w:ascii="Times New Roman" w:hAnsi="Times New Roman" w:eastAsia="Times New Roman" w:cs="Times New Roman"/>
        </w:rPr>
        <w:t>Wa ganbiilaa gara oobdii keessaa mana Waaqayyoo isa Gooftaa, kunoo immoo balbala mana qulqullummaa Gooftaa duratti, iddoo golgaa fi iddoo aarsaa gidduutti, namoonni gara shan fi digdama taʼan turan; dugdi isaanii gara mana qulqullummaa Gooftaa garagalee, fuulli isaanii immoo gara bahaa garagalee ture; isaanis gara bahaa ilaaluudhaan aduu waaqeffachaa turan. Innis naan jedhe, Yaa ilma namaa, kana argitee? Maatii Yihudaadhaaf jibbisiisota isaan asitti hojjetan kana hojjechuun waan salphaadhaa? Isaan biyya hamaa guutaniiru, deebiʼaniis akka na aarsaniif hojjetaniiru; kunoo, damee funyaan isaanii dura kaaʼu. Kanaaf anis dheekkamsa kootiin isaanitti nan hojjedha; iji koo hin qusatu, anis hin mararfadhu; yoo sagalee guddaadhaan gurra koo keessatti iyyan iyyatan iyyuu ani isaan hin dhagaʼu. Hisqiʼeel 8:16–18.</w:t>
      </w:r>
    </w:p>
    <w:p>
      <w:pPr>
        <w:pStyle w:val="ArticleBody"/>
        <w:jc w:val="left"/>
      </w:pPr>
      <w:r>
        <w:rPr>
          <w:rFonts w:ascii="Times New Roman" w:hAnsi="Times New Roman" w:eastAsia="Times New Roman" w:cs="Times New Roman"/>
        </w:rPr>
        <w:t>“</w:t>
      </w:r>
      <w:r>
        <w:rPr>
          <w:rFonts w:ascii="Nirmala UI" w:hAnsi="Nirmala UI" w:eastAsia="Nirmala UI" w:cs="Nirmala UI"/>
        </w:rPr>
        <w:t>कुम्मी</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तबुंग</w:t>
      </w:r>
      <w:r>
        <w:rPr>
          <w:rFonts w:ascii="Times New Roman" w:hAnsi="Times New Roman" w:eastAsia="Times New Roman" w:cs="Times New Roman"/>
        </w:rPr>
        <w:t xml:space="preserve"> </w:t>
      </w:r>
      <w:r>
        <w:rPr>
          <w:rFonts w:ascii="Nirmala UI" w:hAnsi="Nirmala UI" w:eastAsia="Nirmala UI" w:cs="Nirmala UI"/>
        </w:rPr>
        <w:t>भुराख्</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थरथन्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सुंगनाइदेर</w:t>
      </w:r>
      <w:r>
        <w:rPr>
          <w:rFonts w:ascii="Times New Roman" w:hAnsi="Times New Roman" w:eastAsia="Times New Roman" w:cs="Times New Roman"/>
        </w:rPr>
        <w:t xml:space="preserve"> </w:t>
      </w:r>
      <w:r>
        <w:rPr>
          <w:rFonts w:ascii="Nirmala UI" w:hAnsi="Nirmala UI" w:eastAsia="Nirmala UI" w:cs="Nirmala UI"/>
        </w:rPr>
        <w:t>रोसनाव</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w:t>
      </w:r>
      <w:r>
        <w:rPr>
          <w:rFonts w:ascii="Nirmala UI" w:hAnsi="Nirmala UI" w:eastAsia="Nirmala UI" w:cs="Nirmala UI"/>
        </w:rPr>
        <w:t>निसानि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लिरगिरि</w:t>
      </w:r>
      <w:r>
        <w:rPr>
          <w:rFonts w:ascii="Times New Roman" w:hAnsi="Times New Roman" w:eastAsia="Times New Roman" w:cs="Times New Roman"/>
        </w:rPr>
        <w:t xml:space="preserve"> </w:t>
      </w:r>
      <w:r>
        <w:rPr>
          <w:rFonts w:ascii="Nirmala UI" w:hAnsi="Nirmala UI" w:eastAsia="Nirmala UI" w:cs="Nirmala UI"/>
        </w:rPr>
        <w:t>दोंसोनारि</w:t>
      </w:r>
      <w:r>
        <w:rPr>
          <w:rFonts w:ascii="Times New Roman" w:hAnsi="Times New Roman" w:eastAsia="Times New Roman" w:cs="Times New Roman"/>
        </w:rPr>
        <w:t xml:space="preserve"> </w:t>
      </w:r>
      <w:r>
        <w:rPr>
          <w:rFonts w:ascii="Nirmala UI" w:hAnsi="Nirmala UI" w:eastAsia="Nirmala UI" w:cs="Nirmala UI"/>
        </w:rPr>
        <w:t>खाबुफोर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सान्नोन्</w:t>
      </w:r>
      <w:r>
        <w:rPr>
          <w:rFonts w:ascii="Times New Roman" w:hAnsi="Times New Roman" w:eastAsia="Times New Roman" w:cs="Times New Roman"/>
        </w:rPr>
        <w:t xml:space="preserve"> </w:t>
      </w:r>
      <w:r>
        <w:rPr>
          <w:rFonts w:ascii="Nirmala UI" w:hAnsi="Nirmala UI" w:eastAsia="Nirmala UI" w:cs="Nirmala UI"/>
        </w:rPr>
        <w:t>हारिनाय</w:t>
      </w:r>
      <w:r>
        <w:rPr>
          <w:rFonts w:ascii="Times New Roman" w:hAnsi="Times New Roman" w:eastAsia="Times New Roman" w:cs="Times New Roman"/>
        </w:rPr>
        <w:t xml:space="preserve"> </w:t>
      </w:r>
      <w:r>
        <w:rPr>
          <w:rFonts w:ascii="Nirmala UI" w:hAnsi="Nirmala UI" w:eastAsia="Nirmala UI" w:cs="Nirmala UI"/>
        </w:rPr>
        <w:t>गुदुहुनि</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गोसोब्रा</w:t>
      </w:r>
      <w:r>
        <w:rPr>
          <w:rFonts w:ascii="Times New Roman" w:hAnsi="Times New Roman" w:eastAsia="Times New Roman" w:cs="Times New Roman"/>
        </w:rPr>
        <w:t xml:space="preserve"> </w:t>
      </w:r>
      <w:r>
        <w:rPr>
          <w:rFonts w:ascii="Nirmala UI" w:hAnsi="Nirmala UI" w:eastAsia="Nirmala UI" w:cs="Nirmala UI"/>
        </w:rPr>
        <w:t>बुहुमानि</w:t>
      </w:r>
      <w:r>
        <w:rPr>
          <w:rFonts w:ascii="Times New Roman" w:hAnsi="Times New Roman" w:eastAsia="Times New Roman" w:cs="Times New Roman"/>
        </w:rPr>
        <w:t xml:space="preserve"> “</w:t>
      </w:r>
      <w:r>
        <w:rPr>
          <w:rFonts w:ascii="Nirmala UI" w:hAnsi="Nirmala UI" w:eastAsia="Nirmala UI" w:cs="Nirmala UI"/>
        </w:rPr>
        <w:t>रिसाइबाय</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रविबारनि</w:t>
      </w:r>
      <w:r>
        <w:rPr>
          <w:rFonts w:ascii="Times New Roman" w:hAnsi="Times New Roman" w:eastAsia="Times New Roman" w:cs="Times New Roman"/>
        </w:rPr>
        <w:t xml:space="preserve"> </w:t>
      </w:r>
      <w:r>
        <w:rPr>
          <w:rFonts w:ascii="Nirmala UI" w:hAnsi="Nirmala UI" w:eastAsia="Nirmala UI" w:cs="Nirmala UI"/>
        </w:rPr>
        <w:t>आइनखौ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प्रोफेटफोरा</w:t>
      </w:r>
      <w:r>
        <w:rPr>
          <w:rFonts w:ascii="Times New Roman" w:hAnsi="Times New Roman" w:eastAsia="Times New Roman" w:cs="Times New Roman"/>
        </w:rPr>
        <w:t xml:space="preserve"> </w:t>
      </w:r>
      <w:r>
        <w:rPr>
          <w:rFonts w:ascii="Nirmala UI" w:hAnsi="Nirmala UI" w:eastAsia="Nirmala UI" w:cs="Nirmala UI"/>
        </w:rPr>
        <w:t>साम्फोरगोनाय</w:t>
      </w:r>
      <w:r>
        <w:rPr>
          <w:rFonts w:ascii="Times New Roman" w:hAnsi="Times New Roman" w:eastAsia="Times New Roman" w:cs="Times New Roman"/>
        </w:rPr>
        <w:t xml:space="preserve"> “</w:t>
      </w:r>
      <w:r>
        <w:rPr>
          <w:rFonts w:ascii="Nirmala UI" w:hAnsi="Nirmala UI" w:eastAsia="Nirmala UI" w:cs="Nirmala UI"/>
        </w:rPr>
        <w:t>रिसाइबायनि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सायोनि</w:t>
      </w:r>
      <w:r>
        <w:rPr>
          <w:rFonts w:ascii="Times New Roman" w:hAnsi="Times New Roman" w:eastAsia="Times New Roman" w:cs="Times New Roman"/>
        </w:rPr>
        <w:t xml:space="preserve"> </w:t>
      </w:r>
      <w:r>
        <w:rPr>
          <w:rFonts w:ascii="Nirmala UI" w:hAnsi="Nirmala UI" w:eastAsia="Nirmala UI" w:cs="Nirmala UI"/>
        </w:rPr>
        <w:t>सराइफोरखौ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मोननायफोरनि</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कियनो</w:t>
      </w:r>
      <w:r>
        <w:rPr>
          <w:rFonts w:ascii="Times New Roman" w:hAnsi="Times New Roman" w:eastAsia="Times New Roman" w:cs="Times New Roman"/>
        </w:rPr>
        <w:t xml:space="preserve"> </w:t>
      </w:r>
      <w:r>
        <w:rPr>
          <w:rFonts w:ascii="Nirmala UI" w:hAnsi="Nirmala UI" w:eastAsia="Nirmala UI" w:cs="Nirmala UI"/>
        </w:rPr>
        <w:t>इयै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आठनि</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फिनाव</w:t>
      </w:r>
      <w:r>
        <w:rPr>
          <w:rFonts w:ascii="Times New Roman" w:hAnsi="Times New Roman" w:eastAsia="Times New Roman" w:cs="Times New Roman"/>
        </w:rPr>
        <w:t xml:space="preserve"> </w:t>
      </w:r>
      <w:r>
        <w:rPr>
          <w:rFonts w:ascii="Nirmala UI" w:hAnsi="Nirmala UI" w:eastAsia="Nirmala UI" w:cs="Nirmala UI"/>
        </w:rPr>
        <w:t>बेसेनबाय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फुलुंगथिगोनाय</w:t>
      </w:r>
      <w:r>
        <w:rPr>
          <w:rFonts w:ascii="Times New Roman" w:hAnsi="Times New Roman" w:eastAsia="Times New Roman" w:cs="Times New Roman"/>
        </w:rPr>
        <w:t xml:space="preserve"> </w:t>
      </w:r>
      <w:r>
        <w:rPr>
          <w:rFonts w:ascii="Nirmala UI" w:hAnsi="Nirmala UI" w:eastAsia="Nirmala UI" w:cs="Nirmala UI"/>
        </w:rPr>
        <w:t>नङा।</w:t>
      </w:r>
    </w:p>
    <w:p>
      <w:pPr>
        <w:pStyle w:val="ArticleScripture"/>
        <w:jc w:val="left"/>
      </w:pPr>
      <w:r>
        <w:rPr>
          <w:rFonts w:ascii="Times New Roman" w:hAnsi="Times New Roman" w:eastAsia="Times New Roman" w:cs="Times New Roman"/>
        </w:rPr>
        <w:t>« Lu scelament de servitores de Deo [Revelation sept] es le mesme que esseva monstrate a Ezechiel in vision. » Testimonies to Ministers, 445.</w:t>
      </w:r>
    </w:p>
    <w:p>
      <w:pPr>
        <w:pStyle w:val="ArticleBody"/>
        <w:jc w:val="left"/>
      </w:pPr>
      <w:r>
        <w:rPr>
          <w:rFonts w:ascii="Times New Roman" w:hAnsi="Times New Roman" w:eastAsia="Times New Roman" w:cs="Times New Roman"/>
        </w:rPr>
        <w:t>Em 1863, a primeira geração do Adventismo laodiceano iniciou sua peregrinação pelo deserto. A história profética que identifica a imagem de ciúmes em 1863 era o bezerro de ouro de Arão. As características proféticas do bezerro de ouro são que ele era a imagem de uma besta, e era de ouro. O ouro é o símbolo de Babilônia, de modo que o bezerro de ouro de Arão era a imagem da besta de Babilônia. A imagem da besta é definida unicamente como a combinação de igreja e Estado, com a igreja no controle dessa relação.</w:t>
      </w:r>
    </w:p>
    <w:p>
      <w:pPr>
        <w:pStyle w:val="ArticleScripture"/>
        <w:jc w:val="left"/>
      </w:pPr>
      <w:r>
        <w:rPr>
          <w:rFonts w:ascii="Times New Roman" w:hAnsi="Times New Roman" w:eastAsia="Times New Roman" w:cs="Times New Roman"/>
        </w:rPr>
        <w:t>“Ami na ‘mfonini ya nyama’ ezali nini? mpe ekosalema ndenge nini? Mfonini yango esalemi na nyama oyo ezalaki na maseke mibale, mpe ezali mfonini ya nyama. Lisusu babengaka yango mfonini ya nyama. Boye, mpo na koyeba ndenge nini mfonini yango ezali mpe ndenge nini esengeli kosalema, tosengeli koyekola bizaleli ya nyama yango moko—bopapa.</w:t>
      </w:r>
    </w:p>
    <w:p>
      <w:pPr>
        <w:pStyle w:val="ArticleScripture"/>
        <w:jc w:val="left"/>
      </w:pPr>
      <w:r>
        <w:rPr>
          <w:rFonts w:ascii="Times New Roman" w:hAnsi="Times New Roman" w:eastAsia="Times New Roman" w:cs="Times New Roman"/>
        </w:rPr>
        <w:t>«عندما فسدت الكنيسة الأولى بانحرافها عن بساطة الإنجيل وقبولها الطقوس والعادات الوثنية، فقدت روح الله وقوته؛ ولكي تسيطر على ضمائر الناس، التمست معونة السلطة الزمنية. وكانت النتيجة هي البابوية، أي كنيسة سيطرت على سلطة الدولة واستخدمتها لتحقيق مقاصدها الخاصة، ولا سيما لمعاقبة “الهرطقة”. ولكي تُنشئ الولايات المتحدة صورة للوحش، لا بدّ أن تسيطر السلطة الدينية على الحكومة المدنية إلى حدّ تُستخدم فيه سلطة الدولة أيضًا من قِبل الكنيسة لإنجاز مقاصدها الخاصة.» الصراع العظيم، 443.</w:t>
      </w:r>
    </w:p>
    <w:p>
      <w:pPr>
        <w:pStyle w:val="ArticleBody"/>
        <w:jc w:val="left"/>
      </w:pPr>
      <w:r>
        <w:rPr>
          <w:rFonts w:ascii="Times New Roman" w:hAnsi="Times New Roman" w:eastAsia="Times New Roman" w:cs="Times New Roman"/>
        </w:rPr>
        <w:t>Ankɔlɔfɛ a Aaron sii no, wɔsii no bere a na Mose regye Mmara Nsɛm Du no. Mmara no mu nea ɛto so abien no bara ahoni som, na ɛka Onyankopɔn su ho nkyerɛkyerɛ bi fã, bere a ɛda no adi sɛ Onyankopɔn yɛ Onyankopɔn a ɔyɛ ninkuntwe.</w:t>
      </w:r>
    </w:p>
    <w:p>
      <w:pPr>
        <w:pStyle w:val="ArticleScripture"/>
        <w:jc w:val="left"/>
      </w:pP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ਚੀਜ਼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ਸੂਰਤ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ਪਾਣੀ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ਬਣਾਈਂ।</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ਨਮਸਕਾਰ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ਈਰਖਾਲੂ</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ਪਿਉਆਂ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ਅਣਆਗਿਆਕਾਰੀ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ਦੰਡ</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ਪ੍ਰੇਮ</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ਮੇਰੀਆਂ</w:t>
      </w:r>
      <w:r>
        <w:rPr>
          <w:rFonts w:ascii="Times New Roman" w:hAnsi="Times New Roman" w:eastAsia="Times New Roman" w:cs="Times New Roman"/>
        </w:rPr>
        <w:t xml:space="preserve"> </w:t>
      </w:r>
      <w:r>
        <w:rPr>
          <w:rFonts w:ascii="Nirmala UI" w:hAnsi="Nirmala UI" w:eastAsia="Nirmala UI" w:cs="Nirmala UI"/>
        </w:rPr>
        <w:t>ਆਗਿਆਵਾਂ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ਦਇਆ</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ਕੂਚ</w:t>
      </w:r>
      <w:r>
        <w:rPr>
          <w:rFonts w:ascii="Times New Roman" w:hAnsi="Times New Roman" w:eastAsia="Times New Roman" w:cs="Times New Roman"/>
        </w:rPr>
        <w:t xml:space="preserve"> 20:4–6.</w:t>
      </w:r>
    </w:p>
    <w:p>
      <w:pPr>
        <w:pStyle w:val="ArticleBody"/>
        <w:jc w:val="left"/>
      </w:pPr>
      <w:r>
        <w:rPr>
          <w:rFonts w:ascii="Times New Roman" w:hAnsi="Times New Roman" w:eastAsia="Times New Roman" w:cs="Times New Roman"/>
        </w:rPr>
        <w:t>Η εικόνα του χρυσού μόσχου του Ααρών, ως είδωλο, αποτελεί εικόνα ζηλοτυπίας, διότι προκάλεσε τη δίκαιη αγανάκτηση που ανάγκασε τον Μωυσή να ρίψει κάτω και να συντρίψει τις πρώτες δύο πλάκες των Δέκα Εντολών. Προτιθέμεθα να δείξουμε ότι το πλαστό διάγραμμα του 1863 παριστανόταν από τον χρυσό μόσχο του Ααρών. Η ζηλοτυπία του Θεού εκδηλώθηκε εναντίον του χρυσού μόσχου του Ααρών, διότι ο χρυσός μόσχος παρίστανε ψευδή θεό. Ο μόσχος ήταν η παραποιημένη παράσταση του Θεού. Ο Ααρών διακήρυξε ότι παρίστανε τους θεούς που τους είχαν ελευθερώσει από την αιγυπτιακή δουλεία. Οι δύο πλάκες που συνέτριψε ο Μωυσής σε εκείνη ακριβώς την ιστορία ήταν «αντίγραφο» του χαρακτήρα του αληθινού Θεού, του Θεού που πράγματι τους είχε εξαγάγει από την Αίγυπτο. Το πλαστό διάγραμμα που κατασκευάστηκε το 1863 είναι εικόνα ζηλοτυπίας, διότι συνέτριψε τις δύο πλάκες του δευτέρου κεφαλαίου του Αββακούμ, αφαιρώντας τους επτά καιρούς του όρκου του Μωυσή.</w:t>
      </w:r>
    </w:p>
    <w:p>
      <w:pPr>
        <w:pStyle w:val="ArticleScripture"/>
        <w:jc w:val="left"/>
      </w:pPr>
      <w:r>
        <w:rPr>
          <w:rFonts w:ascii="Times New Roman" w:hAnsi="Times New Roman" w:eastAsia="Times New Roman" w:cs="Times New Roman"/>
        </w:rPr>
        <w:t>«Видях, че картата от 1843 г. бе направлявана от ръката на Господа и че не бива да бъде изменяна; че числата бяха такива, каквито Той желаеше да бъдат; че ръката Му бе над тях и скриваше грешка в някои от числата, така че никой не можеше да я види, докато ръката Му не бе отстранена.» Early Writings, 74, 75.</w:t>
      </w:r>
    </w:p>
    <w:p>
      <w:pPr>
        <w:pStyle w:val="ArticleBody"/>
        <w:jc w:val="left"/>
      </w:pPr>
      <w:r>
        <w:rPr>
          <w:rFonts w:ascii="Times New Roman" w:hAnsi="Times New Roman" w:eastAsia="Times New Roman" w:cs="Times New Roman"/>
        </w:rPr>
        <w:t>Ellen White, par ailleurs, ajoute au commandement de ne pas modifier la carte de 1843 la précision suivante : « si ce n’est par inspiration ».</w:t>
      </w:r>
    </w:p>
    <w:p>
      <w:pPr>
        <w:pStyle w:val="ArticleScripture"/>
        <w:jc w:val="left"/>
      </w:pPr>
      <w:r>
        <w:rPr>
          <w:rFonts w:ascii="Times New Roman" w:hAnsi="Times New Roman" w:eastAsia="Times New Roman" w:cs="Times New Roman"/>
        </w:rPr>
        <w:t>«Ман дидам, ки нақшаи кӯҳна аз ҷониби Худованд роҳнамоӣ шуда буд, ва ҳеҷ рақаме дар он набояд тағйир дода шавад, магар ба воситаи илҳом. Дидам, ки рақамҳои нақша ҳамон гуна буданд, ки Худо мехостанд, ва дасти Ӯ бар он буд ва иштибоҳеро дар баъзе аз рақамҳо пинҳон дошта буд, то ҳеҷ кас онро набинад, то даме ки дасти Ӯ бардошта шавад». Spalding and Magan, 2.</w:t>
      </w:r>
    </w:p>
    <w:p>
      <w:pPr>
        <w:pStyle w:val="ArticleBody"/>
        <w:jc w:val="left"/>
      </w:pPr>
      <w:r>
        <w:rPr>
          <w:rFonts w:ascii="Nirmala UI" w:hAnsi="Nirmala UI" w:eastAsia="Nirmala UI" w:cs="Nirmala UI"/>
        </w:rPr>
        <w:t>જેમ્સ</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એલન</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ઓટિસ</w:t>
      </w:r>
      <w:r>
        <w:rPr>
          <w:rFonts w:ascii="Times New Roman" w:hAnsi="Times New Roman" w:eastAsia="Times New Roman" w:cs="Times New Roman"/>
        </w:rPr>
        <w:t xml:space="preserve"> </w:t>
      </w:r>
      <w:r>
        <w:rPr>
          <w:rFonts w:ascii="Nirmala UI" w:hAnsi="Nirmala UI" w:eastAsia="Nirmala UI" w:cs="Nirmala UI"/>
        </w:rPr>
        <w:t>નિકોલના</w:t>
      </w:r>
      <w:r>
        <w:rPr>
          <w:rFonts w:ascii="Times New Roman" w:hAnsi="Times New Roman" w:eastAsia="Times New Roman" w:cs="Times New Roman"/>
        </w:rPr>
        <w:t xml:space="preserve"> </w:t>
      </w:r>
      <w:r>
        <w:rPr>
          <w:rFonts w:ascii="Nirmala UI" w:hAnsi="Nirmala UI" w:eastAsia="Nirmala UI" w:cs="Nirmala UI"/>
        </w:rPr>
        <w:t>કુટુંબ</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રહેતા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નિકોલના</w:t>
      </w:r>
      <w:r>
        <w:rPr>
          <w:rFonts w:ascii="Times New Roman" w:hAnsi="Times New Roman" w:eastAsia="Times New Roman" w:cs="Times New Roman"/>
        </w:rPr>
        <w:t xml:space="preserve"> </w:t>
      </w:r>
      <w:r>
        <w:rPr>
          <w:rFonts w:ascii="Nirmala UI" w:hAnsi="Nirmala UI" w:eastAsia="Nirmala UI" w:cs="Nirmala UI"/>
        </w:rPr>
        <w:t>પરિવારે</w:t>
      </w:r>
      <w:r>
        <w:rPr>
          <w:rFonts w:ascii="Times New Roman" w:hAnsi="Times New Roman" w:eastAsia="Times New Roman" w:cs="Times New Roman"/>
        </w:rPr>
        <w:t xml:space="preserve"> 1850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1850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બાબત</w:t>
      </w:r>
      <w:r>
        <w:rPr>
          <w:rFonts w:ascii="Times New Roman" w:hAnsi="Times New Roman" w:eastAsia="Times New Roman" w:cs="Times New Roman"/>
        </w:rPr>
        <w:t xml:space="preserve"> “</w:t>
      </w:r>
      <w:r>
        <w:rPr>
          <w:rFonts w:ascii="Nirmala UI" w:hAnsi="Nirmala UI" w:eastAsia="Nirmala UI" w:cs="Nirmala UI"/>
        </w:rPr>
        <w:t>બદલાઈ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બદલે</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‘1844’ </w:t>
      </w:r>
      <w:r>
        <w:rPr>
          <w:rFonts w:ascii="Nirmala UI" w:hAnsi="Nirmala UI" w:eastAsia="Nirmala UI" w:cs="Nirmala UI"/>
        </w:rPr>
        <w:t>મૂકવામાં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બાબત</w:t>
      </w:r>
      <w:r>
        <w:rPr>
          <w:rFonts w:ascii="Times New Roman" w:hAnsi="Times New Roman" w:eastAsia="Times New Roman" w:cs="Times New Roman"/>
        </w:rPr>
        <w:t xml:space="preserve"> “</w:t>
      </w:r>
      <w:r>
        <w:rPr>
          <w:rFonts w:ascii="Nirmala UI" w:hAnsi="Nirmala UI" w:eastAsia="Nirmala UI" w:cs="Nirmala UI"/>
        </w:rPr>
        <w:t>બદલાઈ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ભૂલ</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સુધારણું</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દેવએ</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રાખ્યો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પ્રેરિત</w:t>
      </w:r>
      <w:r>
        <w:rPr>
          <w:rFonts w:ascii="Times New Roman" w:hAnsi="Times New Roman" w:eastAsia="Times New Roman" w:cs="Times New Roman"/>
        </w:rPr>
        <w:t xml:space="preserve"> </w:t>
      </w:r>
      <w:r>
        <w:rPr>
          <w:rFonts w:ascii="Nirmala UI" w:hAnsi="Nirmala UI" w:eastAsia="Nirmala UI" w:cs="Nirmala UI"/>
        </w:rPr>
        <w:t>પ્રવક્ત્રીની</w:t>
      </w:r>
      <w:r>
        <w:rPr>
          <w:rFonts w:ascii="Times New Roman" w:hAnsi="Times New Roman" w:eastAsia="Times New Roman" w:cs="Times New Roman"/>
        </w:rPr>
        <w:t xml:space="preserve"> </w:t>
      </w:r>
      <w:r>
        <w:rPr>
          <w:rFonts w:ascii="Nirmala UI" w:hAnsi="Nirmala UI" w:eastAsia="Nirmala UI" w:cs="Nirmala UI"/>
        </w:rPr>
        <w:t>પ્રેરણા</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ઘરમાં</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બદલીને</w:t>
      </w:r>
      <w:r>
        <w:rPr>
          <w:rFonts w:ascii="Times New Roman" w:hAnsi="Times New Roman" w:eastAsia="Times New Roman" w:cs="Times New Roman"/>
        </w:rPr>
        <w:t>” 1850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બનાવવામાં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લેવીયવ્યવસ્થા</w:t>
      </w:r>
      <w:r>
        <w:rPr>
          <w:rFonts w:ascii="Times New Roman" w:hAnsi="Times New Roman" w:eastAsia="Times New Roman" w:cs="Times New Roman"/>
        </w:rPr>
        <w:t xml:space="preserve"> </w:t>
      </w:r>
      <w:r>
        <w:rPr>
          <w:rFonts w:ascii="Nirmala UI" w:hAnsi="Nirmala UI" w:eastAsia="Nirmala UI" w:cs="Nirmala UI"/>
        </w:rPr>
        <w:t>છવીસના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અંકિત</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Dua ya amri inajumuisha sehemu nyingine ya fumbo hili la kiunabii, kwa maana inaonesha kwamba Mungu huzihesabu vizazi mpaka atakapoadhibu uovu unaotendeka. Mwaka 1863 ulianza wa kwanza wa vizazi vinne vya kanisa la Waadventista Wasabato, kwa kuwa vuguvugu la Millerite lilifikia mwisho wake wakati huo.</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പാറപ്പലകകളായ</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കല്പനകൾ</w:t>
      </w:r>
      <w:r>
        <w:rPr>
          <w:rFonts w:ascii="Times New Roman" w:hAnsi="Times New Roman" w:eastAsia="Times New Roman" w:cs="Times New Roman"/>
        </w:rPr>
        <w:t xml:space="preserve">, </w:t>
      </w: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പലകകളുടെ</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പെന്തെക്കൊസ്തു</w:t>
      </w:r>
      <w:r>
        <w:rPr>
          <w:rFonts w:ascii="Times New Roman" w:hAnsi="Times New Roman" w:eastAsia="Times New Roman" w:cs="Times New Roman"/>
        </w:rPr>
        <w:t xml:space="preserve"> </w:t>
      </w:r>
      <w:r>
        <w:rPr>
          <w:rFonts w:ascii="Nirmala UI" w:hAnsi="Nirmala UI" w:eastAsia="Nirmala UI" w:cs="Nirmala UI"/>
        </w:rPr>
        <w:t>ദിനത്തിലെ</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ആലയാട്ടു</w:t>
      </w:r>
      <w:r>
        <w:rPr>
          <w:rFonts w:ascii="Times New Roman" w:hAnsi="Times New Roman" w:eastAsia="Times New Roman" w:cs="Times New Roman"/>
        </w:rPr>
        <w:t xml:space="preserve"> </w:t>
      </w:r>
      <w:r>
        <w:rPr>
          <w:rFonts w:ascii="Nirmala UI" w:hAnsi="Nirmala UI" w:eastAsia="Nirmala UI" w:cs="Nirmala UI"/>
        </w:rPr>
        <w:t>അപ്പങ്ങളുടെയും</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അവയാണ്</w:t>
      </w:r>
      <w:r>
        <w:rPr>
          <w:rFonts w:ascii="Times New Roman" w:hAnsi="Times New Roman" w:eastAsia="Times New Roman" w:cs="Times New Roman"/>
        </w:rPr>
        <w:t xml:space="preserve"> </w:t>
      </w:r>
      <w:r>
        <w:rPr>
          <w:rFonts w:ascii="Nirmala UI" w:hAnsi="Nirmala UI" w:eastAsia="Nirmala UI" w:cs="Nirmala UI"/>
        </w:rPr>
        <w:t>വിശുദ്ധമന്ദിരശുശ്രൂഷയിൽ</w:t>
      </w:r>
      <w:r>
        <w:rPr>
          <w:rFonts w:ascii="Times New Roman" w:hAnsi="Times New Roman" w:eastAsia="Times New Roman" w:cs="Times New Roman"/>
        </w:rPr>
        <w:t xml:space="preserve"> </w:t>
      </w:r>
      <w:r>
        <w:rPr>
          <w:rFonts w:ascii="Nirmala UI" w:hAnsi="Nirmala UI" w:eastAsia="Nirmala UI" w:cs="Nirmala UI"/>
        </w:rPr>
        <w:t>പാപം</w:t>
      </w:r>
      <w:r>
        <w:rPr>
          <w:rFonts w:ascii="Times New Roman" w:hAnsi="Times New Roman" w:eastAsia="Times New Roman" w:cs="Times New Roman"/>
        </w:rPr>
        <w:t xml:space="preserve"> </w:t>
      </w:r>
      <w:r>
        <w:rPr>
          <w:rFonts w:ascii="Nirmala UI" w:hAnsi="Nirmala UI" w:eastAsia="Nirmala UI" w:cs="Nirmala UI"/>
        </w:rPr>
        <w:t>ഉൾക്കൊണ്ടിരുന്ന</w:t>
      </w:r>
      <w:r>
        <w:rPr>
          <w:rFonts w:ascii="Times New Roman" w:hAnsi="Times New Roman" w:eastAsia="Times New Roman" w:cs="Times New Roman"/>
        </w:rPr>
        <w:t xml:space="preserve"> </w:t>
      </w:r>
      <w:r>
        <w:rPr>
          <w:rFonts w:ascii="Nirmala UI" w:hAnsi="Nirmala UI" w:eastAsia="Nirmala UI" w:cs="Nirmala UI"/>
        </w:rPr>
        <w:t>ഏക</w:t>
      </w:r>
      <w:r>
        <w:rPr>
          <w:rFonts w:ascii="Times New Roman" w:hAnsi="Times New Roman" w:eastAsia="Times New Roman" w:cs="Times New Roman"/>
        </w:rPr>
        <w:t xml:space="preserve"> </w:t>
      </w:r>
      <w:r>
        <w:rPr>
          <w:rFonts w:ascii="Nirmala UI" w:hAnsi="Nirmala UI" w:eastAsia="Nirmala UI" w:cs="Nirmala UI"/>
        </w:rPr>
        <w:t>വഴിപാടു</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കല്പനകൾ</w:t>
      </w:r>
      <w:r>
        <w:rPr>
          <w:rFonts w:ascii="Times New Roman" w:hAnsi="Times New Roman" w:eastAsia="Times New Roman" w:cs="Times New Roman"/>
        </w:rPr>
        <w:t xml:space="preserve"> </w:t>
      </w:r>
      <w:r>
        <w:rPr>
          <w:rFonts w:ascii="Nirmala UI" w:hAnsi="Nirmala UI" w:eastAsia="Nirmala UI" w:cs="Nirmala UI"/>
        </w:rPr>
        <w:t>നല്കപ്പെട്ടപ്പോൾ</w:t>
      </w:r>
      <w:r>
        <w:rPr>
          <w:rFonts w:ascii="Times New Roman" w:hAnsi="Times New Roman" w:eastAsia="Times New Roman" w:cs="Times New Roman"/>
        </w:rPr>
        <w:t xml:space="preserve"> </w:t>
      </w:r>
      <w:r>
        <w:rPr>
          <w:rFonts w:ascii="Nirmala UI" w:hAnsi="Nirmala UI" w:eastAsia="Nirmala UI" w:cs="Nirmala UI"/>
        </w:rPr>
        <w:t>ദൈവശക്തി</w:t>
      </w:r>
      <w:r>
        <w:rPr>
          <w:rFonts w:ascii="Times New Roman" w:hAnsi="Times New Roman" w:eastAsia="Times New Roman" w:cs="Times New Roman"/>
        </w:rPr>
        <w:t xml:space="preserve"> </w:t>
      </w:r>
      <w:r>
        <w:rPr>
          <w:rFonts w:ascii="Nirmala UI" w:hAnsi="Nirmala UI" w:eastAsia="Nirmala UI" w:cs="Nirmala UI"/>
        </w:rPr>
        <w:t>പ്രകടമായതും</w:t>
      </w:r>
      <w:r>
        <w:rPr>
          <w:rFonts w:ascii="Times New Roman" w:hAnsi="Times New Roman" w:eastAsia="Times New Roman" w:cs="Times New Roman"/>
        </w:rPr>
        <w:t xml:space="preserve">, </w:t>
      </w:r>
      <w:r>
        <w:rPr>
          <w:rFonts w:ascii="Nirmala UI" w:hAnsi="Nirmala UI" w:eastAsia="Nirmala UI" w:cs="Nirmala UI"/>
        </w:rPr>
        <w:t>പെന്തെക്കൊസ്തിലെ</w:t>
      </w:r>
      <w:r>
        <w:rPr>
          <w:rFonts w:ascii="Times New Roman" w:hAnsi="Times New Roman" w:eastAsia="Times New Roman" w:cs="Times New Roman"/>
        </w:rPr>
        <w:t xml:space="preserve"> </w:t>
      </w:r>
      <w:r>
        <w:rPr>
          <w:rFonts w:ascii="Nirmala UI" w:hAnsi="Nirmala UI" w:eastAsia="Nirmala UI" w:cs="Nirmala UI"/>
        </w:rPr>
        <w:t>ഒഴുക്കിപ്പകർച്ചയിൽ</w:t>
      </w:r>
      <w:r>
        <w:rPr>
          <w:rFonts w:ascii="Times New Roman" w:hAnsi="Times New Roman" w:eastAsia="Times New Roman" w:cs="Times New Roman"/>
        </w:rPr>
        <w:t xml:space="preserve"> </w:t>
      </w:r>
      <w:r>
        <w:rPr>
          <w:rFonts w:ascii="Nirmala UI" w:hAnsi="Nirmala UI" w:eastAsia="Nirmala UI" w:cs="Nirmala UI"/>
        </w:rPr>
        <w:t>ദൈവശക്തി</w:t>
      </w:r>
      <w:r>
        <w:rPr>
          <w:rFonts w:ascii="Times New Roman" w:hAnsi="Times New Roman" w:eastAsia="Times New Roman" w:cs="Times New Roman"/>
        </w:rPr>
        <w:t xml:space="preserve"> </w:t>
      </w:r>
      <w:r>
        <w:rPr>
          <w:rFonts w:ascii="Nirmala UI" w:hAnsi="Nirmala UI" w:eastAsia="Nirmala UI" w:cs="Nirmala UI"/>
        </w:rPr>
        <w:t>പ്രകടമായതും</w:t>
      </w:r>
      <w:r>
        <w:rPr>
          <w:rFonts w:ascii="Times New Roman" w:hAnsi="Times New Roman" w:eastAsia="Times New Roman" w:cs="Times New Roman"/>
        </w:rPr>
        <w:t xml:space="preserve">, </w:t>
      </w:r>
      <w:r>
        <w:rPr>
          <w:rFonts w:ascii="Nirmala UI" w:hAnsi="Nirmala UI" w:eastAsia="Nirmala UI" w:cs="Nirmala UI"/>
        </w:rPr>
        <w:t>മില്ലറൈറ്റുകളുടെ</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ചാർട്ടുകളുടെ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ദൈവശക്തി</w:t>
      </w:r>
      <w:r>
        <w:rPr>
          <w:rFonts w:ascii="Times New Roman" w:hAnsi="Times New Roman" w:eastAsia="Times New Roman" w:cs="Times New Roman"/>
        </w:rPr>
        <w:t xml:space="preserve"> </w:t>
      </w:r>
      <w:r>
        <w:rPr>
          <w:rFonts w:ascii="Nirmala UI" w:hAnsi="Nirmala UI" w:eastAsia="Nirmala UI" w:cs="Nirmala UI"/>
        </w:rPr>
        <w:t>പ്രകടമായതും</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അന്ത്യമഴയിൽ</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ഒഴുക്കിപ്പകർച്ചയുടെ</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പ്രകടനത്തിന്റെ</w:t>
      </w:r>
      <w:r>
        <w:rPr>
          <w:rFonts w:ascii="Times New Roman" w:hAnsi="Times New Roman" w:eastAsia="Times New Roman" w:cs="Times New Roman"/>
        </w:rPr>
        <w:t xml:space="preserve"> </w:t>
      </w:r>
      <w:r>
        <w:rPr>
          <w:rFonts w:ascii="Nirmala UI" w:hAnsi="Nirmala UI" w:eastAsia="Nirmala UI" w:cs="Nirmala UI"/>
        </w:rPr>
        <w:t>പ്രതീകങ്ങളാകുന്നു</w:t>
      </w:r>
      <w:r>
        <w:rPr>
          <w:rFonts w:ascii="Times New Roman" w:hAnsi="Times New Roman" w:eastAsia="Times New Roman" w:cs="Times New Roman"/>
        </w:rPr>
        <w:t xml:space="preserve">. </w:t>
      </w:r>
      <w:r>
        <w:rPr>
          <w:rFonts w:ascii="Nirmala UI" w:hAnsi="Nirmala UI" w:eastAsia="Nirmala UI" w:cs="Nirmala UI"/>
        </w:rPr>
        <w:t>പെന്തെക്കൊസ്തിലെ</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ആലയാട്ടു</w:t>
      </w:r>
      <w:r>
        <w:rPr>
          <w:rFonts w:ascii="Times New Roman" w:hAnsi="Times New Roman" w:eastAsia="Times New Roman" w:cs="Times New Roman"/>
        </w:rPr>
        <w:t xml:space="preserve"> </w:t>
      </w:r>
      <w:r>
        <w:rPr>
          <w:rFonts w:ascii="Nirmala UI" w:hAnsi="Nirmala UI" w:eastAsia="Nirmala UI" w:cs="Nirmala UI"/>
        </w:rPr>
        <w:t>അപ്പങ്ങൾ</w:t>
      </w:r>
      <w:r>
        <w:rPr>
          <w:rFonts w:ascii="Times New Roman" w:hAnsi="Times New Roman" w:eastAsia="Times New Roman" w:cs="Times New Roman"/>
        </w:rPr>
        <w:t xml:space="preserve">, </w:t>
      </w:r>
      <w:r>
        <w:rPr>
          <w:rFonts w:ascii="Nirmala UI" w:hAnsi="Nirmala UI" w:eastAsia="Nirmala UI" w:cs="Nirmala UI"/>
        </w:rPr>
        <w:t>അന്ത്യമഴക്കാലത്ത്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പതാകയായി</w:t>
      </w:r>
      <w:r>
        <w:rPr>
          <w:rFonts w:ascii="Times New Roman" w:hAnsi="Times New Roman" w:eastAsia="Times New Roman" w:cs="Times New Roman"/>
        </w:rPr>
        <w:t xml:space="preserve"> </w:t>
      </w:r>
      <w:r>
        <w:rPr>
          <w:rFonts w:ascii="Nirmala UI" w:hAnsi="Nirmala UI" w:eastAsia="Nirmala UI" w:cs="Nirmala UI"/>
        </w:rPr>
        <w:t>ഉയർത്തപ്പെടുന്ന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Лавашҳои мавҷи Пантикост бояд бо «хамиртуруш» тайёр карда мешуданд, ки рамзи гуноҳ аст, аммо хамиртуруш тавассути раванди пухтан нобуд карда мешуд.</w:t>
      </w:r>
    </w:p>
    <w:p>
      <w:pPr>
        <w:pStyle w:val="ArticleScripture"/>
        <w:jc w:val="left"/>
      </w:pPr>
      <w:r>
        <w:rPr>
          <w:rFonts w:ascii="Times New Roman" w:hAnsi="Times New Roman" w:eastAsia="Times New Roman" w:cs="Times New Roman"/>
        </w:rPr>
        <w:t>Pendant ce temps, comme une foule innombrable de personnes s’était rassemblée, au point qu’elles se foulaient les unes les autres, il se mit à dire d’abord à ses disciples : Gardez-vous du levain des Pharisiens, qui est l’hypocrisie. Luc 12:1.</w:t>
      </w:r>
    </w:p>
    <w:p>
      <w:pPr>
        <w:pStyle w:val="ArticleBody"/>
        <w:jc w:val="left"/>
      </w:pPr>
      <w:r>
        <w:rPr>
          <w:rFonts w:ascii="Times New Roman" w:hAnsi="Times New Roman" w:eastAsia="Times New Roman" w:cs="Times New Roman"/>
        </w:rPr>
        <w:t>Les pains agités constituaient une offrande de prémices.</w:t>
      </w:r>
    </w:p>
    <w:p>
      <w:pPr>
        <w:pStyle w:val="ArticleScripture"/>
        <w:jc w:val="left"/>
      </w:pPr>
      <w:r>
        <w:rPr>
          <w:rFonts w:ascii="Times New Roman" w:hAnsi="Times New Roman" w:eastAsia="Times New Roman" w:cs="Times New Roman"/>
        </w:rPr>
        <w:t>كم سوف تُخرجون من مساكنكم رغيفين للترديد من عُشرين من دقيق الإيفة؛ يكونان من دقيق ناعم؛ يُخبزان بخمير؛ إنهما باكورة للرب. اللاويين 23:17.</w:t>
      </w:r>
    </w:p>
    <w:p>
      <w:pPr>
        <w:pStyle w:val="ArticleBody"/>
        <w:jc w:val="left"/>
      </w:pPr>
      <w:r>
        <w:rPr>
          <w:rFonts w:ascii="Times New Roman" w:hAnsi="Times New Roman" w:eastAsia="Times New Roman" w:cs="Times New Roman"/>
        </w:rPr>
        <w:t xml:space="preserve">144,000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መዓልታት</w:t>
      </w:r>
      <w:r>
        <w:rPr>
          <w:rFonts w:ascii="Times New Roman" w:hAnsi="Times New Roman" w:eastAsia="Times New Roman" w:cs="Times New Roman"/>
        </w:rPr>
        <w:t xml:space="preserve"> </w:t>
      </w:r>
      <w:r>
        <w:rPr>
          <w:rFonts w:ascii="Ebrima" w:hAnsi="Ebrima" w:eastAsia="Ebrima" w:cs="Ebrima"/>
        </w:rPr>
        <w:t>በዅሪ</w:t>
      </w:r>
      <w:r>
        <w:rPr>
          <w:rFonts w:ascii="Times New Roman" w:hAnsi="Times New Roman" w:eastAsia="Times New Roman" w:cs="Times New Roman"/>
        </w:rPr>
        <w:t xml:space="preserve"> </w:t>
      </w:r>
      <w:r>
        <w:rPr>
          <w:rFonts w:ascii="Ebrima" w:hAnsi="Ebrima" w:eastAsia="Ebrima" w:cs="Ebrima"/>
        </w:rPr>
        <w:t>መስዋእቲ</w:t>
      </w:r>
      <w:r>
        <w:rPr>
          <w:rFonts w:ascii="Times New Roman" w:hAnsi="Times New Roman" w:eastAsia="Times New Roman" w:cs="Times New Roman"/>
        </w:rPr>
        <w:t xml:space="preserve"> </w:t>
      </w:r>
      <w:r>
        <w:rPr>
          <w:rFonts w:ascii="Ebrima" w:hAnsi="Ebrima" w:eastAsia="Ebrima" w:cs="Ebrima"/>
        </w:rPr>
        <w:t>እዮም።</w:t>
      </w:r>
    </w:p>
    <w:p>
      <w:pPr>
        <w:pStyle w:val="ArticleScripture"/>
        <w:jc w:val="left"/>
      </w:pPr>
      <w:r>
        <w:rPr>
          <w:rFonts w:ascii="Times New Roman" w:hAnsi="Times New Roman" w:eastAsia="Times New Roman" w:cs="Times New Roman"/>
        </w:rPr>
        <w:t>Et je regardai, et voici, l’Agneau se tenait sur la montagne de Sion, et avec lui cent quarante-quatre mille personnes, ayant le nom de son Père écrit sur leurs fronts. Et j’entendis une voix venant du ciel, comme le bruit de grandes eaux, et comme le bruit d’un grand tonnerre; et j’entendis la voix de joueurs de harpe, jouant de leurs harpes. Et ils chantaient comme un cantique nouveau devant le trône, et devant les quatre êtres vivants et les anciens; et personne ne pouvait apprendre ce cantique, sinon les cent quarante-quatre mille, qui avaient été rachetés de la terre. Ce sont ceux qui ne se sont point souillés avec des femmes; car ils sont vierges. Ce sont ceux qui suivent l’Agneau partout où il va. Ce sont ceux qui ont été rachetés d’entre les hommes, comme des prémices pour Dieu et pour l’Agneau. Et dans leur bouche il ne s’est point trouvé de fraude; car ils sont irrépréhensibles devant le trône de Dieu. Apocalypse 14:1–5.</w:t>
      </w:r>
    </w:p>
    <w:p>
      <w:pPr>
        <w:pStyle w:val="ArticleBody"/>
        <w:jc w:val="left"/>
      </w:pPr>
      <w:r>
        <w:rPr>
          <w:rFonts w:ascii="Times New Roman" w:hAnsi="Times New Roman" w:eastAsia="Times New Roman" w:cs="Times New Roman"/>
        </w:rPr>
        <w:t>Kundi la waabuduo katika siku za mwisho wasioonja mauti kamwe, lililowakilishwa na Eliya, litakuwa limeshinda dhambi kikamilifu; kwa maana moto wa utakaso unaoletwa juu yao na Mjumbe wa Agano huiteketeza kabisa na kuiondoa chachu kutoka kwa wana wa Lawi.</w:t>
      </w:r>
    </w:p>
    <w:p>
      <w:pPr>
        <w:pStyle w:val="ArticleScripture"/>
        <w:jc w:val="left"/>
      </w:pPr>
      <w:r>
        <w:rPr>
          <w:rFonts w:ascii="Times New Roman" w:hAnsi="Times New Roman" w:eastAsia="Times New Roman" w:cs="Times New Roman"/>
        </w:rPr>
        <w:t>Voyez, j’enverrai mon messager, et il préparera le chemin devant moi ; et le Seigneur, que vous cherchez, viendra soudain à son temple, oui, le messager de l’alliance, que vous prenez plaisir à voir ; voici, il viendra, dit l’Éternel des armées. Mais qui pourra soutenir le jour de sa venue ? et qui subsistera lorsqu’il paraîtra ? Car il est comme le feu du fondeur, et comme la potasse des foulons. Il s’assiéra comme celui qui affine et purifie l’argent ; il purifiera les fils de Lévi, et les épurera comme l’or et l’argent, afin qu’ils présentent à l’Éternel des offrandes avec justice. Alors l’offrande de Juda et de Jérusalem sera agréable à l’Éternel, comme aux anciens jours, et comme aux années d’autrefois. Malachie 3:1–4.</w:t>
      </w:r>
    </w:p>
    <w:p>
      <w:pPr>
        <w:pStyle w:val="ArticleBody"/>
        <w:jc w:val="left"/>
      </w:pPr>
      <w:r>
        <w:rPr>
          <w:rFonts w:ascii="Times New Roman" w:hAnsi="Times New Roman" w:eastAsia="Times New Roman" w:cs="Times New Roman"/>
        </w:rPr>
        <w:t>L’offrande qui est « comme aux jours d’autrefois » est l’offrande agitée de la Pentecôte, composée de deux pains. Elle fut élevée comme une offrande, désignant les deux prophètes qui furent mis à mort dans les rues, puis élevés au ciel comme un étendard, au commencement de la crise de la loi du dimanche.</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उद्घोषणा</w:t>
      </w:r>
      <w:r>
        <w:rPr>
          <w:rFonts w:ascii="Times New Roman" w:hAnsi="Times New Roman" w:eastAsia="Times New Roman" w:cs="Times New Roman"/>
        </w:rPr>
        <w:t xml:space="preserve"> </w:t>
      </w:r>
      <w:r>
        <w:rPr>
          <w:rFonts w:ascii="Nirmala UI" w:hAnsi="Nirmala UI" w:eastAsia="Nirmala UI" w:cs="Nirmala UI"/>
        </w:rPr>
        <w:t>की।</w:t>
      </w:r>
    </w:p>
    <w:p>
      <w:pPr>
        <w:pStyle w:val="ArticleScripture"/>
        <w:jc w:val="left"/>
      </w:pPr>
      <w:r>
        <w:rPr>
          <w:rFonts w:ascii="Times New Roman" w:hAnsi="Times New Roman" w:eastAsia="Times New Roman" w:cs="Times New Roman"/>
        </w:rPr>
        <w:t>Waxuu ka qaatay gacantooda, oo wuxuu ku qaabeeyey qalin xardhan, dabadeedna wuxuu ka sameeyey weyl la shubay; markaasay yidhaahdeen, Kuwanu waa ilaahyadaadii, Israa'iilow, kuwii kaa soo bixiyey dalkii Masar. Oo Haaruun markuu taas arkay, ayuu hortiisa ka dhisay meel allabari; Haaruunna wuxuu ku dhawaaqay, oo yidhi, Berrito waxaa jiri doona iid Rabbiga loo sameeyo. Baxniintii 32:4, 5.</w:t>
      </w:r>
    </w:p>
    <w:p>
      <w:pPr>
        <w:pStyle w:val="ArticleBody"/>
        <w:jc w:val="left"/>
      </w:pPr>
      <w:r>
        <w:rPr>
          <w:rFonts w:ascii="Times New Roman" w:hAnsi="Times New Roman" w:eastAsia="Times New Roman" w:cs="Times New Roman"/>
        </w:rPr>
        <w:t>Khi vương quốc phía bắc của Y-sơ-ra-ên ly khai khỏi vương quốc phía nam là Giu-đa, Giê-rô-bô-am, vị vua đầu tiên của Y-sơ-ra-ên, đã cố ý thiết lập một nghi lễ thờ phượng giả mạo tại hai thành, lặp lại chính lời tuyên bố của A-rôn, xưng rằng hai con bò vàng của mình là các thần đã đem họ ra khỏi Ai Cập, và lập nên một kỳ lễ giả mạo như A-rôn đã làm.</w:t>
      </w:r>
    </w:p>
    <w:p>
      <w:pPr>
        <w:pStyle w:val="ArticleScripture"/>
        <w:jc w:val="left"/>
      </w:pPr>
      <w:r>
        <w:rPr>
          <w:rFonts w:ascii="Nirmala UI" w:hAnsi="Nirmala UI" w:eastAsia="Nirmala UI" w:cs="Nirmala UI"/>
        </w:rPr>
        <w:t>තෙරොබොවම්</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කීවේය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දාවිද්ගේ</w:t>
      </w:r>
      <w:r>
        <w:rPr>
          <w:rFonts w:ascii="Times New Roman" w:hAnsi="Times New Roman" w:eastAsia="Times New Roman" w:cs="Times New Roman"/>
        </w:rPr>
        <w:t xml:space="preserve"> </w:t>
      </w:r>
      <w:r>
        <w:rPr>
          <w:rFonts w:ascii="Nirmala UI" w:hAnsi="Nirmala UI" w:eastAsia="Nirmala UI" w:cs="Nirmala UI"/>
        </w:rPr>
        <w:t>ගෘහය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ගෘහයට</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ගියහොත්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ස්වාමියා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යූදාහි</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රෙහොබොවම්</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යූදාහි</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රෙහොබොවම්</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රන්</w:t>
      </w:r>
      <w:r>
        <w:rPr>
          <w:rFonts w:ascii="Times New Roman" w:hAnsi="Times New Roman" w:eastAsia="Times New Roman" w:cs="Times New Roman"/>
        </w:rPr>
        <w:t xml:space="preserve"> </w:t>
      </w:r>
      <w:r>
        <w:rPr>
          <w:rFonts w:ascii="Nirmala UI" w:hAnsi="Nirmala UI" w:eastAsia="Nirmala UI" w:cs="Nirmala UI"/>
        </w:rPr>
        <w:t>වස්සෝ</w:t>
      </w:r>
      <w:r>
        <w:rPr>
          <w:rFonts w:ascii="Times New Roman" w:hAnsi="Times New Roman" w:eastAsia="Times New Roman" w:cs="Times New Roman"/>
        </w:rPr>
        <w:t xml:space="preserve"> </w:t>
      </w:r>
      <w:r>
        <w:rPr>
          <w:rFonts w:ascii="Nirmala UI" w:hAnsi="Nirmala UI" w:eastAsia="Nirmala UI" w:cs="Nirmala UI"/>
        </w:rPr>
        <w:t>දෙදෙනෙකු</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යෙරුසලමට</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අධිකය</w:t>
      </w:r>
      <w:r>
        <w:rPr>
          <w:rFonts w:ascii="Times New Roman" w:hAnsi="Times New Roman" w:eastAsia="Times New Roman" w:cs="Times New Roman"/>
        </w:rPr>
        <w:t xml:space="preserve">; </w:t>
      </w:r>
      <w:r>
        <w:rPr>
          <w:rFonts w:ascii="Nirmala UI" w:hAnsi="Nirmala UI" w:eastAsia="Nirmala UI" w:cs="Nirmala UI"/>
        </w:rPr>
        <w:t>ඊශ්</w:t>
      </w:r>
      <w:r>
        <w:rPr>
          <w:rFonts w:ascii="Times New Roman" w:hAnsi="Times New Roman" w:eastAsia="Times New Roman" w:cs="Times New Roman"/>
        </w:rPr>
        <w:t>‍</w:t>
      </w:r>
      <w:r>
        <w:rPr>
          <w:rFonts w:ascii="Nirmala UI" w:hAnsi="Nirmala UI" w:eastAsia="Nirmala UI" w:cs="Nirmala UI"/>
        </w:rPr>
        <w:t>රායෙල්වරුනි</w:t>
      </w:r>
      <w:r>
        <w:rPr>
          <w:rFonts w:ascii="Times New Roman" w:hAnsi="Times New Roman" w:eastAsia="Times New Roman" w:cs="Times New Roman"/>
        </w:rPr>
        <w:t xml:space="preserve">, </w:t>
      </w:r>
      <w:r>
        <w:rPr>
          <w:rFonts w:ascii="Nirmala UI" w:hAnsi="Nirmala UI" w:eastAsia="Nirmala UI" w:cs="Nirmala UI"/>
        </w:rPr>
        <w:t>මෙන්න</w:t>
      </w:r>
      <w:r>
        <w:rPr>
          <w:rFonts w:ascii="Times New Roman" w:hAnsi="Times New Roman" w:eastAsia="Times New Roman" w:cs="Times New Roman"/>
        </w:rPr>
        <w:t xml:space="preserve">, </w:t>
      </w:r>
      <w:r>
        <w:rPr>
          <w:rFonts w:ascii="Nirmala UI" w:hAnsi="Nirmala UI" w:eastAsia="Nirmala UI" w:cs="Nirmala UI"/>
        </w:rPr>
        <w:t>මිසර</w:t>
      </w:r>
      <w:r>
        <w:rPr>
          <w:rFonts w:ascii="Times New Roman" w:hAnsi="Times New Roman" w:eastAsia="Times New Roman" w:cs="Times New Roman"/>
        </w:rPr>
        <w:t xml:space="preserve"> </w:t>
      </w:r>
      <w:r>
        <w:rPr>
          <w:rFonts w:ascii="Nirmala UI" w:hAnsi="Nirmala UI" w:eastAsia="Nirmala UI" w:cs="Nirmala UI"/>
        </w:rPr>
        <w:t>දේශයෙන්</w:t>
      </w:r>
      <w:r>
        <w:rPr>
          <w:rFonts w:ascii="Times New Roman" w:hAnsi="Times New Roman" w:eastAsia="Times New Roman" w:cs="Times New Roman"/>
        </w:rPr>
        <w:t xml:space="preserve"> </w:t>
      </w:r>
      <w:r>
        <w:rPr>
          <w:rFonts w:ascii="Nirmala UI" w:hAnsi="Nirmala UI" w:eastAsia="Nirmala UI" w:cs="Nirmala UI"/>
        </w:rPr>
        <w:t>ඔබව</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දෙවිවරු</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තැබුවේය</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දාන්හි</w:t>
      </w:r>
      <w:r>
        <w:rPr>
          <w:rFonts w:ascii="Times New Roman" w:hAnsi="Times New Roman" w:eastAsia="Times New Roman" w:cs="Times New Roman"/>
        </w:rPr>
        <w:t xml:space="preserve"> </w:t>
      </w:r>
      <w:r>
        <w:rPr>
          <w:rFonts w:ascii="Nirmala UI" w:hAnsi="Nirmala UI" w:eastAsia="Nirmala UI" w:cs="Nirmala UI"/>
        </w:rPr>
        <w:t>තැබුවේය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කාරණය</w:t>
      </w:r>
      <w:r>
        <w:rPr>
          <w:rFonts w:ascii="Times New Roman" w:hAnsi="Times New Roman" w:eastAsia="Times New Roman" w:cs="Times New Roman"/>
        </w:rPr>
        <w:t xml:space="preserve"> </w:t>
      </w:r>
      <w:r>
        <w:rPr>
          <w:rFonts w:ascii="Nirmala UI" w:hAnsi="Nirmala UI" w:eastAsia="Nirmala UI" w:cs="Nirmala UI"/>
        </w:rPr>
        <w:t>පාපයක්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ඉදිරියෙහි</w:t>
      </w:r>
      <w:r>
        <w:rPr>
          <w:rFonts w:ascii="Times New Roman" w:hAnsi="Times New Roman" w:eastAsia="Times New Roman" w:cs="Times New Roman"/>
        </w:rPr>
        <w:t xml:space="preserve"> </w:t>
      </w:r>
      <w:r>
        <w:rPr>
          <w:rFonts w:ascii="Nirmala UI" w:hAnsi="Nirmala UI" w:eastAsia="Nirmala UI" w:cs="Nirmala UI"/>
        </w:rPr>
        <w:t>නමස්කාර</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දක්වාම</w:t>
      </w:r>
      <w:r>
        <w:rPr>
          <w:rFonts w:ascii="Times New Roman" w:hAnsi="Times New Roman" w:eastAsia="Times New Roman" w:cs="Times New Roman"/>
        </w:rPr>
        <w:t xml:space="preserve"> </w:t>
      </w:r>
      <w:r>
        <w:rPr>
          <w:rFonts w:ascii="Nirmala UI" w:hAnsi="Nirmala UI" w:eastAsia="Nirmala UI" w:cs="Nirmala UI"/>
        </w:rPr>
        <w:t>ගියහ</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උස</w:t>
      </w:r>
      <w:r>
        <w:rPr>
          <w:rFonts w:ascii="Times New Roman" w:hAnsi="Times New Roman" w:eastAsia="Times New Roman" w:cs="Times New Roman"/>
        </w:rPr>
        <w:t xml:space="preserve"> </w:t>
      </w:r>
      <w:r>
        <w:rPr>
          <w:rFonts w:ascii="Nirmala UI" w:hAnsi="Nirmala UI" w:eastAsia="Nirmala UI" w:cs="Nirmala UI"/>
        </w:rPr>
        <w:t>ස්ථානවල</w:t>
      </w:r>
      <w:r>
        <w:rPr>
          <w:rFonts w:ascii="Times New Roman" w:hAnsi="Times New Roman" w:eastAsia="Times New Roman" w:cs="Times New Roman"/>
        </w:rPr>
        <w:t xml:space="preserve"> </w:t>
      </w:r>
      <w:r>
        <w:rPr>
          <w:rFonts w:ascii="Nirmala UI" w:hAnsi="Nirmala UI" w:eastAsia="Nirmala UI" w:cs="Nirmala UI"/>
        </w:rPr>
        <w:t>ගෘහයක්ද</w:t>
      </w:r>
      <w:r>
        <w:rPr>
          <w:rFonts w:ascii="Times New Roman" w:hAnsi="Times New Roman" w:eastAsia="Times New Roman" w:cs="Times New Roman"/>
        </w:rPr>
        <w:t xml:space="preserve"> </w:t>
      </w:r>
      <w:r>
        <w:rPr>
          <w:rFonts w:ascii="Nirmala UI" w:hAnsi="Nirmala UI" w:eastAsia="Nirmala UI" w:cs="Nirmala UI"/>
        </w:rPr>
        <w:t>සෑදුවේය</w:t>
      </w:r>
      <w:r>
        <w:rPr>
          <w:rFonts w:ascii="Times New Roman" w:hAnsi="Times New Roman" w:eastAsia="Times New Roman" w:cs="Times New Roman"/>
        </w:rPr>
        <w:t xml:space="preserve">, </w:t>
      </w:r>
      <w:r>
        <w:rPr>
          <w:rFonts w:ascii="Nirmala UI" w:hAnsi="Nirmala UI" w:eastAsia="Nirmala UI" w:cs="Nirmala UI"/>
        </w:rPr>
        <w:t>ලේවීගේ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රයන්ගෙන්</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පහත්ම</w:t>
      </w:r>
      <w:r>
        <w:rPr>
          <w:rFonts w:ascii="Times New Roman" w:hAnsi="Times New Roman" w:eastAsia="Times New Roman" w:cs="Times New Roman"/>
        </w:rPr>
        <w:t xml:space="preserve"> </w:t>
      </w:r>
      <w:r>
        <w:rPr>
          <w:rFonts w:ascii="Nirmala UI" w:hAnsi="Nirmala UI" w:eastAsia="Nirmala UI" w:cs="Nirmala UI"/>
        </w:rPr>
        <w:t>පන්තියෙන්</w:t>
      </w:r>
      <w:r>
        <w:rPr>
          <w:rFonts w:ascii="Times New Roman" w:hAnsi="Times New Roman" w:eastAsia="Times New Roman" w:cs="Times New Roman"/>
        </w:rPr>
        <w:t xml:space="preserve"> </w:t>
      </w:r>
      <w:r>
        <w:rPr>
          <w:rFonts w:ascii="Nirmala UI" w:hAnsi="Nirmala UI" w:eastAsia="Nirmala UI" w:cs="Nirmala UI"/>
        </w:rPr>
        <w:t>පූජකයන්</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තෙරොබොවම්</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පහළොස්වන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යූදාහි</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පිහිටුවා</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පූජාවක්</w:t>
      </w:r>
      <w:r>
        <w:rPr>
          <w:rFonts w:ascii="Times New Roman" w:hAnsi="Times New Roman" w:eastAsia="Times New Roman" w:cs="Times New Roman"/>
        </w:rPr>
        <w:t xml:space="preserve"> </w:t>
      </w:r>
      <w:r>
        <w:rPr>
          <w:rFonts w:ascii="Nirmala UI" w:hAnsi="Nirmala UI" w:eastAsia="Nirmala UI" w:cs="Nirmala UI"/>
        </w:rPr>
        <w:t>ඔප්පු</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සාදාගත්</w:t>
      </w:r>
      <w:r>
        <w:rPr>
          <w:rFonts w:ascii="Times New Roman" w:hAnsi="Times New Roman" w:eastAsia="Times New Roman" w:cs="Times New Roman"/>
        </w:rPr>
        <w:t xml:space="preserve"> </w:t>
      </w:r>
      <w:r>
        <w:rPr>
          <w:rFonts w:ascii="Nirmala UI" w:hAnsi="Nirmala UI" w:eastAsia="Nirmala UI" w:cs="Nirmala UI"/>
        </w:rPr>
        <w:t>වස්සන්ට</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සාදාගත්</w:t>
      </w:r>
      <w:r>
        <w:rPr>
          <w:rFonts w:ascii="Times New Roman" w:hAnsi="Times New Roman" w:eastAsia="Times New Roman" w:cs="Times New Roman"/>
        </w:rPr>
        <w:t xml:space="preserve"> </w:t>
      </w:r>
      <w:r>
        <w:rPr>
          <w:rFonts w:ascii="Nirmala UI" w:hAnsi="Nirmala UI" w:eastAsia="Nirmala UI" w:cs="Nirmala UI"/>
        </w:rPr>
        <w:t>උස</w:t>
      </w:r>
      <w:r>
        <w:rPr>
          <w:rFonts w:ascii="Times New Roman" w:hAnsi="Times New Roman" w:eastAsia="Times New Roman" w:cs="Times New Roman"/>
        </w:rPr>
        <w:t xml:space="preserve"> </w:t>
      </w:r>
      <w:r>
        <w:rPr>
          <w:rFonts w:ascii="Nirmala UI" w:hAnsi="Nirmala UI" w:eastAsia="Nirmala UI" w:cs="Nirmala UI"/>
        </w:rPr>
        <w:t>ස්ථානවල</w:t>
      </w:r>
      <w:r>
        <w:rPr>
          <w:rFonts w:ascii="Times New Roman" w:hAnsi="Times New Roman" w:eastAsia="Times New Roman" w:cs="Times New Roman"/>
        </w:rPr>
        <w:t xml:space="preserve"> </w:t>
      </w:r>
      <w:r>
        <w:rPr>
          <w:rFonts w:ascii="Nirmala UI" w:hAnsi="Nirmala UI" w:eastAsia="Nirmala UI" w:cs="Nirmala UI"/>
        </w:rPr>
        <w:t>පූජකයන්</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තැබුවේය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සාදාගත්</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පහළොස්වන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තමාගේ</w:t>
      </w:r>
      <w:r>
        <w:rPr>
          <w:rFonts w:ascii="Times New Roman" w:hAnsi="Times New Roman" w:eastAsia="Times New Roman" w:cs="Times New Roman"/>
        </w:rPr>
        <w:t xml:space="preserve"> </w:t>
      </w:r>
      <w:r>
        <w:rPr>
          <w:rFonts w:ascii="Nirmala UI" w:hAnsi="Nirmala UI" w:eastAsia="Nirmala UI" w:cs="Nirmala UI"/>
        </w:rPr>
        <w:t>සිතින්</w:t>
      </w:r>
      <w:r>
        <w:rPr>
          <w:rFonts w:ascii="Times New Roman" w:hAnsi="Times New Roman" w:eastAsia="Times New Roman" w:cs="Times New Roman"/>
        </w:rPr>
        <w:t xml:space="preserve"> </w:t>
      </w:r>
      <w:r>
        <w:rPr>
          <w:rFonts w:ascii="Nirmala UI" w:hAnsi="Nirmala UI" w:eastAsia="Nirmala UI" w:cs="Nirmala UI"/>
        </w:rPr>
        <w:t>යෝජනා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මාසයේදී</w:t>
      </w:r>
      <w:r>
        <w:rPr>
          <w:rFonts w:ascii="Times New Roman" w:hAnsi="Times New Roman" w:eastAsia="Times New Roman" w:cs="Times New Roman"/>
        </w:rPr>
        <w:t xml:space="preserve">, </w:t>
      </w:r>
      <w:r>
        <w:rPr>
          <w:rFonts w:ascii="Nirmala UI" w:hAnsi="Nirmala UI" w:eastAsia="Nirmala UI" w:cs="Nirmala UI"/>
        </w:rPr>
        <w:t>ඊශ්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පිහිටුවා</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පූජාව</w:t>
      </w:r>
      <w:r>
        <w:rPr>
          <w:rFonts w:ascii="Times New Roman" w:hAnsi="Times New Roman" w:eastAsia="Times New Roman" w:cs="Times New Roman"/>
        </w:rPr>
        <w:t xml:space="preserve"> </w:t>
      </w:r>
      <w:r>
        <w:rPr>
          <w:rFonts w:ascii="Nirmala UI" w:hAnsi="Nirmala UI" w:eastAsia="Nirmala UI" w:cs="Nirmala UI"/>
        </w:rPr>
        <w:t>ඔප්පු</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සුවඳදුම්</w:t>
      </w:r>
      <w:r>
        <w:rPr>
          <w:rFonts w:ascii="Times New Roman" w:hAnsi="Times New Roman" w:eastAsia="Times New Roman" w:cs="Times New Roman"/>
        </w:rPr>
        <w:t xml:space="preserve"> </w:t>
      </w:r>
      <w:r>
        <w:rPr>
          <w:rFonts w:ascii="Nirmala UI" w:hAnsi="Nirmala UI" w:eastAsia="Nirmala UI" w:cs="Nirmala UI"/>
        </w:rPr>
        <w:t>දල්වා</w:t>
      </w:r>
      <w:r>
        <w:rPr>
          <w:rFonts w:ascii="Times New Roman" w:hAnsi="Times New Roman" w:eastAsia="Times New Roman" w:cs="Times New Roman"/>
        </w:rPr>
        <w:t xml:space="preserve"> </w:t>
      </w:r>
      <w:r>
        <w:rPr>
          <w:rFonts w:ascii="Nirmala UI" w:hAnsi="Nirmala UI" w:eastAsia="Nirmala UI" w:cs="Nirmala UI"/>
        </w:rPr>
        <w:t>යවමින්</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1 </w:t>
      </w:r>
      <w:r>
        <w:rPr>
          <w:rFonts w:ascii="Nirmala UI" w:hAnsi="Nirmala UI" w:eastAsia="Nirmala UI" w:cs="Nirmala UI"/>
        </w:rPr>
        <w:t>රාජාවලිය</w:t>
      </w:r>
      <w:r>
        <w:rPr>
          <w:rFonts w:ascii="Times New Roman" w:hAnsi="Times New Roman" w:eastAsia="Times New Roman" w:cs="Times New Roman"/>
        </w:rPr>
        <w:t xml:space="preserve"> 12:26–33.</w:t>
      </w:r>
    </w:p>
    <w:p>
      <w:pPr>
        <w:pStyle w:val="ArticleBody"/>
        <w:jc w:val="left"/>
      </w:pPr>
      <w:r>
        <w:rPr>
          <w:rFonts w:ascii="Times New Roman" w:hAnsi="Times New Roman" w:eastAsia="Times New Roman" w:cs="Times New Roman"/>
        </w:rPr>
        <w:t>Dan signifie jugement et représente un état ; Bethel signifie la maison de Dieu. Dans la rébellion d’Aaron comme dans celle du roi Jéroboam, les symboles désignent l’union de l’Église et de l’État qui s’accomplit finalement lors de la loi du dimanche aux États-Unis.</w:t>
      </w:r>
    </w:p>
    <w:p>
      <w:pPr>
        <w:pStyle w:val="ArticleBody"/>
        <w:jc w:val="left"/>
      </w:pPr>
      <w:r>
        <w:rPr>
          <w:rFonts w:ascii="Times New Roman" w:hAnsi="Times New Roman" w:eastAsia="Times New Roman" w:cs="Times New Roman"/>
        </w:rPr>
        <w:t>Pas de dimanche survient à la fin de l’adventisme, et au commencement de l’adventisme, le mouvement, qui avait été identifié comme la corne protestante durant l’été 1844, s’unit légalement à la corne républicaine. Ainsi, la rébellion d’Aaron et de Jéroboam représente à la fois 1863 et la loi du dimanche imminente.</w:t>
      </w:r>
    </w:p>
    <w:p>
      <w:pPr>
        <w:pStyle w:val="ArticleBody"/>
        <w:jc w:val="left"/>
      </w:pPr>
      <w:r>
        <w:rPr>
          <w:rFonts w:ascii="Times New Roman" w:hAnsi="Times New Roman" w:eastAsia="Times New Roman" w:cs="Times New Roman"/>
        </w:rPr>
        <w:t>Sebab utusan perjanjian itu mentahirkan “anak-anak Lewi” dan bukan suku-suku yang lain, ialah kerana pada waktu pemberontakan anak lembu emas Harun, orang Lewilah yang berdiri bersama Musa. Oleh kesetiaan mereka, mereka kemudian dijadikan suku yang mewakili keimamatan, suatu kehormatan yang sebelumnya telah ditetapkan untuk terdiri daripada anak-anak sulung setiap suku. Inilah sebabnya Yerobeam memastikan bahawa keimamatan palsunya bukan daripada anak-anak Lewi, sebaliknya ia menjadikan imam-imamnya “daripada orang yang paling rendah antara rakyat, yang bukan daripada anak-anak Lewi.”</w:t>
      </w:r>
    </w:p>
    <w:p>
      <w:pPr>
        <w:pStyle w:val="ArticleBody"/>
        <w:jc w:val="left"/>
      </w:pPr>
      <w:r>
        <w:rPr>
          <w:rFonts w:ascii="Times New Roman" w:hAnsi="Times New Roman" w:eastAsia="Times New Roman" w:cs="Times New Roman"/>
        </w:rPr>
        <w:t>ئوغۇللىرى لاۋى شۇلاركى، يەكشەنبە قانۇنى كىرىزىسى جەريانىدا بەلگە، ياكى لەيلەتمە قۇربانلىق سۈپىتىدە ئوت بىلەن پاكلىنىدۇ. ئاخىرقى كۈنلەردىكى يەكشەنبە قانۇنى كىرىزىسىنىڭ تارىخى 1863-يىلدىكى كىرىزىس بىلەن تىپلاشتۇرۇلغان بولۇپ، شۇ ۋاقىتتا يېڭىدىن تونۇلغان پروتېستانت مۈڭگۈز قانۇنىي جەھەتتىن جۇمھۇرىيەتچى مۈڭگۈزگە باغلانغان ئىدى. بىز ھازىرلا ئىشارە قىلغان بۆلەكلەرنى تەكشۈرۈپ چىقىشنى باشلاشتىن ئىلگىرى، مۇراجىئەت قىلىشقا تېگىشلىك يەنە بىر تارىخ سىزىقىمىز بار.</w:t>
      </w:r>
    </w:p>
    <w:p>
      <w:pPr>
        <w:pStyle w:val="ArticleBody"/>
        <w:jc w:val="left"/>
      </w:pPr>
      <w:r>
        <w:rPr>
          <w:rFonts w:ascii="Times New Roman" w:hAnsi="Times New Roman" w:eastAsia="Times New Roman" w:cs="Times New Roman"/>
        </w:rPr>
        <w:t>Aquela linha é o ano de 1856, e trataremos disso em nosso próximo artigo.</w:t>
      </w:r>
    </w:p>
    <w:p>
      <w:pPr>
        <w:pStyle w:val="ArticleScripture"/>
        <w:jc w:val="left"/>
      </w:pPr>
      <w:r>
        <w:rPr>
          <w:rFonts w:ascii="Times New Roman" w:hAnsi="Times New Roman" w:eastAsia="Times New Roman" w:cs="Times New Roman"/>
        </w:rPr>
        <w:t>“Het komen van Christus als onze Hogepriester naar het allerheiligste, tot de reiniging van het heiligdom, zoals voorgesteld in Daniël 8:14; het komen van de Zoon des mensen tot de Oude van dagen, zoals weergegeven in Daniël 7:13; en het komen van de Heere tot Zijn tempel, voorzegd door Maleachi, zijn beschrijvingen van dezelfde gebeurtenis; en dit wordt ook voorgesteld door de komst van de bruidegom tot de bruiloft, zoals door Christus beschreven in de gelijkenis van de tien maagden, in Mattheüs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neuf</dc:title>
  <dc:subject>Mpaminany Nandainga</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