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Elijah - Número Diez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2023-10-13</w:t>
      </w:r>
    </w:p>
    <w:p>
      <w:pPr>
        <w:pStyle w:val="ArticleHeading"/>
        <w:jc w:val="left"/>
      </w:pPr>
      <w:r>
        <w:rPr>
          <w:rFonts w:ascii="Arial" w:hAnsi="Arial" w:eastAsia="Arial" w:cs="Arial"/>
        </w:rPr>
        <w:t>1856</w:t>
      </w:r>
    </w:p>
    <w:p>
      <w:pPr>
        <w:pStyle w:val="ArticleBody"/>
        <w:jc w:val="left"/>
      </w:pPr>
      <w:r>
        <w:rPr>
          <w:rFonts w:ascii="Times New Roman" w:hAnsi="Times New Roman" w:eastAsia="Times New Roman" w:cs="Times New Roman"/>
        </w:rPr>
        <w:t>جنبش میلری در فصل هفتم اشعیا به‌وسیلهٔ نبوتی شصت‌وپنج‌ساله بازنمایی شد که در سال 742 ق.م. آغاز گردید. آن شصت‌وپنج سالی که در تاریخ اشعیا واقع شد، نمایانگر شصت‌وپنج سالِ از 1798 تا 1863 است. آلفا و امگا همواره پایان را همراه با آغاز به تصویر می‌کشند. نبوت شصت‌وپنج‌ساله لعنتِ «هفت بار» را علیه پادشاهی شمالی و پادشاهی جنوبی اسرائیل مشخص می‌سازد. نخستین «هفت بار» علیه پادشاهی شمالی در 723 ق.م. آغاز شد، نوزده سال پس از آن‌که اشعیا این پیشگویی را به پادشاه آحاز ارائه کرد. آخرین «هفت بار» علیه پادشاهی جنوبی در پایان آن شصت‌وپنج سال، در 677 ق.م. آغاز شد.</w:t>
      </w:r>
    </w:p>
    <w:p>
      <w:pPr>
        <w:pStyle w:val="ArticleBody"/>
        <w:jc w:val="left"/>
      </w:pPr>
      <w:r>
        <w:rPr>
          <w:rFonts w:ascii="Times New Roman" w:hAnsi="Times New Roman" w:eastAsia="Times New Roman" w:cs="Times New Roman"/>
        </w:rPr>
        <w:t>La première malédiction de sept temps prononcée contre Éphraïm prit fin en 1798, au temps de la fin, lorsque la vision du fleuve Ulaï, aux chapitres huit et neuf de Daniel, fut descellée. Elle marqua prophétiquement à la fois l’arrivée du message du premier ange et le commencement prophétique du mouvement millérite. La dernière malédiction de sept temps prononcée contre Juda prit fin en 1844, ce qui correspondit à l’arrivée du message du troisième ange. Dix-neuf ans plus tard, en 1863, les soixante-cinq années représentées au début de la prédiction marquèrent la fin du mouvement millérite et le commencement de l’Église adventiste du septième jour laodicéenne. Sept ans avant 1863, en 1856, James White commença à reconnaître que le mouvement millérite avait cessé d’être l’Église de Philadelphie et était devenu l’Église de Laodicée. Son petit-fils, en rédigeant la biographie d’Ellen White, écrit au sujet de l’histoire de 1856 et du message laodicéen.</w:t>
      </w:r>
    </w:p>
    <w:p>
      <w:pPr>
        <w:pStyle w:val="ArticleHeading"/>
        <w:jc w:val="left"/>
      </w:pPr>
      <w:r>
        <w:rPr>
          <w:rFonts w:ascii="Arial" w:hAnsi="Arial" w:eastAsia="Arial" w:cs="Arial"/>
        </w:rPr>
        <w:t>“Molayezo epai ya Laodicée”</w:t>
      </w:r>
    </w:p>
    <w:p>
      <w:pPr>
        <w:pStyle w:val="ArticleScripture"/>
        <w:jc w:val="left"/>
      </w:pPr>
      <w:r>
        <w:rPr>
          <w:rFonts w:ascii="Times New Roman" w:hAnsi="Times New Roman" w:eastAsia="Times New Roman" w:cs="Times New Roman"/>
        </w:rPr>
        <w:t>«Адведтистҳои риоякунандаи шанбе чунин мавқеъро ихтиёр карда буданд, ки паёмҳо ба ҳафт калисо дар Ваҳй 2 ва 3 таҷрибаи калисои масеҳиро дар тӯли асрҳо тасвир менамоянд. Хулосаи онҳо ин буд, ки паёми ба калисои Лоудиқия равонашуда ба онҳое дахл дорад, ки онҳо акнун онҳоро адвентистҳои номӣ меномиданд, яъне ба онҳое, ки шанбеи рӯзи ҳафтумро напазируфта буданд. Дар як сармақолаи кӯтоҳ дар Review аз 9 октябр, Ҷеймс Уайт чанд саволи андешабарангезро матраҳ кард, ки онҳоро бо чунин изҳорот оғоз намуд:»</w:t>
      </w:r>
    </w:p>
    <w:p>
      <w:pPr>
        <w:pStyle w:val="ArticleScripture"/>
        <w:jc w:val="left"/>
      </w:pPr>
      <w:r>
        <w:rPr>
          <w:rFonts w:ascii="Times New Roman" w:hAnsi="Times New Roman" w:eastAsia="Times New Roman" w:cs="Times New Roman"/>
        </w:rPr>
        <w:t>“L’enquête commence de nouveau à se faire entendre : ‘Sentinelle, qu’en est-il de la nuit ?’ Pour le moment, il n’y a place que pour quelques questions, posées afin d’attirer l’attention sur le sujet auquel elles se rapportent. Nous espérons qu’une réponse complète sera bientôt donnée.—Review and Herald, 9 oct. 1856.</w:t>
      </w:r>
    </w:p>
    <w:p>
      <w:pPr>
        <w:pStyle w:val="ArticleScripture"/>
        <w:jc w:val="left"/>
      </w:pPr>
      <w:r>
        <w:rPr>
          <w:rFonts w:ascii="Times New Roman" w:hAnsi="Times New Roman" w:eastAsia="Times New Roman" w:cs="Times New Roman"/>
        </w:rPr>
        <w:t>“Ek vr die elf vrae wat hy gestel het, is dit die sesde wat op die Laodiseërs gefokus het.</w:t>
      </w:r>
    </w:p>
    <w:p>
      <w:pPr>
        <w:pStyle w:val="ArticleScripture"/>
        <w:jc w:val="left"/>
      </w:pPr>
      <w:r>
        <w:rPr>
          <w:rFonts w:ascii="Times New Roman" w:hAnsi="Times New Roman" w:eastAsia="Times New Roman" w:cs="Times New Roman"/>
        </w:rPr>
        <w:t>“6. Ne Lâodikyalıların durumu (ılık, ne soğuk ne sıcak) üçüncü meleğin mesajını ikrar edenlerin topluluğunun durumunu tam olarak tasvir etmiyor mu?—Ibid.”</w:t>
      </w:r>
    </w:p>
    <w:p>
      <w:pPr>
        <w:pStyle w:val="ArticleScripture"/>
        <w:jc w:val="left"/>
      </w:pPr>
      <w:r>
        <w:rPr>
          <w:rFonts w:ascii="Times New Roman" w:hAnsi="Times New Roman" w:eastAsia="Times New Roman" w:cs="Times New Roman"/>
        </w:rPr>
        <w:t>“Dernière question lays the matter open:</w:t>
      </w:r>
    </w:p>
    <w:p>
      <w:pPr>
        <w:pStyle w:val="ArticleScripture"/>
        <w:jc w:val="left"/>
      </w:pPr>
      <w:r>
        <w:rPr>
          <w:rFonts w:ascii="Times New Roman" w:hAnsi="Times New Roman" w:eastAsia="Times New Roman" w:cs="Times New Roman"/>
        </w:rPr>
        <w:t>«11. Si telle est notre condition en tant que peuple, avons-nous quelque véritable raison d’espérer la faveur de Dieu, à moins que nous ne prêtions attention au “conseil” du Témoin fidèle? Je te conseille d’acheter de moi de l’or éprouvé par le feu, afin que tu deviennes riche; et des vêtements blancs, afin que tu sois vêtu, et que la honte de ta nudité ne paraisse point; et oins tes yeux d’un collyre, afin que tu voies. Moi, je reprends et je châtie tous ceux que j’aime: aie donc du zèle, et repens-toi. Voici, je me tiens à la porte, et je frappe: si quelqu’un entend ma voix, et ouvre la porte, j’entrerai chez lui, je souperai avec lui, et lui avec moi. À celui qui vaincra j’accorderai de s’asseoir avec moi sur mon trône, comme moi aussi j’ai vaincu et me suis assis avec mon Père sur son trône. Apocalypse 3:18–21.—Ibid. »</w:t>
      </w:r>
    </w:p>
    <w:p>
      <w:pPr>
        <w:pStyle w:val="ArticleScripture"/>
        <w:jc w:val="left"/>
      </w:pPr>
      <w:r>
        <w:rPr>
          <w:rFonts w:ascii="Times New Roman" w:hAnsi="Times New Roman" w:eastAsia="Times New Roman" w:cs="Times New Roman"/>
        </w:rPr>
        <w:t xml:space="preserve">ff </w:t>
      </w:r>
      <w:r>
        <w:rPr>
          <w:rFonts w:ascii="Nirmala UI" w:hAnsi="Nirmala UI" w:eastAsia="Nirmala UI" w:cs="Nirmala UI"/>
        </w:rPr>
        <w:t>ನಲ್ಲಿ</w:t>
      </w:r>
      <w:r>
        <w:rPr>
          <w:rFonts w:ascii="Times New Roman" w:hAnsi="Times New Roman" w:eastAsia="Times New Roman" w:cs="Times New Roman"/>
        </w:rPr>
        <w:t xml:space="preserve"> </w:t>
      </w:r>
      <w:r>
        <w:rPr>
          <w:rFonts w:ascii="Nirmala UI" w:hAnsi="Nirmala UI" w:eastAsia="Nirmala UI" w:cs="Nirmala UI"/>
        </w:rPr>
        <w:t>ಅನುವಾದಿಸಬೇಕಾದ</w:t>
      </w:r>
      <w:r>
        <w:rPr>
          <w:rFonts w:ascii="Times New Roman" w:hAnsi="Times New Roman" w:eastAsia="Times New Roman" w:cs="Times New Roman"/>
        </w:rPr>
        <w:t xml:space="preserve"> </w:t>
      </w:r>
      <w:r>
        <w:rPr>
          <w:rFonts w:ascii="Nirmala UI" w:hAnsi="Nirmala UI" w:eastAsia="Nirmala UI" w:cs="Nirmala UI"/>
        </w:rPr>
        <w:t>ಪಠ್ಯದಲ್ಲಿ</w:t>
      </w:r>
      <w:r>
        <w:rPr>
          <w:rFonts w:ascii="Times New Roman" w:hAnsi="Times New Roman" w:eastAsia="Times New Roman" w:cs="Times New Roman"/>
        </w:rPr>
        <w:t xml:space="preserve"> “ff” </w:t>
      </w:r>
      <w:r>
        <w:rPr>
          <w:rFonts w:ascii="Nirmala UI" w:hAnsi="Nirmala UI" w:eastAsia="Nirmala UI" w:cs="Nirmala UI"/>
        </w:rPr>
        <w:t>ಯಾವ</w:t>
      </w:r>
      <w:r>
        <w:rPr>
          <w:rFonts w:ascii="Times New Roman" w:hAnsi="Times New Roman" w:eastAsia="Times New Roman" w:cs="Times New Roman"/>
        </w:rPr>
        <w:t xml:space="preserve"> </w:t>
      </w:r>
      <w:r>
        <w:rPr>
          <w:rFonts w:ascii="Nirmala UI" w:hAnsi="Nirmala UI" w:eastAsia="Nirmala UI" w:cs="Nirmala UI"/>
        </w:rPr>
        <w:t>ಭಾಷೆಯನ್ನು</w:t>
      </w:r>
      <w:r>
        <w:rPr>
          <w:rFonts w:ascii="Times New Roman" w:hAnsi="Times New Roman" w:eastAsia="Times New Roman" w:cs="Times New Roman"/>
        </w:rPr>
        <w:t xml:space="preserve"> </w:t>
      </w:r>
      <w:r>
        <w:rPr>
          <w:rFonts w:ascii="Nirmala UI" w:hAnsi="Nirmala UI" w:eastAsia="Nirmala UI" w:cs="Nirmala UI"/>
        </w:rPr>
        <w:t>ಸೂಚಿಸುತ್ತದೆಯೋ</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ಸ್ಪಷ್ಟವಾಗಿಲ್ಲ</w:t>
      </w:r>
      <w:r>
        <w:rPr>
          <w:rFonts w:ascii="Times New Roman" w:hAnsi="Times New Roman" w:eastAsia="Times New Roman" w:cs="Times New Roman"/>
        </w:rPr>
        <w:t xml:space="preserve">. </w:t>
      </w:r>
      <w:r>
        <w:rPr>
          <w:rFonts w:ascii="Nirmala UI" w:hAnsi="Nirmala UI" w:eastAsia="Nirmala UI" w:cs="Nirmala UI"/>
        </w:rPr>
        <w:t>ದಯವಿಟ್ಟು</w:t>
      </w:r>
      <w:r>
        <w:rPr>
          <w:rFonts w:ascii="Times New Roman" w:hAnsi="Times New Roman" w:eastAsia="Times New Roman" w:cs="Times New Roman"/>
        </w:rPr>
        <w:t xml:space="preserve"> </w:t>
      </w:r>
      <w:r>
        <w:rPr>
          <w:rFonts w:ascii="Nirmala UI" w:hAnsi="Nirmala UI" w:eastAsia="Nirmala UI" w:cs="Nirmala UI"/>
        </w:rPr>
        <w:t>ಗುರಿಭಾಷೆಯನ್ನು</w:t>
      </w:r>
      <w:r>
        <w:rPr>
          <w:rFonts w:ascii="Times New Roman" w:hAnsi="Times New Roman" w:eastAsia="Times New Roman" w:cs="Times New Roman"/>
        </w:rPr>
        <w:t xml:space="preserve"> </w:t>
      </w:r>
      <w:r>
        <w:rPr>
          <w:rFonts w:ascii="Nirmala UI" w:hAnsi="Nirmala UI" w:eastAsia="Nirmala UI" w:cs="Nirmala UI"/>
        </w:rPr>
        <w:t>ತಿಳಿಸಿ</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«Miaraka amin’ny mpandinika sasany amin’izao andro izao isika dia tsy maintsy manaiky fa ireo fiangonana fito ireo dia tokony ho takarina ho maneho toe-piainan’ny fiangonana kristiana fito, ao anatin’ny vanim-potoana fito, mandrakotra ny fizotry ny vanim-potoana kristiana manontolo.—Ibid., 16 Oktobra 1856. »</w:t>
      </w:r>
    </w:p>
    <w:p>
      <w:pPr>
        <w:pStyle w:val="ArticleScripture"/>
        <w:jc w:val="left"/>
      </w:pPr>
      <w:r>
        <w:rPr>
          <w:rFonts w:ascii="Times New Roman" w:hAnsi="Times New Roman" w:eastAsia="Times New Roman" w:cs="Times New Roman"/>
        </w:rPr>
        <w:t>«Мо́н пас прэдикасьон ан-сюит, трайтан шак лёглиза сэпарамман. Ан вэнан а ла сэтьем, лаодисеэн, ил деклара:»</w:t>
      </w:r>
    </w:p>
    <w:p>
      <w:pPr>
        <w:pStyle w:val="ArticleScripture"/>
        <w:jc w:val="left"/>
      </w:pPr>
      <w:r>
        <w:rPr>
          <w:rFonts w:ascii="Times New Roman" w:hAnsi="Times New Roman" w:eastAsia="Times New Roman" w:cs="Times New Roman"/>
        </w:rPr>
        <w:t>« Combien humiliante pour nous, en tant que peuple, est la triste description de cette Église ! Et cette redoutable description n’est-elle pas un tableau des plus parfaits de notre condition présente ? Elle l’est ; et il ne servira à rien d’essayer d’éluder la force de ce témoignage pénétrant adressé à l’Église de Laodicée. Que le Seigneur nous aide à le recevoir et à en tirer profit. —Ibid. »</w:t>
      </w:r>
    </w:p>
    <w:p>
      <w:pPr>
        <w:pStyle w:val="ArticleScripture"/>
        <w:jc w:val="left"/>
      </w:pPr>
      <w:r>
        <w:rPr>
          <w:rFonts w:ascii="Times New Roman" w:hAnsi="Times New Roman" w:eastAsia="Times New Roman" w:cs="Times New Roman"/>
        </w:rPr>
        <w:t>« Après avoir consacré deux colonnes à l’Église de Laodicée, ses remarques finales lancèrent un appel pressant : »</w:t>
      </w:r>
    </w:p>
    <w:p>
      <w:pPr>
        <w:pStyle w:val="ArticleScripture"/>
        <w:jc w:val="left"/>
      </w:pPr>
      <w:r>
        <w:rPr>
          <w:rFonts w:ascii="Times New Roman" w:hAnsi="Times New Roman" w:eastAsia="Times New Roman" w:cs="Times New Roman"/>
        </w:rPr>
        <w:t>«Chers frères, nous devons vaincre le monde, la chair et le diable, sinon nous n’aurons aucune part dans le royaume de Dieu.... Saisissez-vous immédiatement de cette œuvre, et, par la foi, réclamez les gracieuses promesses faites aux Laodicéens repentants. Levez-vous au nom du Seigneur, et que votre lumière luise à la gloire de Son nom béni. — Ibid.»</w:t>
      </w:r>
    </w:p>
    <w:p>
      <w:pPr>
        <w:pStyle w:val="ArticleScripture"/>
        <w:jc w:val="left"/>
      </w:pPr>
      <w:r>
        <w:rPr>
          <w:rFonts w:ascii="Times New Roman" w:hAnsi="Times New Roman" w:eastAsia="Times New Roman" w:cs="Times New Roman"/>
        </w:rPr>
        <w:t>«La réponse venant du champ fut électrisante. G. W. Holt écrivit de l’Ohio, le 20 octobre :»</w:t>
      </w:r>
    </w:p>
    <w:p>
      <w:pPr>
        <w:pStyle w:val="ArticleScripture"/>
        <w:jc w:val="left"/>
      </w:pPr>
      <w:r>
        <w:rPr>
          <w:rFonts w:ascii="Times New Roman" w:hAnsi="Times New Roman" w:eastAsia="Times New Roman" w:cs="Times New Roman"/>
        </w:rPr>
        <w:t>“Ee, ndzi pfumela leswaku hina lava nga eka rungula ra vunharhu, lava nga ni milawu ya Xikwembu ni ripfumelo ra Yesu, hi vona kereke leyi marito lawa ma kongomisiweke eka yona; naswona a hi nge hatliseli ngopfu eku kombeleni nsuku lowu ringiweke ni nguvu yo basa, ni murhi wa matihlo, leswaku hi kota ku vona.—Ibid., Nov. 6, 1856.</w:t>
      </w:r>
    </w:p>
    <w:p>
      <w:pPr>
        <w:pStyle w:val="ArticleScripture"/>
        <w:jc w:val="left"/>
      </w:pPr>
      <w:r>
        <w:rPr>
          <w:rFonts w:ascii="Times New Roman" w:hAnsi="Times New Roman" w:eastAsia="Times New Roman" w:cs="Times New Roman"/>
        </w:rPr>
        <w:t>« Depuis le Nord-Est, une nouvelle voix se fit entendre sur ce sujet, celle de Stephen N. Haskell, de Princeton, Massachusetts. Adventiste observant le premier jour, il avait commencé à prêcher à l’âge de vingt ans ; maintenant, trois ans plus tard, il était entré dans le message du troisième ange. Étudiant approfondi de la Bible, après avoir lu le bref éditorial initial de White introduisant la question des sept Églises, il choisit d’écrire pour la Review un article développé : »</w:t>
      </w:r>
    </w:p>
    <w:p>
      <w:pPr>
        <w:pStyle w:val="ArticleScripture"/>
        <w:jc w:val="left"/>
      </w:pPr>
      <w:r>
        <w:rPr>
          <w:rFonts w:ascii="Times New Roman" w:hAnsi="Times New Roman" w:eastAsia="Times New Roman" w:cs="Times New Roman"/>
        </w:rPr>
        <w:t>« Le sujet auquel il est fait référence a été pour moi, depuis quelques mois déjà, d’un profond intérêt.... Depuis quelque temps, j’ai été amené à croire que le message adressé aux Laodicéens nous concerne; c’est-à-dire, ceux qui croient au message du troisième ange, pour de nombreuses raisons que je considère comme bonnes. J’en mentionnerai deux.—Ibid. »</w:t>
      </w:r>
    </w:p>
    <w:p>
      <w:pPr>
        <w:pStyle w:val="ArticleScripture"/>
        <w:jc w:val="left"/>
      </w:pPr>
      <w:r>
        <w:rPr>
          <w:rFonts w:ascii="Times New Roman" w:hAnsi="Times New Roman" w:eastAsia="Times New Roman" w:cs="Times New Roman"/>
        </w:rPr>
        <w:t>« C’est ce qu’il fait, en consacrant deux colonnes à ses conclusions. En terminant, il déclara : »</w:t>
      </w:r>
    </w:p>
    <w:p>
      <w:pPr>
        <w:pStyle w:val="ArticleScripture"/>
        <w:jc w:val="left"/>
      </w:pPr>
      <w:r>
        <w:rPr>
          <w:rFonts w:ascii="Times New Roman" w:hAnsi="Times New Roman" w:eastAsia="Times New Roman" w:cs="Times New Roman"/>
        </w:rPr>
        <w:t>« Une théorie du message du troisième ange ne nous sauvera jamais, non, jamais, sans le vêtement de noces, qui est la justice des saints. Nous devons achever la sainteté dans la crainte du Seigneur. — Ibid. »</w:t>
      </w:r>
    </w:p>
    <w:p>
      <w:pPr>
        <w:pStyle w:val="ArticleScripture"/>
        <w:jc w:val="left"/>
      </w:pPr>
      <w:r>
        <w:rPr>
          <w:rFonts w:ascii="Times New Roman" w:hAnsi="Times New Roman" w:eastAsia="Times New Roman" w:cs="Times New Roman"/>
        </w:rPr>
        <w:t>«Pendant que James White poursuivait ses éditoriaux sur le message adressé à l’Église de Laodicée, les idées que les adventistes observateurs du sabbat lisaient alors dans la Review étaient saisissantes; mais, après un examen réfléchi et accompagné de prière, elles furent reconnues comme applicables. Les lettres adressées à la rédaction manifestaient un accord assez général et indiquaient qu’un réveil était en cours. Que ce message pénétrant ne fût pas le produit d’une excitation passagère fut attesté par le premier article du Témoignage n° 3, publié en avril 1857, intitulé Sois zélé et repens-toi. Il s’ouvre par ces mots : « Le Seigneur m’a montré en vision certaines choses concernant l’Église dans son état actuel de tiédeur, que je vais vous rapporter. » —1T, p. 141. Ellen White y présenta ce qui lui avait été montré au sujet des attaques de Satan contre l’Église par le moyen de la prospérité terrestre et des possessions.» Arthur White, Ellen G. White: The Early Years, volume 1, 342–344.</w:t>
      </w:r>
    </w:p>
    <w:p>
      <w:pPr>
        <w:pStyle w:val="ArticleBody"/>
        <w:jc w:val="left"/>
      </w:pPr>
      <w:r>
        <w:rPr>
          <w:rFonts w:ascii="Times New Roman" w:hAnsi="Times New Roman" w:eastAsia="Times New Roman" w:cs="Times New Roman"/>
        </w:rPr>
        <w:t>La mouvance millérite commença prophétiquement en tant qu’Église de Philadelphie, et en 1856 elle devint l’Église de Laodicée. Sept ans plus tard, cette mouvance prit fin, et l’Église adventiste du septième jour commença en tant qu’Église de Laodicée et le demeurera, jusqu’à ce qu’elle soit vomie de la bouche du Seigneur. La mouvance des cent quarante-quatre mille sortit du sein de l’Église de Laodicée, tout comme la mouvance millérite sortit du sein de l’Église de Sardes. La mouvance des cent quarante-quatre mille est parallèle à la mouvance millérite en ce que la première mouvance passa de Philadelphie à Laodicée, tandis que la dernière mouvance passe de Laodicée à Philadelphie. Le point de transition de Philadelphie à Laodicée dans l’histoire millérite est expressément fixé à 1856 ; ainsi, le point de transition doit aussi être marqué dans la dernière mouvance, car Dieu ne change jamais. Le point de transition est identifié dans Apocalypse onze par les deux prophètes qui sont mis à mort dans les rues.</w:t>
      </w:r>
    </w:p>
    <w:p>
      <w:pPr>
        <w:pStyle w:val="ArticleScripture"/>
        <w:jc w:val="left"/>
      </w:pPr>
      <w:r>
        <w:rPr>
          <w:rFonts w:ascii="Times New Roman" w:hAnsi="Times New Roman" w:eastAsia="Times New Roman" w:cs="Times New Roman"/>
        </w:rPr>
        <w:t>Og når de har fullført sitt vitnesbyrd, skal dyret som stiger opp fra avgrunnen, føre krig mot dem og seire over dem og drepe dem. Og deres døde legemer skal ligge på gaten i den store byen, som i åndelig mening kalles Sodoma og Egypt, hvor også vår Herre ble korsfestet. Åpenbaringen 11:7, 8.</w:t>
      </w:r>
    </w:p>
    <w:p>
      <w:pPr>
        <w:pStyle w:val="ArticleBody"/>
        <w:jc w:val="left"/>
      </w:pPr>
      <w:r>
        <w:rPr>
          <w:rFonts w:ascii="Times New Roman" w:hAnsi="Times New Roman" w:eastAsia="Times New Roman" w:cs="Times New Roman"/>
        </w:rPr>
        <w:t>De lêstne bewäging soe stjerre, dan stean en dêrnei as it banier weropwekke wurde. Dêrmei soe hja har skikke nei de Republikeinske hoarn. De Republikeinske hoarn makket in byld foar it beest, en it beest dêr’t it it byld fan makket wurdt yn Iepenbiering santjin neamd, en dat beest wurdt oantsjut as de fyfde kop dy’t in deadlike wûne krige, en dy’t as de achtste kop weropwekke wurde soe. It soe weropwekke wurde as de achtste, dy’t út de sân wie.</w:t>
      </w:r>
    </w:p>
    <w:p>
      <w:pPr>
        <w:pStyle w:val="ArticleScripture"/>
        <w:jc w:val="left"/>
      </w:pPr>
      <w:r>
        <w:rPr>
          <w:rFonts w:ascii="Times New Roman" w:hAnsi="Times New Roman" w:eastAsia="Times New Roman" w:cs="Times New Roman"/>
        </w:rPr>
        <w:t>Mme sebata se neng se le teng, mme se sa le yo, le sone ke sa borobedi, mme se tswa mo go tse supa, mme se ya tatlhegong. Tshenolo 17:11.</w:t>
      </w:r>
    </w:p>
    <w:p>
      <w:pPr>
        <w:pStyle w:val="ArticleBody"/>
        <w:jc w:val="left"/>
      </w:pPr>
      <w:r>
        <w:rPr>
          <w:rFonts w:ascii="Times New Roman" w:hAnsi="Times New Roman" w:eastAsia="Times New Roman" w:cs="Times New Roman"/>
        </w:rPr>
        <w:t>Tarumbeta ya Republican ingeunda sanamu ya mnyama yule, na kwa hiyo ingeuliwa kisha kufufuliwa. Ilipofufuliwa, ingekuwa kichwa cha nane kilichotokana na vichwa saba vilivyotangulia. Tarumbeta ya Kiprotestanti hupanda juu ya yuleyule mnyama wa nchi kama tarumbeta ya Republican, na ingehitaji kuwa na mienendo iyo hiyo ya kinabii. Mabadiliko kutoka Filadelfia kwenda Laodikia katika mwamko wa Kimileri yanaakisi kimbele mabadiliko kutoka Laodikia kwenda Filadelfia katika mwamko wa mwisho.</w:t>
      </w:r>
    </w:p>
    <w:p>
      <w:pPr>
        <w:pStyle w:val="ArticleBody"/>
        <w:jc w:val="left"/>
      </w:pPr>
      <w:r>
        <w:rPr>
          <w:rFonts w:ascii="Times New Roman" w:hAnsi="Times New Roman" w:eastAsia="Times New Roman" w:cs="Times New Roman"/>
        </w:rPr>
        <w:t>Lorsque le dernier mouvement reçut une blessure mortelle le 18 juillet 2020, il mourut en tant que Laodicée. Lorsqu’ensuite, comme cela est représenté dans Apocalypse onze, il passa à Philadelphie, il représenterait la huitième Église, c’est-à-dire issue des sept. La mort survenue en l’an 2020 fut mise en parallèle avec la corne républicaine, car depuis le temps de la fin, en 1989, il y avait eu six présidents. Le sixième président reçut une blessure mortelle, qui sera guérie en 2024. Cette tête sera alors la huitième tête des États-Unis depuis le temps de la fin, en 1989, et elle sera issue des sept. Les deux cornes étaient la sixième qui devient la huitième. Cette vérité constitue une grande partie du message de la Révélation de Jésus-Christ qui est descellée juste avant la fin du temps de grâce.</w:t>
      </w:r>
    </w:p>
    <w:p>
      <w:pPr>
        <w:pStyle w:val="ArticleBody"/>
        <w:jc w:val="left"/>
      </w:pPr>
      <w:r>
        <w:rPr>
          <w:rFonts w:ascii="Times New Roman" w:hAnsi="Times New Roman" w:eastAsia="Times New Roman" w:cs="Times New Roman"/>
        </w:rPr>
        <w:t>لهٰذا ضروری ہے کہ میلرائٹ تاریخ کے بارے میں واضح فہم رکھا جائے جو ہماری موجودہ تاریخ کی تمثیل کرتی ہے۔ سسٹر وائٹ نے 1856 میں جیمز وائٹ کے لاوؔدِکیہ کے اطلاق کی اس تحریک پر تصدیق کی، اس لیے یہ ایسا اطلاق نہیں جو انسانی منطق سے اخذ کیا گیا ہو۔ سیونتھ ڈے ایڈونٹسٹ کلیسیا کے قانونی طور پر ریپبلکن سینگ کے ساتھ مربوط ہونے سے سات سال پہلے، الہام کے ذریعے اسے لاوؔدِکیہ کی کلیسیا کے طور پر شناخت کیا جا چکا تھا۔ اس کا مطلب یہ ہے کہ سیونتھ ڈے ایڈونٹسٹ کلیسیا کی پوری تاریخ میں ایک دن بھی ایسا نہیں گزرا جب وہ برہنہ، غریب، اندھی، بدحال اور قابلِ رحم نہ رہی ہو۔ یہ نبوی حقیقت، حزقی ایل باب آٹھ کی چار بتدریج بڑھتی ہوئی مکروہات کو ایڈونٹزم کی چار نسلوں کے طور پر پہچاننے کے لیے سیاق اور جواز فراہم کرتی ہے۔</w:t>
      </w:r>
    </w:p>
    <w:p>
      <w:pPr>
        <w:pStyle w:val="ArticleBody"/>
        <w:jc w:val="left"/>
      </w:pPr>
      <w:r>
        <w:rPr>
          <w:rFonts w:ascii="Times New Roman" w:hAnsi="Times New Roman" w:eastAsia="Times New Roman" w:cs="Times New Roman"/>
        </w:rPr>
        <w:t>When the Millerite history is approached from the structure of Isaiah seven’s sixty-five years, it is to be recognized that the prophecy of the seven times is the prophetic umbrella that covers the entire history of the Millerite movement. In 1856, the message to the Laodicean church became present truth for Millerite Adventism. The one who presents the message of Laodicea was not James or Ellen White, it was the Faithful and True Witness.</w:t>
      </w:r>
    </w:p>
    <w:p>
      <w:pPr>
        <w:pStyle w:val="ArticleScripture"/>
        <w:jc w:val="left"/>
      </w:pPr>
      <w:r>
        <w:rPr>
          <w:rFonts w:ascii="Times New Roman" w:hAnsi="Times New Roman" w:eastAsia="Times New Roman" w:cs="Times New Roman"/>
        </w:rPr>
        <w:t>Na kwa malaika wa kanisa la Walaodikia andika; Haya ndiyo asemayo Aliye Amina, shahidi aliye mwaminifu na wa kweli, mwanzo wa viumbe vya Mungu; Nayajua matendo yako, ya kuwa wewe si baridi wala si moto; laiti ungekuwa baridi au moto. Basi kwa kuwa wewe ni vuguvugu, wala si moto wala si baridi, nitakutapika utoke kinywani mwangu. Kwa kuwa wasema, Mimi ni tajiri, nimejitajirisha, wala sina haja ya kitu; nawe hujui ya kuwa wewe ndiwe mnyonge, mwenye mashaka, maskini, kipofu, na uchi; nakupa shauri kununua kwangu dhahabu iliyosafishwa kwa moto, upate kuwa tajiri; na mavazi meupe, upate kuvikwa, aibu ya uchi wako isionekane; na dawa ya macho ujipake macho yako, upate kuona. Wote niwapendao, nawakemea na kuwarudi; basi uwe na bidii, ukatubu. Tazama, nasimama mlangoni, nabisha; mtu akiisikia sauti yangu, na kuufungua mlango, nitaingia kwake, nami nitakula pamoja naye, yeye naye pamoja nami. Yeye ashindaye, nitampa kuketi pamoja nami katika kiti changu cha enzi, kama mimi nami nilivyoshinda, nikaketi pamoja na Baba yangu katika kiti chake cha enzi. Yeye aliye na sikio, na alisikie neno hili ambalo Roho ayaambia makanisa. Ufunuo 3:14–22.</w:t>
      </w:r>
    </w:p>
    <w:p>
      <w:pPr>
        <w:pStyle w:val="ArticleBody"/>
        <w:jc w:val="left"/>
      </w:pPr>
      <w:r>
        <w:rPr>
          <w:rFonts w:ascii="Times New Roman" w:hAnsi="Times New Roman" w:eastAsia="Times New Roman" w:cs="Times New Roman"/>
        </w:rPr>
        <w:t>Le Véritable Témoin déclare que, si quelqu’un « entend » sa voix, il entrera chez lui et « soupera avec lui ». Si Laodicée ouvrait la porte, Christ entrerait et souperait avec elle. S’il est permis à Christ d’entrer, il apporte un message, car le symbolisme du fait de manger représente la réception d’un message. Ce message peut être envisagé, de manière générale, comme étant simplement le message à Laodicée, mais ce serait là une considération superficielle de ce que représente le message qu’il offre. En 1856, Hiram Edson présenta une série de huit articles contenant l’information prophétique qui approfondit la compréhension de la toute première « prophétie de temps » que les anges de Dieu conduisirent William Miller à reconnaître et à proclamer. Dans ces huit articles, Edson identifie correctement les soixante-cinq années d’Ésaïe sept.</w:t>
      </w:r>
    </w:p>
    <w:p>
      <w:pPr>
        <w:pStyle w:val="ArticleBody"/>
        <w:jc w:val="left"/>
      </w:pPr>
      <w:r>
        <w:rPr>
          <w:rFonts w:ascii="Times New Roman" w:hAnsi="Times New Roman" w:eastAsia="Times New Roman" w:cs="Times New Roman"/>
        </w:rPr>
        <w:t>Mwanzo wa kazi ya Miller ulikuwa ni ugunduzi wa zile nyakati saba, na miaka saba kabla ya vuguvugu lililoitwa kwa jina la huduma yake kufikia mwisho wake, ufunuo wa ndani zaidi wa unabii huo huo ulitolewa kwa Uadventista wa Millerite. Ulitolewa katika mwaka uleule ambao walitambuliwa kwa uvuvio kuwa Walaodikia. Kwa jinsi ya kinabii, siku elfu mbili mia tano na ishirini baadaye katika mwaka 1863, ugunduzi wa kwanza wa Miller kuhusu wakati wa kinabii ulikataliwa. Ujumbe wa Laodikia kwa vuguvugu la Waadventista ulifika mwaka 1856, naye Bwana akabisha mlangoni mara nane, kwa makala nane, ili kuona kama angeweza kupata kuingia. Katika mwisho wa vuguvugu hilo, Shahidi wa Kweli alitamani kula pamoja na watu Wake kwa kujilisha juu ya ujumbe ule wa kwanza kabisa wa wakati tangu mwanzo wa vuguvugu. Watu Wake walikataa kula, na miaka saba, au siku elfu mbili mia tano na ishirini za kinabii, baadaye, watu Wake wakaufunga mlango ule uliokuwa umefunguliwa kwa ufunguo wa Daudi uliokuwa umewekwa mkononi mwa William Miller. Walirudi kwa nabii wa kale Msamaria aliyewalisha uongo, wakitia muhuri hatima yao ya kufa kati ya punda na simba.</w:t>
      </w:r>
    </w:p>
    <w:p>
      <w:pPr>
        <w:pStyle w:val="ArticleBody"/>
        <w:jc w:val="left"/>
      </w:pPr>
      <w:r>
        <w:rPr>
          <w:rFonts w:ascii="Times New Roman" w:hAnsi="Times New Roman" w:eastAsia="Times New Roman" w:cs="Times New Roman"/>
        </w:rPr>
        <w:t>En 1856, la corne protestante se trouvait dans la crise de la vallée de la vision, car là où il n’y a point de vision, le peuple périt. En 1856, la corne républicaine se trouvait elle aussi dans une crise.</w:t>
      </w:r>
    </w:p>
    <w:p>
      <w:pPr>
        <w:pStyle w:val="ArticleBody"/>
        <w:jc w:val="left"/>
      </w:pPr>
      <w:r>
        <w:rPr>
          <w:rFonts w:ascii="Times New Roman" w:hAnsi="Times New Roman" w:eastAsia="Times New Roman" w:cs="Times New Roman"/>
        </w:rPr>
        <w:t xml:space="preserve">1856 </w:t>
      </w:r>
      <w:r>
        <w:rPr>
          <w:rFonts w:ascii="Microsoft YaHei" w:hAnsi="Microsoft YaHei" w:eastAsia="Microsoft YaHei" w:cs="Microsoft YaHei"/>
        </w:rPr>
        <w:t>年</w:t>
      </w:r>
      <w:r>
        <w:rPr>
          <w:rFonts w:ascii="Times New Roman" w:hAnsi="Times New Roman" w:eastAsia="Times New Roman" w:cs="Times New Roman"/>
        </w:rPr>
        <w:t>,</w:t>
      </w:r>
      <w:r>
        <w:rPr>
          <w:rFonts w:ascii="Microsoft YaHei" w:hAnsi="Microsoft YaHei" w:eastAsia="Microsoft YaHei" w:cs="Microsoft YaHei"/>
        </w:rPr>
        <w:t>素有</w:t>
      </w:r>
      <w:r>
        <w:rPr>
          <w:rFonts w:ascii="Times New Roman" w:hAnsi="Times New Roman" w:eastAsia="Times New Roman" w:cs="Times New Roman"/>
        </w:rPr>
        <w:t>“</w:t>
      </w:r>
      <w:r>
        <w:rPr>
          <w:rFonts w:ascii="Microsoft YaHei" w:hAnsi="Microsoft YaHei" w:eastAsia="Microsoft YaHei" w:cs="Microsoft YaHei"/>
        </w:rPr>
        <w:t>流血堪萨斯</w:t>
      </w:r>
      <w:r>
        <w:rPr>
          <w:rFonts w:ascii="Times New Roman" w:hAnsi="Times New Roman" w:eastAsia="Times New Roman" w:cs="Times New Roman"/>
        </w:rPr>
        <w:t>”</w:t>
      </w:r>
      <w:r>
        <w:rPr>
          <w:rFonts w:ascii="Microsoft YaHei" w:hAnsi="Microsoft YaHei" w:eastAsia="Microsoft YaHei" w:cs="Microsoft YaHei"/>
        </w:rPr>
        <w:t>之称的堪萨斯</w:t>
      </w:r>
      <w:r>
        <w:rPr>
          <w:rFonts w:ascii="Times New Roman" w:hAnsi="Times New Roman" w:eastAsia="Times New Roman" w:cs="Times New Roman"/>
        </w:rPr>
        <w:t>—</w:t>
      </w:r>
      <w:r>
        <w:rPr>
          <w:rFonts w:ascii="Microsoft YaHei" w:hAnsi="Microsoft YaHei" w:eastAsia="Microsoft YaHei" w:cs="Microsoft YaHei"/>
        </w:rPr>
        <w:t>密苏里边境战争中的激烈冲突仍在持续</w:t>
      </w:r>
      <w:r>
        <w:rPr>
          <w:rFonts w:ascii="Times New Roman" w:hAnsi="Times New Roman" w:eastAsia="Times New Roman" w:cs="Times New Roman"/>
        </w:rPr>
        <w:t>.</w:t>
      </w:r>
      <w:r>
        <w:rPr>
          <w:rFonts w:ascii="Microsoft YaHei" w:hAnsi="Microsoft YaHei" w:eastAsia="Microsoft YaHei" w:cs="Microsoft YaHei"/>
        </w:rPr>
        <w:t>这场斗争所争执的是：堪萨斯究竟将以自由州还是蓄奴州的身份加入联邦</w:t>
      </w:r>
      <w:r>
        <w:rPr>
          <w:rFonts w:ascii="Times New Roman" w:hAnsi="Times New Roman" w:eastAsia="Times New Roman" w:cs="Times New Roman"/>
        </w:rPr>
        <w:t>.</w:t>
      </w:r>
      <w:r>
        <w:rPr>
          <w:rFonts w:ascii="Microsoft YaHei" w:hAnsi="Microsoft YaHei" w:eastAsia="Microsoft YaHei" w:cs="Microsoft YaHei"/>
        </w:rPr>
        <w:t>该冲突包括支持奴隶制与反对奴隶制的定居者之间的暴力冲突</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 xml:space="preserve">«ff» </w:t>
      </w:r>
      <w:r>
        <w:rPr>
          <w:rFonts w:ascii="Microsoft YaHei" w:hAnsi="Microsoft YaHei" w:eastAsia="Microsoft YaHei" w:cs="Microsoft YaHei"/>
        </w:rPr>
        <w:t>指的是哪种语言？请告知目标语言名称</w:t>
      </w:r>
      <w:r>
        <w:rPr>
          <w:rFonts w:ascii="Times New Roman" w:hAnsi="Times New Roman" w:eastAsia="Times New Roman" w:cs="Times New Roman"/>
        </w:rPr>
        <w:t>,</w:t>
      </w:r>
      <w:r>
        <w:rPr>
          <w:rFonts w:ascii="Microsoft YaHei" w:hAnsi="Microsoft YaHei" w:eastAsia="Microsoft YaHei" w:cs="Microsoft YaHei"/>
        </w:rPr>
        <w:t>我将按要求只返回译文</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1856</w:t>
      </w:r>
      <w:r>
        <w:rPr>
          <w:rFonts w:ascii="Microsoft YaHei" w:hAnsi="Microsoft YaHei" w:eastAsia="Microsoft YaHei" w:cs="Microsoft YaHei"/>
        </w:rPr>
        <w:t>年</w:t>
      </w:r>
      <w:r>
        <w:rPr>
          <w:rFonts w:ascii="Times New Roman" w:hAnsi="Times New Roman" w:eastAsia="Times New Roman" w:cs="Times New Roman"/>
        </w:rPr>
        <w:t>,</w:t>
      </w:r>
      <w:r>
        <w:rPr>
          <w:rFonts w:ascii="Microsoft YaHei" w:hAnsi="Microsoft YaHei" w:eastAsia="Microsoft YaHei" w:cs="Microsoft YaHei"/>
        </w:rPr>
        <w:t>共和党成立</w:t>
      </w:r>
      <w:r>
        <w:rPr>
          <w:rFonts w:ascii="Times New Roman" w:hAnsi="Times New Roman" w:eastAsia="Times New Roman" w:cs="Times New Roman"/>
        </w:rPr>
        <w:t>,</w:t>
      </w:r>
      <w:r>
        <w:rPr>
          <w:rFonts w:ascii="Microsoft YaHei" w:hAnsi="Microsoft YaHei" w:eastAsia="Microsoft YaHei" w:cs="Microsoft YaHei"/>
        </w:rPr>
        <w:t>以回应</w:t>
      </w:r>
      <w:r>
        <w:rPr>
          <w:rFonts w:ascii="Times New Roman" w:hAnsi="Times New Roman" w:eastAsia="Times New Roman" w:cs="Times New Roman"/>
        </w:rPr>
        <w:t>1854</w:t>
      </w:r>
      <w:r>
        <w:rPr>
          <w:rFonts w:ascii="Microsoft YaHei" w:hAnsi="Microsoft YaHei" w:eastAsia="Microsoft YaHei" w:cs="Microsoft YaHei"/>
        </w:rPr>
        <w:t>年通过的</w:t>
      </w:r>
      <w:r>
        <w:rPr>
          <w:rFonts w:ascii="Times New Roman" w:hAnsi="Times New Roman" w:eastAsia="Times New Roman" w:cs="Times New Roman"/>
        </w:rPr>
        <w:t>«</w:t>
      </w:r>
      <w:r>
        <w:rPr>
          <w:rFonts w:ascii="Microsoft YaHei" w:hAnsi="Microsoft YaHei" w:eastAsia="Microsoft YaHei" w:cs="Microsoft YaHei"/>
        </w:rPr>
        <w:t>堪萨斯</w:t>
      </w:r>
      <w:r>
        <w:rPr>
          <w:rFonts w:ascii="Times New Roman" w:hAnsi="Times New Roman" w:eastAsia="Times New Roman" w:cs="Times New Roman"/>
        </w:rPr>
        <w:t>—</w:t>
      </w:r>
      <w:r>
        <w:rPr>
          <w:rFonts w:ascii="Microsoft YaHei" w:hAnsi="Microsoft YaHei" w:eastAsia="Microsoft YaHei" w:cs="Microsoft YaHei"/>
        </w:rPr>
        <w:t>内布拉斯加法案</w:t>
      </w:r>
      <w:r>
        <w:rPr>
          <w:rFonts w:ascii="Times New Roman" w:hAnsi="Times New Roman" w:eastAsia="Times New Roman" w:cs="Times New Roman"/>
        </w:rPr>
        <w:t>»</w:t>
      </w:r>
      <w:r>
        <w:rPr>
          <w:rFonts w:ascii="Microsoft YaHei" w:hAnsi="Microsoft YaHei" w:eastAsia="Microsoft YaHei" w:cs="Microsoft YaHei"/>
        </w:rPr>
        <w:t>所引发的政治动荡</w:t>
      </w:r>
      <w:r>
        <w:rPr>
          <w:rFonts w:ascii="Times New Roman" w:hAnsi="Times New Roman" w:eastAsia="Times New Roman" w:cs="Times New Roman"/>
        </w:rPr>
        <w:t>;</w:t>
      </w:r>
      <w:r>
        <w:rPr>
          <w:rFonts w:ascii="Microsoft YaHei" w:hAnsi="Microsoft YaHei" w:eastAsia="Microsoft YaHei" w:cs="Microsoft YaHei"/>
        </w:rPr>
        <w:t>该法案促成了日益高涨的反对奴隶制向新领土扩张的声浪</w:t>
      </w:r>
      <w:r>
        <w:rPr>
          <w:rFonts w:ascii="Times New Roman" w:hAnsi="Times New Roman" w:eastAsia="Times New Roman" w:cs="Times New Roman"/>
        </w:rPr>
        <w:t>.</w:t>
      </w:r>
      <w:r>
        <w:rPr>
          <w:rFonts w:ascii="Microsoft YaHei" w:hAnsi="Microsoft YaHei" w:eastAsia="Microsoft YaHei" w:cs="Microsoft YaHei"/>
        </w:rPr>
        <w:t>该党的第一次全国代表大会在费城举行</w:t>
      </w:r>
      <w:r>
        <w:rPr>
          <w:rFonts w:ascii="Times New Roman" w:hAnsi="Times New Roman" w:eastAsia="Times New Roman" w:cs="Times New Roman"/>
        </w:rPr>
        <w:t>,</w:t>
      </w:r>
      <w:r>
        <w:rPr>
          <w:rFonts w:ascii="Microsoft YaHei" w:hAnsi="Microsoft YaHei" w:eastAsia="Microsoft YaHei" w:cs="Microsoft YaHei"/>
        </w:rPr>
        <w:t>约翰</w:t>
      </w:r>
      <w:r>
        <w:rPr>
          <w:rFonts w:ascii="Times New Roman" w:hAnsi="Times New Roman" w:eastAsia="Times New Roman" w:cs="Times New Roman"/>
        </w:rPr>
        <w:t>·C·</w:t>
      </w:r>
      <w:r>
        <w:rPr>
          <w:rFonts w:ascii="Microsoft YaHei" w:hAnsi="Microsoft YaHei" w:eastAsia="Microsoft YaHei" w:cs="Microsoft YaHei"/>
        </w:rPr>
        <w:t>弗里蒙特被选为该党在</w:t>
      </w:r>
      <w:r>
        <w:rPr>
          <w:rFonts w:ascii="Times New Roman" w:hAnsi="Times New Roman" w:eastAsia="Times New Roman" w:cs="Times New Roman"/>
        </w:rPr>
        <w:t>1856</w:t>
      </w:r>
      <w:r>
        <w:rPr>
          <w:rFonts w:ascii="Microsoft YaHei" w:hAnsi="Microsoft YaHei" w:eastAsia="Microsoft YaHei" w:cs="Microsoft YaHei"/>
        </w:rPr>
        <w:t>年总统选举中的首位总统候选人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قانون کانزاس-نبراسکا، سرزمین‌های کانزاس و نبراسکا را سازمان‌دهی کرد و به ساکنان آن سرزمین‌ها اجازه داد تصمیم بگیرند که آیا برده‌داری را در داخل مرزهای خود مجاز خواهند شمرد یا نه. این مفهوم که به «حاکمیت مردمی» معروف شد، عملاً مصالحهٔ میزوریِ ۱۸۲۰ را که برده‌داری را در شمالِ مدار 36°30’ در قلمرو لوئیزیانا ممنوع کرده بود، لغو کرد. این قانون تأثیری عمیق بر مسئلهٔ برده‌داری در سرزمین‌ها گذاشت. این قانون تنش‌های منطقه‌ای را از نو شعله‌ور ساخت، زیرا این امکان را گشود که برده‌داری بتواند به نواحی‌ای گسترش یابد که پیش‌تر سرزمین آزاد به شمار می‌رفتند، مانند کانزاس. تصویب قانون کانزاس-نبراسکا به هجوم ساکنانِ موافقِ برده‌داری و مخالفِ برده‌داری به قلمرو کانزاس انجامید، که هر یک امید داشتند بر نتیجهٔ رأی‌گیریِ حاکمیت مردمی تأثیر بگذارند. این رقابت برای به‌دست گرفتن کنترل آن قلمرو به درگیری‌های خشونت‌بار و دوره‌ای از بی‌قانونی انجامید که در سال ۱۸۵۶ به «کانزاسِ خونین» معروف شد.</w:t>
      </w:r>
    </w:p>
    <w:p>
      <w:pPr>
        <w:pStyle w:val="ArticleBody"/>
        <w:jc w:val="left"/>
      </w:pPr>
      <w:r>
        <w:rPr>
          <w:rFonts w:ascii="Times New Roman" w:hAnsi="Times New Roman" w:eastAsia="Times New Roman" w:cs="Times New Roman"/>
        </w:rPr>
        <w:t>L’élection présidentielle de 1856 fut un événement politique d’importance. Elle donna lieu à une compétition à trois entre le démocrate James Buchanan, le républicain John C. Fremont et l’ancien président Millard Fillmore, du Parti américain. James Buchanan remporta l’élection et devint le 15e président des États-Unis.</w:t>
      </w:r>
    </w:p>
    <w:p>
      <w:pPr>
        <w:pStyle w:val="ArticleBody"/>
        <w:jc w:val="left"/>
      </w:pPr>
      <w:r>
        <w:rPr>
          <w:rFonts w:ascii="Times New Roman" w:hAnsi="Times New Roman" w:eastAsia="Times New Roman" w:cs="Times New Roman"/>
        </w:rPr>
        <w:t>Le mandat présidentiel de James Buchanan est principalement connu pour son incapacité à faire face efficacement aux tensions et aux divisions croissantes entre le Nord et le Sud, lesquelles aboutirent finalement au déclenchement de la guerre de Sécession peu après qu’il eut quitté ses fonctions. Sa présidence est souvent considérée comme l’une des moins réussies de l’histoire américaine, en raison de ces graves défaillances dans l’exercice du leadership et dans la gestion de la crise.</w:t>
      </w:r>
    </w:p>
    <w:p>
      <w:pPr>
        <w:pStyle w:val="ArticleBody"/>
        <w:jc w:val="left"/>
      </w:pPr>
      <w:r>
        <w:rPr>
          <w:rFonts w:ascii="Times New Roman" w:hAnsi="Times New Roman" w:eastAsia="Times New Roman" w:cs="Times New Roman"/>
        </w:rPr>
        <w:t>Le tristement célèbre arrêt Dred Scott de 1857 déclara que les esclaves, qu’ils soient asservis ou libres, n’étaient pas des citoyens et ne pouvaient ester en justice devant les tribunaux fédéraux. Il déclara également que le Congrès ne pouvait empêcher l’esclavage dans les territoires des États-Unis. Le démocrate Buchanan approuva publiquement l’arrêt Dred Scott favorable à l’esclavage.</w:t>
      </w:r>
    </w:p>
    <w:p>
      <w:pPr>
        <w:pStyle w:val="ArticleBody"/>
        <w:jc w:val="left"/>
      </w:pPr>
      <w:r>
        <w:rPr>
          <w:rFonts w:ascii="Times New Roman" w:hAnsi="Times New Roman" w:eastAsia="Times New Roman" w:cs="Times New Roman"/>
        </w:rPr>
        <w:t>Democrat Buchanan gumina uchaykuna-man yanapakuq kasqanqa mana chayllachu Guerra Civil nisqaman tensiónkuna astawan wiñachirqan, aswanpas paypa mana atisqan suyupa economía nisqanta allinta kamachiyta apamurqan Panic of 1857 nisqata, chaymi huknin hatun aswan llaqtayuq qullqi urmaykunamanta karqan Estados Unidospa historiannimpi, manaraq Great Depression nisqa hamuqtin. Panic of 1857 nisqaqa sinchi qullqi ñak’ariyta apamurqan, mayqinmi achka wata duraqarqan. Negociokuna wan bancokuna wichq’arqanku, desempleo yapakurqan, hinaspa bolsa de valores urmaykurqan.</w:t>
      </w:r>
    </w:p>
    <w:p>
      <w:pPr>
        <w:pStyle w:val="ArticleBody"/>
        <w:jc w:val="left"/>
      </w:pPr>
      <w:r>
        <w:rPr>
          <w:rFonts w:ascii="Times New Roman" w:hAnsi="Times New Roman" w:eastAsia="Times New Roman" w:cs="Times New Roman"/>
        </w:rPr>
        <w:t>Trong nhiệm kỳ tổng thống của Buchanan, các tiểu bang miền Nam bắt đầu tiến trình ly khai khỏi Liên bang, và họ tách ra để đáp lại việc Abraham Lincoln thuộc Đảng Cộng hòa được bầu vào năm 1860. Buchanan đã áp dụng một cách tiếp cận thụ động đối với cuộc khủng hoảng ly khai, cho rằng chính phủ liên bang không có thẩm quyền cưỡng bức ngăn chặn sự ly khai. Sự thiếu hành động dứt khoát này đã khiến phong trào ly khai có thêm đà phát triển. Việc ông thiếu sự lãnh đạo mạnh mẽ và miễn cưỡng thực hiện những hành động quyết đoán để giải quyết cuộc khủng hoảng ly khai đã góp phần tạo nên nhận thức của miền Nam rằng họ có thể rời khỏi Liên bang mà không phải đối mặt với sự chống đối bằng quân sự.</w:t>
      </w:r>
    </w:p>
    <w:p>
      <w:pPr>
        <w:pStyle w:val="ArticleBody"/>
        <w:jc w:val="left"/>
      </w:pPr>
      <w:r>
        <w:rPr>
          <w:rFonts w:ascii="Times New Roman" w:hAnsi="Times New Roman" w:eastAsia="Times New Roman" w:cs="Times New Roman"/>
        </w:rPr>
        <w:t>Ni mwaka wa 1860 ambapo Abraham Lincoln, Rais wa kwanza wa Chama cha Republican, alichaguliwa. Tarehe 1 Januari 1863, Rais Lincoln alitia saini na kutoa Tangazo la mwisho la Ukombozi (Emancipation Proclamation), lililotangaza kwamba watu wote waliokuwa watumwani katika maeneo yaliyokuwa chini ya Muungano wa Kusini (Confederacy) walipaswa kuwekwa huru. Amri hii ya kiutendaji ilikuwa na athari kubwa katika Vita vya wenyewe kwa wenyewe, kwa kuwa iliigeuza migogoro hiyo kuwa pambano si tu la kuuhifadhi Muungano, bali pia la kukomesha utumwa. Tangazo la Ukombozi halikuwapa uhuru mara moja watu wote waliokuwa watumwani. Lilitumika mahsusi kwa maeneo yaliyokuwa chini ya Muungano wa Kusini, ambako Muungano wa Kaskazini ulikuwa na mamlaka yenye mipaka. Kadiri majeshi ya Muungano wa Kaskazini yalivyoendelea kusonga mbele na kutwaa udhibiti wa maeneo ya Muungano wa Kusini, tangazo hilo lilitekelezwa, na watu waliokuwa watumwani katika maeneo hayo wakawekwa huru. Tangazo la Ukombozi lilikuwa hatua ya muhimu sana kuelekea kukomeshwa hatimaye kwa utumwa nchini Marekani, na lilifungua njia kwa kupitishwa kwa Marekebisho ya Kumi na Tatu ya Katiba ya Marekani, ambayo yalipitishwa na kuridhiwa tarehe 6 Desemba 1865.</w:t>
      </w:r>
    </w:p>
    <w:p>
      <w:pPr>
        <w:pStyle w:val="ArticleBody"/>
        <w:jc w:val="left"/>
      </w:pPr>
      <w:r>
        <w:rPr>
          <w:rFonts w:ascii="Times New Roman" w:hAnsi="Times New Roman" w:eastAsia="Times New Roman" w:cs="Times New Roman"/>
        </w:rPr>
        <w:t>Kutawika kwa mwaka wa 1850 na kuendelea, pembe ya Republican ilikuwa katika mgogoro wa suala la utumwa. Migawanyiko miwili ya msingi katika nchi hiyo iliwakilishwa na makundi mawili ya msingi ya fikra za kisiasa. Mchakato wa kutengana ulianza mwaka wa 1856, wakati makundi ya kupinga utumwa na ya kuunga mkono utumwa yalipoingia katika eneo la Kansas kwa jaribio la kudumisha maoni yao kuhusu utumwa, katika wakati uleule ambapo Philadelphia ilikuwa ikitenganishwa na Laodikia. Democrats walikuwa wa kuunga mkono utumwa, na Republicans walikuwa wa kupinga utumwa.</w:t>
      </w:r>
    </w:p>
    <w:p>
      <w:pPr>
        <w:pStyle w:val="ArticleBody"/>
        <w:jc w:val="left"/>
      </w:pPr>
      <w:r>
        <w:rPr>
          <w:rFonts w:ascii="Times New Roman" w:hAnsi="Times New Roman" w:eastAsia="Times New Roman" w:cs="Times New Roman"/>
        </w:rPr>
        <w:t>En 1856, le « Kansas sanglant » représentait un microcosme de la guerre imminente. Cette année-là, un démocrate pro-esclavagiste fut élu à la tête de la corne républicaine, et sa direction inefficace devint le symbole d’une présidence inefficace, jusqu’à ces tout derniers jours récents. Il précéda le premier président républicain qui fut contraint de réparer les dégâts laissés par la présidence de Buchanan.</w:t>
      </w:r>
    </w:p>
    <w:p>
      <w:pPr>
        <w:pStyle w:val="ArticleBody"/>
        <w:jc w:val="left"/>
      </w:pPr>
      <w:r>
        <w:rPr>
          <w:rFonts w:ascii="Times New Roman" w:hAnsi="Times New Roman" w:eastAsia="Times New Roman" w:cs="Times New Roman"/>
        </w:rPr>
        <w:t>Jusqu’en 1863, la corne républicaine émit le décret exécutif le plus important de l’histoire de la bête terrestre d’Apocalypse treize. Ce décret exécutif portait sur l’esclavage. Un paragraphe de la proclamation déclare : « Que, le premier jour de janvier, en l’an de notre Seigneur mil huit cent soixante-trois, toutes les personnes tenues comme esclaves dans tout État, ou partie désignée d’un État, dont le peuple sera alors en rébellion contre les États-Unis, seront dès lors, à partir de ce moment, et pour toujours, libres ; et le gouvernement exécutif des États-Unis, y compris son autorité militaire et navale, reconnaîtra et maintiendra la liberté de ces personnes, et n’accomplira aucun acte ou actes pour réprimer ces personnes, ou l’une quelconque d’entre elles, dans les efforts qu’elles pourraient faire pour obtenir leur liberté effective. » Bien que la résolution du problème de l’esclavage fût, à ce moment-là, historiquement incomplète, l’essence de la Constitution est reconnue lorsque Lincoln écrivit : « toutes les personnes tenues comme esclaves dans tout État … seront dès lors, à partir de ce moment, et pour toujours, libres. »</w:t>
      </w:r>
    </w:p>
    <w:p>
      <w:pPr>
        <w:pStyle w:val="ArticleBody"/>
        <w:jc w:val="left"/>
      </w:pPr>
      <w:r>
        <w:rPr>
          <w:rFonts w:ascii="Nirmala UI" w:hAnsi="Nirmala UI" w:eastAsia="Nirmala UI" w:cs="Nirmala UI"/>
        </w:rPr>
        <w:t>লিঙ্কন</w:t>
      </w:r>
      <w:r>
        <w:rPr>
          <w:rFonts w:ascii="Times New Roman" w:hAnsi="Times New Roman" w:eastAsia="Times New Roman" w:cs="Times New Roman"/>
        </w:rPr>
        <w:t xml:space="preserve"> </w:t>
      </w:r>
      <w:r>
        <w:rPr>
          <w:rFonts w:ascii="Nirmala UI" w:hAnsi="Nirmala UI" w:eastAsia="Nirmala UI" w:cs="Nirmala UI"/>
        </w:rPr>
        <w:t>সংবিধানে</w:t>
      </w:r>
      <w:r>
        <w:rPr>
          <w:rFonts w:ascii="Times New Roman" w:hAnsi="Times New Roman" w:eastAsia="Times New Roman" w:cs="Times New Roman"/>
        </w:rPr>
        <w:t xml:space="preserve"> </w:t>
      </w:r>
      <w:r>
        <w:rPr>
          <w:rFonts w:ascii="Nirmala UI" w:hAnsi="Nirmala UI" w:eastAsia="Nirmala UI" w:cs="Nirmala UI"/>
        </w:rPr>
        <w:t>ব্যক্ত</w:t>
      </w:r>
      <w:r>
        <w:rPr>
          <w:rFonts w:ascii="Times New Roman" w:hAnsi="Times New Roman" w:eastAsia="Times New Roman" w:cs="Times New Roman"/>
        </w:rPr>
        <w:t xml:space="preserve"> </w:t>
      </w:r>
      <w:r>
        <w:rPr>
          <w:rFonts w:ascii="Nirmala UI" w:hAnsi="Nirmala UI" w:eastAsia="Nirmala UI" w:cs="Nirmala UI"/>
        </w:rPr>
        <w:t>মৌলিক</w:t>
      </w:r>
      <w:r>
        <w:rPr>
          <w:rFonts w:ascii="Times New Roman" w:hAnsi="Times New Roman" w:eastAsia="Times New Roman" w:cs="Times New Roman"/>
        </w:rPr>
        <w:t xml:space="preserve"> </w:t>
      </w:r>
      <w:r>
        <w:rPr>
          <w:rFonts w:ascii="Nirmala UI" w:hAnsi="Nirmala UI" w:eastAsia="Nirmala UI" w:cs="Nirmala UI"/>
        </w:rPr>
        <w:t>নীতিতে</w:t>
      </w:r>
      <w:r>
        <w:rPr>
          <w:rFonts w:ascii="Times New Roman" w:hAnsi="Times New Roman" w:eastAsia="Times New Roman" w:cs="Times New Roman"/>
        </w:rPr>
        <w:t xml:space="preserve"> </w:t>
      </w:r>
      <w:r>
        <w:rPr>
          <w:rFonts w:ascii="Nirmala UI" w:hAnsi="Nirmala UI" w:eastAsia="Nirmala UI" w:cs="Nirmala UI"/>
        </w:rPr>
        <w:t>প্রত্যাবর্তন</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মানুষ</w:t>
      </w:r>
      <w:r>
        <w:rPr>
          <w:rFonts w:ascii="Times New Roman" w:hAnsi="Times New Roman" w:eastAsia="Times New Roman" w:cs="Times New Roman"/>
        </w:rPr>
        <w:t xml:space="preserve"> </w:t>
      </w:r>
      <w:r>
        <w:rPr>
          <w:rFonts w:ascii="Nirmala UI" w:hAnsi="Nirmala UI" w:eastAsia="Nirmala UI" w:cs="Nirmala UI"/>
        </w:rPr>
        <w:t>সমভাবে</w:t>
      </w:r>
      <w:r>
        <w:rPr>
          <w:rFonts w:ascii="Times New Roman" w:hAnsi="Times New Roman" w:eastAsia="Times New Roman" w:cs="Times New Roman"/>
        </w:rPr>
        <w:t xml:space="preserve"> </w:t>
      </w:r>
      <w:r>
        <w:rPr>
          <w:rFonts w:ascii="Nirmala UI" w:hAnsi="Nirmala UI" w:eastAsia="Nirmala UI" w:cs="Nirmala UI"/>
        </w:rPr>
        <w:t>সৃষ্ট।</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লিঙ্কন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মৌলিক</w:t>
      </w:r>
      <w:r>
        <w:rPr>
          <w:rFonts w:ascii="Times New Roman" w:hAnsi="Times New Roman" w:eastAsia="Times New Roman" w:cs="Times New Roman"/>
        </w:rPr>
        <w:t xml:space="preserve"> </w:t>
      </w:r>
      <w:r>
        <w:rPr>
          <w:rFonts w:ascii="Nirmala UI" w:hAnsi="Nirmala UI" w:eastAsia="Nirmala UI" w:cs="Nirmala UI"/>
        </w:rPr>
        <w:t>সত্যগুলোর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ফিরে</w:t>
      </w:r>
      <w:r>
        <w:rPr>
          <w:rFonts w:ascii="Times New Roman" w:hAnsi="Times New Roman" w:eastAsia="Times New Roman" w:cs="Times New Roman"/>
        </w:rPr>
        <w:t xml:space="preserve"> </w:t>
      </w:r>
      <w:r>
        <w:rPr>
          <w:rFonts w:ascii="Nirmala UI" w:hAnsi="Nirmala UI" w:eastAsia="Nirmala UI" w:cs="Nirmala UI"/>
        </w:rPr>
        <w:t>যাচ্ছিলেন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প্রোটেস্ট্যান্ট</w:t>
      </w:r>
      <w:r>
        <w:rPr>
          <w:rFonts w:ascii="Times New Roman" w:hAnsi="Times New Roman" w:eastAsia="Times New Roman" w:cs="Times New Roman"/>
        </w:rPr>
        <w:t xml:space="preserve"> </w:t>
      </w:r>
      <w:r>
        <w:rPr>
          <w:rFonts w:ascii="Nirmala UI" w:hAnsi="Nirmala UI" w:eastAsia="Nirmala UI" w:cs="Nirmala UI"/>
        </w:rPr>
        <w:t>শৃঙ্গ</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নিজস্ব</w:t>
      </w:r>
      <w:r>
        <w:rPr>
          <w:rFonts w:ascii="Times New Roman" w:hAnsi="Times New Roman" w:eastAsia="Times New Roman" w:cs="Times New Roman"/>
        </w:rPr>
        <w:t xml:space="preserve"> </w:t>
      </w:r>
      <w:r>
        <w:rPr>
          <w:rFonts w:ascii="Nirmala UI" w:hAnsi="Nirmala UI" w:eastAsia="Nirmala UI" w:cs="Nirmala UI"/>
        </w:rPr>
        <w:t>মৌলিক</w:t>
      </w:r>
      <w:r>
        <w:rPr>
          <w:rFonts w:ascii="Times New Roman" w:hAnsi="Times New Roman" w:eastAsia="Times New Roman" w:cs="Times New Roman"/>
        </w:rPr>
        <w:t xml:space="preserve"> </w:t>
      </w:r>
      <w:r>
        <w:rPr>
          <w:rFonts w:ascii="Nirmala UI" w:hAnsi="Nirmala UI" w:eastAsia="Nirmala UI" w:cs="Nirmala UI"/>
        </w:rPr>
        <w:t>ভবিষ্যদ্বাণী</w:t>
      </w:r>
      <w:r>
        <w:rPr>
          <w:rFonts w:ascii="Times New Roman" w:hAnsi="Times New Roman" w:eastAsia="Times New Roman" w:cs="Times New Roman"/>
        </w:rPr>
        <w:t>—</w:t>
      </w:r>
      <w:r>
        <w:rPr>
          <w:rFonts w:ascii="Nirmala UI" w:hAnsi="Nirmala UI" w:eastAsia="Nirmala UI" w:cs="Nirmala UI"/>
        </w:rPr>
        <w:t>অর্থাৎ</w:t>
      </w:r>
      <w:r>
        <w:rPr>
          <w:rFonts w:ascii="Times New Roman" w:hAnsi="Times New Roman" w:eastAsia="Times New Roman" w:cs="Times New Roman"/>
        </w:rPr>
        <w:t xml:space="preserve"> </w:t>
      </w:r>
      <w:r>
        <w:rPr>
          <w:rFonts w:ascii="Nirmala UI" w:hAnsi="Nirmala UI" w:eastAsia="Nirmala UI" w:cs="Nirmala UI"/>
        </w:rPr>
        <w:t>দাসত্বের</w:t>
      </w:r>
      <w:r>
        <w:rPr>
          <w:rFonts w:ascii="Times New Roman" w:hAnsi="Times New Roman" w:eastAsia="Times New Roman" w:cs="Times New Roman"/>
        </w:rPr>
        <w:t xml:space="preserve"> </w:t>
      </w:r>
      <w:r>
        <w:rPr>
          <w:rFonts w:ascii="Nirmala UI" w:hAnsi="Nirmala UI" w:eastAsia="Nirmala UI" w:cs="Nirmala UI"/>
        </w:rPr>
        <w:t>ভবিষ্যদ্বাণী</w:t>
      </w:r>
      <w:r>
        <w:rPr>
          <w:rFonts w:ascii="Times New Roman" w:hAnsi="Times New Roman" w:eastAsia="Times New Roman" w:cs="Times New Roman"/>
        </w:rPr>
        <w:t>—</w:t>
      </w:r>
      <w:r>
        <w:rPr>
          <w:rFonts w:ascii="Nirmala UI" w:hAnsi="Nirmala UI" w:eastAsia="Nirmala UI" w:cs="Nirmala UI"/>
        </w:rPr>
        <w:t>প্রত্যাখ্যান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ঠিক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রিপাবলিকান</w:t>
      </w:r>
      <w:r>
        <w:rPr>
          <w:rFonts w:ascii="Times New Roman" w:hAnsi="Times New Roman" w:eastAsia="Times New Roman" w:cs="Times New Roman"/>
        </w:rPr>
        <w:t xml:space="preserve"> </w:t>
      </w:r>
      <w:r>
        <w:rPr>
          <w:rFonts w:ascii="Nirmala UI" w:hAnsi="Nirmala UI" w:eastAsia="Nirmala UI" w:cs="Nirmala UI"/>
        </w:rPr>
        <w:t>শৃঙ্গ</w:t>
      </w:r>
      <w:r>
        <w:rPr>
          <w:rFonts w:ascii="Times New Roman" w:hAnsi="Times New Roman" w:eastAsia="Times New Roman" w:cs="Times New Roman"/>
        </w:rPr>
        <w:t xml:space="preserve"> </w:t>
      </w:r>
      <w:r>
        <w:rPr>
          <w:rFonts w:ascii="Nirmala UI" w:hAnsi="Nirmala UI" w:eastAsia="Nirmala UI" w:cs="Nirmala UI"/>
        </w:rPr>
        <w:t>দাসত্ব</w:t>
      </w:r>
      <w:r>
        <w:rPr>
          <w:rFonts w:ascii="Times New Roman" w:hAnsi="Times New Roman" w:eastAsia="Times New Roman" w:cs="Times New Roman"/>
        </w:rPr>
        <w:t>-</w:t>
      </w:r>
      <w:r>
        <w:rPr>
          <w:rFonts w:ascii="Nirmala UI" w:hAnsi="Nirmala UI" w:eastAsia="Nirmala UI" w:cs="Nirmala UI"/>
        </w:rPr>
        <w:t>সম্পর্কে</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সর্বাধিক</w:t>
      </w:r>
      <w:r>
        <w:rPr>
          <w:rFonts w:ascii="Times New Roman" w:hAnsi="Times New Roman" w:eastAsia="Times New Roman" w:cs="Times New Roman"/>
        </w:rPr>
        <w:t xml:space="preserve"> </w:t>
      </w:r>
      <w:r>
        <w:rPr>
          <w:rFonts w:ascii="Nirmala UI" w:hAnsi="Nirmala UI" w:eastAsia="Nirmala UI" w:cs="Nirmala UI"/>
        </w:rPr>
        <w:t>তাৎপর্যপূর্ণ</w:t>
      </w:r>
      <w:r>
        <w:rPr>
          <w:rFonts w:ascii="Times New Roman" w:hAnsi="Times New Roman" w:eastAsia="Times New Roman" w:cs="Times New Roman"/>
        </w:rPr>
        <w:t xml:space="preserve"> “</w:t>
      </w:r>
      <w:r>
        <w:rPr>
          <w:rFonts w:ascii="Nirmala UI" w:hAnsi="Nirmala UI" w:eastAsia="Nirmala UI" w:cs="Nirmala UI"/>
        </w:rPr>
        <w:t>নির্বাহী</w:t>
      </w:r>
      <w:r>
        <w:rPr>
          <w:rFonts w:ascii="Times New Roman" w:hAnsi="Times New Roman" w:eastAsia="Times New Roman" w:cs="Times New Roman"/>
        </w:rPr>
        <w:t xml:space="preserve"> </w:t>
      </w:r>
      <w:r>
        <w:rPr>
          <w:rFonts w:ascii="Nirmala UI" w:hAnsi="Nirmala UI" w:eastAsia="Nirmala UI" w:cs="Nirmala UI"/>
        </w:rPr>
        <w:t>আদেশ</w:t>
      </w:r>
      <w:r>
        <w:rPr>
          <w:rFonts w:ascii="Times New Roman" w:hAnsi="Times New Roman" w:eastAsia="Times New Roman" w:cs="Times New Roman"/>
        </w:rPr>
        <w:t xml:space="preserve">” </w:t>
      </w:r>
      <w:r>
        <w:rPr>
          <w:rFonts w:ascii="Nirmala UI" w:hAnsi="Nirmala UI" w:eastAsia="Nirmala UI" w:cs="Nirmala UI"/>
        </w:rPr>
        <w:t>জারি</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প্রোটেস্ট্যান্ট</w:t>
      </w:r>
      <w:r>
        <w:rPr>
          <w:rFonts w:ascii="Times New Roman" w:hAnsi="Times New Roman" w:eastAsia="Times New Roman" w:cs="Times New Roman"/>
        </w:rPr>
        <w:t xml:space="preserve"> </w:t>
      </w:r>
      <w:r>
        <w:rPr>
          <w:rFonts w:ascii="Nirmala UI" w:hAnsi="Nirmala UI" w:eastAsia="Nirmala UI" w:cs="Nirmala UI"/>
        </w:rPr>
        <w:t>শৃঙ্গও</w:t>
      </w:r>
      <w:r>
        <w:rPr>
          <w:rFonts w:ascii="Times New Roman" w:hAnsi="Times New Roman" w:eastAsia="Times New Roman" w:cs="Times New Roman"/>
        </w:rPr>
        <w:t xml:space="preserve"> </w:t>
      </w:r>
      <w:r>
        <w:rPr>
          <w:rFonts w:ascii="Nirmala UI" w:hAnsi="Nirmala UI" w:eastAsia="Nirmala UI" w:cs="Nirmala UI"/>
        </w:rPr>
        <w:t>দাসত্বের</w:t>
      </w:r>
      <w:r>
        <w:rPr>
          <w:rFonts w:ascii="Times New Roman" w:hAnsi="Times New Roman" w:eastAsia="Times New Roman" w:cs="Times New Roman"/>
        </w:rPr>
        <w:t xml:space="preserve"> </w:t>
      </w:r>
      <w:r>
        <w:rPr>
          <w:rFonts w:ascii="Nirmala UI" w:hAnsi="Nirmala UI" w:eastAsia="Nirmala UI" w:cs="Nirmala UI"/>
        </w:rPr>
        <w:t>ভবিষ্যদ্বাণী</w:t>
      </w:r>
      <w:r>
        <w:rPr>
          <w:rFonts w:ascii="Times New Roman" w:hAnsi="Times New Roman" w:eastAsia="Times New Roman" w:cs="Times New Roman"/>
        </w:rPr>
        <w:t>-</w:t>
      </w:r>
      <w:r>
        <w:rPr>
          <w:rFonts w:ascii="Nirmala UI" w:hAnsi="Nirmala UI" w:eastAsia="Nirmala UI" w:cs="Nirmala UI"/>
        </w:rPr>
        <w:t>সম্পর্কে</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মূসার</w:t>
      </w:r>
      <w:r>
        <w:rPr>
          <w:rFonts w:ascii="Times New Roman" w:hAnsi="Times New Roman" w:eastAsia="Times New Roman" w:cs="Times New Roman"/>
        </w:rPr>
        <w:t xml:space="preserve"> </w:t>
      </w:r>
      <w:r>
        <w:rPr>
          <w:rFonts w:ascii="Nirmala UI" w:hAnsi="Nirmala UI" w:eastAsia="Nirmala UI" w:cs="Nirmala UI"/>
        </w:rPr>
        <w:t>শপথ</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অভিশাপ</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প্রতীকায়িত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সর্বাধিক</w:t>
      </w:r>
      <w:r>
        <w:rPr>
          <w:rFonts w:ascii="Times New Roman" w:hAnsi="Times New Roman" w:eastAsia="Times New Roman" w:cs="Times New Roman"/>
        </w:rPr>
        <w:t xml:space="preserve"> </w:t>
      </w:r>
      <w:r>
        <w:rPr>
          <w:rFonts w:ascii="Nirmala UI" w:hAnsi="Nirmala UI" w:eastAsia="Nirmala UI" w:cs="Nirmala UI"/>
        </w:rPr>
        <w:t>তাৎপর্যপূর্ণ</w:t>
      </w:r>
      <w:r>
        <w:rPr>
          <w:rFonts w:ascii="Times New Roman" w:hAnsi="Times New Roman" w:eastAsia="Times New Roman" w:cs="Times New Roman"/>
        </w:rPr>
        <w:t xml:space="preserve"> </w:t>
      </w:r>
      <w:r>
        <w:rPr>
          <w:rFonts w:ascii="Nirmala UI" w:hAnsi="Nirmala UI" w:eastAsia="Nirmala UI" w:cs="Nirmala UI"/>
        </w:rPr>
        <w:t>নির্বাহী</w:t>
      </w:r>
      <w:r>
        <w:rPr>
          <w:rFonts w:ascii="Times New Roman" w:hAnsi="Times New Roman" w:eastAsia="Times New Roman" w:cs="Times New Roman"/>
        </w:rPr>
        <w:t xml:space="preserve"> </w:t>
      </w:r>
      <w:r>
        <w:rPr>
          <w:rFonts w:ascii="Nirmala UI" w:hAnsi="Nirmala UI" w:eastAsia="Nirmala UI" w:cs="Nirmala UI"/>
        </w:rPr>
        <w:t>আদেশ</w:t>
      </w:r>
      <w:r>
        <w:rPr>
          <w:rFonts w:ascii="Times New Roman" w:hAnsi="Times New Roman" w:eastAsia="Times New Roman" w:cs="Times New Roman"/>
        </w:rPr>
        <w:t xml:space="preserve"> </w:t>
      </w:r>
      <w:r>
        <w:rPr>
          <w:rFonts w:ascii="Nirmala UI" w:hAnsi="Nirmala UI" w:eastAsia="Nirmala UI" w:cs="Nirmala UI"/>
        </w:rPr>
        <w:t>জারি</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রিপাবলিকান</w:t>
      </w:r>
      <w:r>
        <w:rPr>
          <w:rFonts w:ascii="Times New Roman" w:hAnsi="Times New Roman" w:eastAsia="Times New Roman" w:cs="Times New Roman"/>
        </w:rPr>
        <w:t xml:space="preserve"> </w:t>
      </w:r>
      <w:r>
        <w:rPr>
          <w:rFonts w:ascii="Nirmala UI" w:hAnsi="Nirmala UI" w:eastAsia="Nirmala UI" w:cs="Nirmala UI"/>
        </w:rPr>
        <w:t>শৃঙ্গ</w:t>
      </w:r>
      <w:r>
        <w:rPr>
          <w:rFonts w:ascii="Times New Roman" w:hAnsi="Times New Roman" w:eastAsia="Times New Roman" w:cs="Times New Roman"/>
        </w:rPr>
        <w:t xml:space="preserve"> </w:t>
      </w:r>
      <w:r>
        <w:rPr>
          <w:rFonts w:ascii="Nirmala UI" w:hAnsi="Nirmala UI" w:eastAsia="Nirmala UI" w:cs="Nirmala UI"/>
        </w:rPr>
        <w:t>ভিত্তিমূলে</w:t>
      </w:r>
      <w:r>
        <w:rPr>
          <w:rFonts w:ascii="Times New Roman" w:hAnsi="Times New Roman" w:eastAsia="Times New Roman" w:cs="Times New Roman"/>
        </w:rPr>
        <w:t xml:space="preserve"> </w:t>
      </w:r>
      <w:r>
        <w:rPr>
          <w:rFonts w:ascii="Nirmala UI" w:hAnsi="Nirmala UI" w:eastAsia="Nirmala UI" w:cs="Nirmala UI"/>
        </w:rPr>
        <w:t>প্রত্যাবর্তন</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সিদ্ধান্ত</w:t>
      </w:r>
      <w:r>
        <w:rPr>
          <w:rFonts w:ascii="Times New Roman" w:hAnsi="Times New Roman" w:eastAsia="Times New Roman" w:cs="Times New Roman"/>
        </w:rPr>
        <w:t xml:space="preserve"> </w:t>
      </w:r>
      <w:r>
        <w:rPr>
          <w:rFonts w:ascii="Nirmala UI" w:hAnsi="Nirmala UI" w:eastAsia="Nirmala UI" w:cs="Nirmala UI"/>
        </w:rPr>
        <w:t>নিয়েছিল</w:t>
      </w:r>
      <w:r>
        <w:rPr>
          <w:rFonts w:ascii="Times New Roman" w:hAnsi="Times New Roman" w:eastAsia="Times New Roman" w:cs="Times New Roman"/>
        </w:rPr>
        <w:t xml:space="preserve">; </w:t>
      </w:r>
      <w:r>
        <w:rPr>
          <w:rFonts w:ascii="Nirmala UI" w:hAnsi="Nirmala UI" w:eastAsia="Nirmala UI" w:cs="Nirmala UI"/>
        </w:rPr>
        <w:t>প্রোটেস্ট্যান্ট</w:t>
      </w:r>
      <w:r>
        <w:rPr>
          <w:rFonts w:ascii="Times New Roman" w:hAnsi="Times New Roman" w:eastAsia="Times New Roman" w:cs="Times New Roman"/>
        </w:rPr>
        <w:t xml:space="preserve"> </w:t>
      </w:r>
      <w:r>
        <w:rPr>
          <w:rFonts w:ascii="Nirmala UI" w:hAnsi="Nirmala UI" w:eastAsia="Nirmala UI" w:cs="Nirmala UI"/>
        </w:rPr>
        <w:t>শৃঙ্গ</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ভিত্তিকে</w:t>
      </w:r>
      <w:r>
        <w:rPr>
          <w:rFonts w:ascii="Times New Roman" w:hAnsi="Times New Roman" w:eastAsia="Times New Roman" w:cs="Times New Roman"/>
        </w:rPr>
        <w:t xml:space="preserve"> </w:t>
      </w:r>
      <w:r>
        <w:rPr>
          <w:rFonts w:ascii="Nirmala UI" w:hAnsi="Nirmala UI" w:eastAsia="Nirmala UI" w:cs="Nirmala UI"/>
        </w:rPr>
        <w:t>প্রত্যাখ্যান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কাছেই</w:t>
      </w:r>
      <w:r>
        <w:rPr>
          <w:rFonts w:ascii="Times New Roman" w:hAnsi="Times New Roman" w:eastAsia="Times New Roman" w:cs="Times New Roman"/>
        </w:rPr>
        <w:t xml:space="preserve"> </w:t>
      </w:r>
      <w:r>
        <w:rPr>
          <w:rFonts w:ascii="Nirmala UI" w:hAnsi="Nirmala UI" w:eastAsia="Nirmala UI" w:cs="Nirmala UI"/>
        </w:rPr>
        <w:t>ফিরে</w:t>
      </w:r>
      <w:r>
        <w:rPr>
          <w:rFonts w:ascii="Times New Roman" w:hAnsi="Times New Roman" w:eastAsia="Times New Roman" w:cs="Times New Roman"/>
        </w:rPr>
        <w:t xml:space="preserve"> </w:t>
      </w:r>
      <w:r>
        <w:rPr>
          <w:rFonts w:ascii="Nirmala UI" w:hAnsi="Nirmala UI" w:eastAsia="Nirmala UI" w:cs="Nirmala UI"/>
        </w:rPr>
        <w:t>যাওয়ার</w:t>
      </w:r>
      <w:r>
        <w:rPr>
          <w:rFonts w:ascii="Times New Roman" w:hAnsi="Times New Roman" w:eastAsia="Times New Roman" w:cs="Times New Roman"/>
        </w:rPr>
        <w:t xml:space="preserve"> </w:t>
      </w:r>
      <w:r>
        <w:rPr>
          <w:rFonts w:ascii="Nirmala UI" w:hAnsi="Nirmala UI" w:eastAsia="Nirmala UI" w:cs="Nirmala UI"/>
        </w:rPr>
        <w:t>সিদ্ধান্ত</w:t>
      </w:r>
      <w:r>
        <w:rPr>
          <w:rFonts w:ascii="Times New Roman" w:hAnsi="Times New Roman" w:eastAsia="Times New Roman" w:cs="Times New Roman"/>
        </w:rPr>
        <w:t xml:space="preserve"> </w:t>
      </w:r>
      <w:r>
        <w:rPr>
          <w:rFonts w:ascii="Nirmala UI" w:hAnsi="Nirmala UI" w:eastAsia="Nirmala UI" w:cs="Nirmala UI"/>
        </w:rPr>
        <w:t>নিয়েছিল</w:t>
      </w:r>
      <w:r>
        <w:rPr>
          <w:rFonts w:ascii="Times New Roman" w:hAnsi="Times New Roman" w:eastAsia="Times New Roman" w:cs="Times New Roman"/>
        </w:rPr>
        <w:t xml:space="preserve">, </w:t>
      </w:r>
      <w:r>
        <w:rPr>
          <w:rFonts w:ascii="Nirmala UI" w:hAnsi="Nirmala UI" w:eastAsia="Nirmala UI" w:cs="Nirmala UI"/>
        </w:rPr>
        <w:t>যাদের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কখনোই</w:t>
      </w:r>
      <w:r>
        <w:rPr>
          <w:rFonts w:ascii="Times New Roman" w:hAnsi="Times New Roman" w:eastAsia="Times New Roman" w:cs="Times New Roman"/>
        </w:rPr>
        <w:t xml:space="preserve"> </w:t>
      </w:r>
      <w:r>
        <w:rPr>
          <w:rFonts w:ascii="Nirmala UI" w:hAnsi="Nirmala UI" w:eastAsia="Nirmala UI" w:cs="Nirmala UI"/>
        </w:rPr>
        <w:t>ফিরে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নির্দেশপ্রাপ্ত</w:t>
      </w:r>
      <w:r>
        <w:rPr>
          <w:rFonts w:ascii="Times New Roman" w:hAnsi="Times New Roman" w:eastAsia="Times New Roman" w:cs="Times New Roman"/>
        </w:rPr>
        <w:t xml:space="preserve"> </w:t>
      </w:r>
      <w:r>
        <w:rPr>
          <w:rFonts w:ascii="Nirmala UI" w:hAnsi="Nirmala UI" w:eastAsia="Nirmala UI" w:cs="Nirmala UI"/>
        </w:rPr>
        <w:t>হয়েছিল।</w:t>
      </w:r>
    </w:p>
    <w:p>
      <w:pPr>
        <w:pStyle w:val="ArticleBody"/>
        <w:jc w:val="left"/>
      </w:pPr>
      <w:r>
        <w:rPr>
          <w:rFonts w:ascii="Times New Roman" w:hAnsi="Times New Roman" w:eastAsia="Times New Roman" w:cs="Times New Roman"/>
        </w:rPr>
        <w:t>I te matahiti 1863, ua faataa-ê-hia te pu Republican i roto i na pu e piti, mai te faataaraa-ê-raahia o te basileia o Iseraela tahito i te tau o Ieroboama e Rehoboama. I te matahiti 1863, ua taamau-ture-hia te pu Protestant i te pu Republican, mai tei faahoho‘ahia e na fata tusia e piti a Ieroboama i Betela e i Dana. Te tere ra na pu e piti i roto i te aamu i te hoê huru afaro to raua, e te aamu o te matahiti 1863, ihoâ râ, te faahoho‘a nei i te aamu o na mahana hopea.</w:t>
      </w:r>
    </w:p>
    <w:p>
      <w:pPr>
        <w:pStyle w:val="ArticleBody"/>
        <w:jc w:val="left"/>
      </w:pPr>
      <w:r>
        <w:rPr>
          <w:rFonts w:ascii="Times New Roman" w:hAnsi="Times New Roman" w:eastAsia="Times New Roman" w:cs="Times New Roman"/>
        </w:rPr>
        <w:t>L’histoire millérite se répète dans celle des cent quarante-quatre mille, avec quelques réserves prophétiques. L’une de ces réserves est que le public visé, dans l’histoire millérite, fut d’abord constitué de ceux qui étaient en dehors du mouvement, puis, par la suite, du mouvement lui-même. Dans le mouvement des cent quarante-quatre mille, les deux voix d’Apocalypse dix-huit désignent deux publics cibles, mais ces cibles sont l’inverse de celles de l’histoire millérite. La première cible est le peuple de Dieu, et la seconde voix est l’autre troupeau de Dieu, qui est encore dans Babylone.</w:t>
      </w:r>
    </w:p>
    <w:p>
      <w:pPr>
        <w:pStyle w:val="ArticleBody"/>
        <w:jc w:val="left"/>
      </w:pPr>
      <w:r>
        <w:rPr>
          <w:rFonts w:ascii="Times New Roman" w:hAnsi="Times New Roman" w:eastAsia="Times New Roman" w:cs="Times New Roman"/>
        </w:rPr>
        <w:t>Une autre réserve prophétique est que, bien que les deux histoires passent d’une Église à une autre, les millérites passèrent de Philadelphie à Laodicée, et le puissant mouvement du troisième ange passe de Laodicée à Philadelphie. Cela montre que les millérites allèrent de la sixième à la septième Église, et que les cent quarante-quatre mille vont de la septième Église à la huitième Église, qui est des sept.</w:t>
      </w:r>
    </w:p>
    <w:p>
      <w:pPr>
        <w:pStyle w:val="ArticleBody"/>
        <w:jc w:val="left"/>
      </w:pPr>
      <w:r>
        <w:rPr>
          <w:rFonts w:ascii="Times New Roman" w:hAnsi="Times New Roman" w:eastAsia="Times New Roman" w:cs="Times New Roman"/>
        </w:rPr>
        <w:t>Jambi la Kirepublikani lilianza mwendo wake kutoka taifa la kuunga mkono utumwa kuelekea taifa la kupinga utumwa katika historia inayohusiana na mwaka 1863. Mgogoro wa historia hiyo ulianzisha vyama viwili vya kisiasa ambavyo ndivyo wapinzani wale wale katika hizi “siku za mwisho.” Kama vile rais wa kwanza wa Kirepublikani wa historia hiyo aliuawa siku chache tu baada ya vita kumalizika, ndivyo pia rais wa mwisho wa Kirepublikani alivyouawa kwa njia ya mfano na kuachwa barabarani kana kwamba amekufa huku ulimwengu ukishangilia. Aliuawa, si siku chache tu baada ya Vita vya wenyewe kwa wenyewe kumalizika, bali muda mfupi kabla ya vita vya mwisho vya wenyewe kwa wenyewe kuanza.</w:t>
      </w:r>
    </w:p>
    <w:p>
      <w:pPr>
        <w:pStyle w:val="ArticleBody"/>
        <w:jc w:val="left"/>
      </w:pPr>
      <w:r>
        <w:rPr>
          <w:rFonts w:ascii="Times New Roman" w:hAnsi="Times New Roman" w:eastAsia="Times New Roman" w:cs="Times New Roman"/>
        </w:rPr>
        <w:t>پہلے ریپبلکن صدر سے قبل امریکی تاریخ کا سب سے غیر مؤثر صدر آیا، اور آخری ریپبلکن صدر سے قبل بھی وہی ہوگا۔ اُس ڈیموکریٹ صدر کی بے اثری، جو پہلے ریپبلکن صدر سے پہلے تھا، اُس بحران کا سبب بنی جو ترقی کرتے کرتے خانہ جنگی میں بدل گیا، اور یہی بے اثری اب بھی وقوع پذیر ہو رہی ہے۔ وہ ڈیموکریٹ صدر جو آخری ریپبلکن صدر سے پہلے آتا ہے، اُس نے معیشت کو اس طور پر چلایا کہ اُس وقت تک کی امریکی تاریخ کا سب سے بڑا معاشی انہدام پیدا ہوا۔ دونوں سینگ اتوار کے قانون تک متوازی چلتے ہیں۔ 1863 میں دونوں سینگوں کی پہلی نسل کا آغاز ہوا، اور دونوں سینگوں کے لیے چوتھی اور آخری نسل مشرق کی طرف رُخ کیے ہوئے، اور سورج کو سجدہ کرتے ہوئے ہوگی۔</w:t>
      </w:r>
    </w:p>
    <w:p>
      <w:pPr>
        <w:pStyle w:val="ArticleBody"/>
        <w:jc w:val="left"/>
      </w:pPr>
      <w:r>
        <w:rPr>
          <w:rFonts w:ascii="Times New Roman" w:hAnsi="Times New Roman" w:eastAsia="Times New Roman" w:cs="Times New Roman"/>
        </w:rPr>
        <w:t>Nkhani ya Eliya nthendaŵi zonse imatsagana ndi maweruzo a Mulungu otsimikizira uthenga wa chenjezo. Tsopano anthu a dziko lapansi akukhala monga anthu a m’nthawi ya chigumula chisanafike. Akudya, akumwa, ndipo akuyembekezera kuti zimphona za ukadaulo wa padziko lonse zidzathetsa vuto lililonse limene lingabuke. Mawu a Mulungu akuzindikiritsa kuti dziko lapansi tsopano lili pa mphambano ya vuto lalikulu kwambiri.</w:t>
      </w:r>
    </w:p>
    <w:p>
      <w:pPr>
        <w:pStyle w:val="ArticleScripture"/>
        <w:jc w:val="left"/>
      </w:pPr>
      <w:r>
        <w:rPr>
          <w:rFonts w:ascii="Times New Roman" w:hAnsi="Times New Roman" w:eastAsia="Times New Roman" w:cs="Times New Roman"/>
        </w:rPr>
        <w:t>«“Quid noctis?” Percipio-ne pondus horum nuntiorum? Intellego-ne locum quem occupant in opere conclusivo magni systematis remedialis? Ita-ne mihi familiaris est “firmum verbum propheticum” ut in rebus quae circum me geruntur certam videam probationem Regem venturum iam ad ipsas fores adesse? Sentio-ne responsabilitatem quae super me incumbit, intuitu lucis quam Deus dedit? Utor-ne omni talento mihi commisso tamquam dispensator eius, in conatu rite directo ad pereuntes eruendos? An tepidus sum et indifferens, partim cum mundo impio permixtus, opibus atque facultatibus a Deo mihi datis magna ex parte ad propriam voluptatem utens, de mea quiete et commoditate magis sollicitus quam de progressu causae eius? Num ego ipso meo cursu confirmo “persuasionem quae in mundo invalescit, Adventistas Diei Septimi tubam sono incerto canere, et vestigiis mundanorum ingredi”?”»</w:t>
      </w:r>
    </w:p>
    <w:p>
      <w:pPr>
        <w:pStyle w:val="ArticleScripture"/>
        <w:jc w:val="left"/>
      </w:pPr>
      <w:r>
        <w:rPr>
          <w:rFonts w:ascii="Times New Roman" w:hAnsi="Times New Roman" w:eastAsia="Times New Roman" w:cs="Times New Roman"/>
        </w:rPr>
        <w:t>«Mi es hören die Schritte eines nahenden Gottes, der die Welt um ihrer Ungerechtigkeit willen bestrafen wird. Das Ende der Zeit ist uns nahe gekommen. Die Bewohner der Welt werden in Bündel gebunden, damit sie verbrannt werden. Sollt ihr mit dem Unkraut zusammengebunden werden? Begreift ihr, dass Jahr für Jahr Tausende und Abertausende und Zehntausend mal Zehntausend Seelen verlorengehen und in ihren Sünden sterben? Die Plagen und Gerichte Gottes tun bereits ihr Werk, und Seelen gehen dem Verderben entgegen, weil das Licht der Wahrheit nicht auf ihren Pfad hat scheinen können.» General Conference Daily Bulletin, 1. April 1897.</w:t>
      </w:r>
    </w:p>
    <w:p>
      <w:pPr>
        <w:pStyle w:val="ArticleScripture"/>
        <w:jc w:val="left"/>
      </w:pPr>
      <w:r>
        <w:rPr>
          <w:rFonts w:ascii="Times New Roman" w:hAnsi="Times New Roman" w:eastAsia="Times New Roman" w:cs="Times New Roman"/>
        </w:rPr>
        <w:t>En mon âme je t’ai désiré durant la nuit; oui, avec mon esprit au-dedans de moi je te chercherai dès l’aube; car lorsque tes jugements s’exercent sur la terre, les habitants du monde apprennent la justice. Ésaïe 26:9.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Elijah - Número Diez</dc:title>
  <dc:subject/>
  <dc:creator>Jeff Pippenger</dc:creator>
  <cp:keywords/>
  <dc:description>Generated by ArticleDigger from elijah\10_elijah.json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