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Élie — Numéro onze</w:t>
      </w:r>
    </w:p>
    <w:p>
      <w:pPr>
        <w:pStyle w:val="ArticleSubtitle"/>
        <w:jc w:val="left"/>
      </w:pPr>
      <w:r>
        <w:rPr>
          <w:rFonts w:ascii="Arial" w:hAnsi="Arial" w:eastAsia="Arial" w:cs="Arial"/>
        </w:rPr>
        <w:t>Kwansobo A Di Kananhodo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Buntak ni Aaron iti balitok a vaca idi punganay ti nagkauna nga Israel ket, iti naimpadtoan a pannakaawat, maitunos iti buntos ni Jeroboam idi punganay dagiti sangapulo a tribu ti amianan a pagarian ni Efraim. Dagitoy nasantoan a pakasaritaan ket mangipakita iti buntos ti Adventismo idi 1863.</w:t>
      </w:r>
    </w:p>
    <w:p>
      <w:pPr>
        <w:pStyle w:val="ArticleBody"/>
        <w:jc w:val="left"/>
      </w:pPr>
      <w:r>
        <w:rPr>
          <w:rFonts w:ascii="Times New Roman" w:hAnsi="Times New Roman" w:eastAsia="Times New Roman" w:cs="Times New Roman"/>
        </w:rPr>
        <w:t>بےشک 1863 کے لیے دیگر گواہ بھی ہیں، لیکن ہارون اور بادشاہ یربعام ایسے گواہ فراہم کرتے ہیں جو 1863 کی تاریخ کے اوپر منطبق ہوتے ہیں، اور یہ تمام تواریخ ایک لاکھ چوالیس ہزار کی تحریک کی وضاحت کرتی ہیں، جو پروٹسٹنٹ سینگ ہے، نہ صرف بائبلی نبوت کی چھٹی مملکت کے آخری ایام کے دوران، بلکہ مہلتِ آزمائش کے اختتام تک بھی۔ یہ تواریخ چھٹی مملکت میں ریپبلکن سینگ کی متوازی تاریخ کو بھی بیان کرتی ہیں۔</w:t>
      </w:r>
    </w:p>
    <w:p>
      <w:pPr>
        <w:pStyle w:val="ArticleBody"/>
        <w:jc w:val="left"/>
      </w:pPr>
      <w:r>
        <w:rPr>
          <w:rFonts w:ascii="Times New Roman" w:hAnsi="Times New Roman" w:eastAsia="Times New Roman" w:cs="Times New Roman"/>
        </w:rPr>
        <w:t>Dhammaan kan amanan qabaniif, Waaqayyo saba hafe kan dhuma addunyaa ta’e mana kiristaanaa Seventh-day Adventist akka ta’e amanuun dhugaa baay’ee rakkisaa ta’a. Amantiin sun dogoggora keenya isa jalqabaati. Manni kiristaanaa Laa’odiiqeyaa sabicha yeroo balaa seera Dilbataa keessatti akka mallattoo ol kaafamu bakka bu’a jedhuuf ragaan Macaafa Qulqulluu keessaa hin jiru. Dogoggorri keenya inni jalqabaa, yaada sobaa kun akkas ta’uu isaa fudhachuu keenya dha. Mallattoon dhuma addunyaatti jiru, warra miseensonni mana sagadaa Seexanaa keessaa isaan ari’an irraa ijaarama.</w:t>
      </w:r>
    </w:p>
    <w:p>
      <w:pPr>
        <w:pStyle w:val="ArticleScripture"/>
        <w:jc w:val="left"/>
      </w:pPr>
      <w:r>
        <w:rPr>
          <w:rFonts w:ascii="Times New Roman" w:hAnsi="Times New Roman" w:eastAsia="Times New Roman" w:cs="Times New Roman"/>
        </w:rPr>
        <w:t>A e ta emere akara maka mba nile, ọ ga-achịkọtakwa ndị a chụpụrụ n’Izrel, ma kpokọtakwa ndị a chụsasịrị nke Juda site n’akụkụ anọ nke ụwa. Aịsaịa 11:12.</w:t>
      </w:r>
    </w:p>
    <w:p>
      <w:pPr>
        <w:pStyle w:val="ArticleBody"/>
        <w:jc w:val="left"/>
      </w:pPr>
      <w:r>
        <w:rPr>
          <w:rFonts w:ascii="Times New Roman" w:hAnsi="Times New Roman" w:eastAsia="Times New Roman" w:cs="Times New Roman"/>
        </w:rPr>
        <w:t>Ce sont les adventistes de Laodicée qui chassent ceux qui doivent être l’étendard.</w:t>
      </w:r>
    </w:p>
    <w:p>
      <w:pPr>
        <w:pStyle w:val="ArticleScripture"/>
        <w:jc w:val="left"/>
      </w:pPr>
      <w:r>
        <w:rPr>
          <w:rFonts w:ascii="Times New Roman" w:hAnsi="Times New Roman" w:eastAsia="Times New Roman" w:cs="Times New Roman"/>
        </w:rPr>
        <w:t>Entendez la parole de l’Éternel, vous qui tremblez à sa parole ; Vos frères qui vous haïssaient, qui vous chassaient à cause de mon nom, disaient : Que l’Éternel soit glorifié ! Mais il paraîtra pour votre joie, et ils seront confus. Ésaïe 66:5.</w:t>
      </w:r>
    </w:p>
    <w:p>
      <w:pPr>
        <w:pStyle w:val="ArticleBody"/>
        <w:jc w:val="left"/>
      </w:pPr>
      <w:r>
        <w:rPr>
          <w:rFonts w:ascii="Times New Roman" w:hAnsi="Times New Roman" w:eastAsia="Times New Roman" w:cs="Times New Roman"/>
        </w:rPr>
        <w:t>Ceux qui sont l’enseigne sont rejetés à cause du « nom » de Christ. Le nom qui suscite la haine est Alpha et Oméga, car le principe d’Alpha et Oméga est ce qui identifie clairement qui l’Église adventiste du septième jour représente dans la prophétie biblique. La parabole des dix vierges représente l’adventisme.</w:t>
      </w:r>
    </w:p>
    <w:p>
      <w:pPr>
        <w:pStyle w:val="ArticleScripture"/>
        <w:jc w:val="left"/>
      </w:pPr>
      <w:r>
        <w:rPr>
          <w:rFonts w:ascii="Times New Roman" w:hAnsi="Times New Roman" w:eastAsia="Times New Roman" w:cs="Times New Roman"/>
        </w:rPr>
        <w:t>« La parabole des dix vierges de Matthieu 25 illustre également l’expérience du peuple adventiste. » The Great Controversy, 393.</w:t>
      </w:r>
    </w:p>
    <w:p>
      <w:pPr>
        <w:pStyle w:val="ArticleBody"/>
        <w:jc w:val="left"/>
      </w:pPr>
      <w:r>
        <w:rPr>
          <w:rFonts w:ascii="Times New Roman" w:hAnsi="Times New Roman" w:eastAsia="Times New Roman" w:cs="Times New Roman"/>
        </w:rPr>
        <w:t>Mfano huo ulitimizwa mwanzoni mwa Uadventista, na unatimilizwa tena kwa herufi yenyewe kabisa mwishoni.</w:t>
      </w:r>
    </w:p>
    <w:p>
      <w:pPr>
        <w:pStyle w:val="ArticleScripture"/>
        <w:jc w:val="left"/>
      </w:pPr>
      <w:r>
        <w:rPr>
          <w:rFonts w:ascii="Times New Roman" w:hAnsi="Times New Roman" w:eastAsia="Times New Roman" w:cs="Times New Roman"/>
        </w:rPr>
        <w:t>«Я часто обращаюсь к притче о десяти девах, из которых пять были мудрыми и пять — неразумными. Эта притча исполнилась и исполнится до последней буквы, ибо она имеет особое применение к настоящему времени и, подобно вести третьего ангела, исполнилась и будет оставаться истиной для настоящего времени до самого конца времени». Review and Herald, August 19, 1890.</w:t>
      </w:r>
    </w:p>
    <w:p>
      <w:pPr>
        <w:pStyle w:val="ArticleBody"/>
        <w:jc w:val="left"/>
      </w:pPr>
      <w:r>
        <w:rPr>
          <w:rFonts w:ascii="Times New Roman" w:hAnsi="Times New Roman" w:eastAsia="Times New Roman" w:cs="Times New Roman"/>
        </w:rPr>
        <w:t>Les vierges folles qui se réveillent et reconnaissent qu’elles n’ont pas d’huile sont les Laodicéens.</w:t>
      </w:r>
    </w:p>
    <w:p>
      <w:pPr>
        <w:pStyle w:val="ArticleScripture"/>
        <w:jc w:val="left"/>
      </w:pPr>
      <w:r>
        <w:rPr>
          <w:rFonts w:ascii="Times New Roman" w:hAnsi="Times New Roman" w:eastAsia="Times New Roman" w:cs="Times New Roman"/>
        </w:rPr>
        <w:t>« L’état de l’Église représenté par les vierges folles est également évoqué comme l’état de Laodicée. » Review and Herald, 19 août 1890.</w:t>
      </w:r>
    </w:p>
    <w:p>
      <w:pPr>
        <w:pStyle w:val="ArticleBody"/>
        <w:jc w:val="left"/>
      </w:pPr>
      <w:r>
        <w:rPr>
          <w:rFonts w:ascii="Times New Roman" w:hAnsi="Times New Roman" w:eastAsia="Times New Roman" w:cs="Times New Roman"/>
        </w:rPr>
        <w:t>Jijini la wanawali wenye hekima, ambao pia wanawakilishwa kama kanisa la Filadelfia, ni dhidi ya kanisa linalodai kuwa Wayahudi, lakini siyo.</w:t>
      </w:r>
    </w:p>
    <w:p>
      <w:pPr>
        <w:pStyle w:val="ArticleScripture"/>
        <w:jc w:val="left"/>
      </w:pPr>
      <w:r>
        <w:rPr>
          <w:rFonts w:ascii="Times New Roman" w:hAnsi="Times New Roman" w:eastAsia="Times New Roman" w:cs="Times New Roman"/>
        </w:rPr>
        <w:t>Eis que farei aos da sinagoga de Satanás, que se dizem judeus e não o são, mas mentem; eis que farei que venham e adorem diante de teus pés, e saibam que eu te amei. Apocalipse 3:9.</w:t>
      </w:r>
    </w:p>
    <w:p>
      <w:pPr>
        <w:pStyle w:val="ArticleBody"/>
        <w:jc w:val="left"/>
      </w:pPr>
      <w:r>
        <w:rPr>
          <w:rFonts w:ascii="Times New Roman" w:hAnsi="Times New Roman" w:eastAsia="Times New Roman" w:cs="Times New Roman"/>
        </w:rPr>
        <w:t>Soeur White aborde ce verset dans la toute première publication parue après la grande déception.</w:t>
      </w:r>
    </w:p>
    <w:p>
      <w:pPr>
        <w:pStyle w:val="ArticleScripture"/>
        <w:jc w:val="left"/>
      </w:pPr>
      <w:r>
        <w:rPr>
          <w:rFonts w:ascii="Times New Roman" w:hAnsi="Times New Roman" w:eastAsia="Times New Roman" w:cs="Times New Roman"/>
        </w:rPr>
        <w:t>«Ты думаешь, что те, которые поклоняются пред ногами святых (Откровение 3:9), в конце концов будут спасены. Здесь я должна не согласиться с тобою; ибо Бог показал мне, что этот класс составляли исповедующие адвентисты, которые отпали и “снова распинают в себе Сына Божия и подвергают Его открытому посрамлению”. И в “годину искушения”, которая ещё должна прийти, чтобы выявить истинный характер каждого, они узнают, что навеки потеряны; и, будучи подавлены скорбью духа, преклонятся к ногам святых». Word to the Little Flock, 12.</w:t>
      </w:r>
    </w:p>
    <w:p>
      <w:pPr>
        <w:pStyle w:val="ArticleBody"/>
        <w:jc w:val="left"/>
      </w:pPr>
      <w:r>
        <w:rPr>
          <w:rFonts w:ascii="Times New Roman" w:hAnsi="Times New Roman" w:eastAsia="Times New Roman" w:cs="Times New Roman"/>
        </w:rPr>
        <w:t>В пятой главе книги Исаии впервые упоминается песнь о винограднике, которую позднее использовал Христос.</w:t>
      </w:r>
    </w:p>
    <w:p>
      <w:pPr>
        <w:pStyle w:val="ArticleScripture"/>
        <w:jc w:val="left"/>
      </w:pPr>
      <w:r>
        <w:rPr>
          <w:rFonts w:ascii="Times New Roman" w:hAnsi="Times New Roman" w:eastAsia="Times New Roman" w:cs="Times New Roman"/>
        </w:rPr>
        <w:t>Maintenant je chanterai à mon bien-aimé un cantique de mon bien-aimé au sujet de sa vigne. Mon bien-aimé avait une vigne sur un coteau très fertile. Il l’entoura d’une clôture, en ôta les pierres, et y planta les ceps les plus excellents; il bâtit une tour au milieu d’elle, et y creusa aussi un pressoir. Puis il s’attendit à ce qu’elle produisît de bons raisins, mais elle produisit des raisins sauvages. Et maintenant, habitants de Jérusalem, et hommes de Juda, jugez, je vous prie, entre moi et ma vigne. Qu’aurait-on pu faire de plus à ma vigne, que je n’aie pas fait pour elle? Pourquoi, lorsque je m’attendais à ce qu’elle produisît de bons raisins, a-t-elle produit des raisins sauvages? Ésaïe 5:1–4.</w:t>
      </w:r>
    </w:p>
    <w:p>
      <w:pPr>
        <w:pStyle w:val="ArticleBody"/>
        <w:jc w:val="left"/>
      </w:pPr>
      <w:r>
        <w:rPr>
          <w:rFonts w:ascii="Times New Roman" w:hAnsi="Times New Roman" w:eastAsia="Times New Roman" w:cs="Times New Roman"/>
        </w:rPr>
        <w:t>La parabole, qu’elle se trouve dans l’Ancien Testament ou dans le Nouveau, montre que l’Église de Dieu est rejetée par Dieu pour avoir refusé de porter les fruits qu’elle avait été suscitée à produire. Dans Ésaïe cinq, à la conclusion de la parabole, le châtiment de la vigne est indiqué, tout en promettant aussi d’élever une bannière pour les nations. Il est évident que la vigne n’est pas la bannière.</w:t>
      </w:r>
    </w:p>
    <w:p>
      <w:pPr>
        <w:pStyle w:val="ArticleScripture"/>
        <w:jc w:val="left"/>
      </w:pPr>
      <w:r>
        <w:rPr>
          <w:rFonts w:ascii="Times New Roman" w:hAnsi="Times New Roman" w:eastAsia="Times New Roman" w:cs="Times New Roman"/>
        </w:rPr>
        <w:t>C’est pourquoi la colère de l’Éternel s’est embrasée contre son peuple; il a étendu sa main contre lui, et il l’a frappé. Les montagnes ont tremblé, et leurs cadavres ont été comme des balayures au milieu des rues. Malgré tout cela, sa colère ne s’est point détournée, et sa main est encore étendue. Il élèvera une bannière vers les nations lointaines, il leur sifflera de l’extrémité de la terre; et voici, elles viendront avec promptitude, avec rapidité. Ésaïe 5:25, 26.</w:t>
      </w:r>
    </w:p>
    <w:p>
      <w:pPr>
        <w:pStyle w:val="ArticleBody"/>
        <w:jc w:val="left"/>
      </w:pPr>
      <w:r>
        <w:rPr>
          <w:rFonts w:ascii="Times New Roman" w:hAnsi="Times New Roman" w:eastAsia="Times New Roman" w:cs="Times New Roman"/>
        </w:rPr>
        <w:t>Later, when Jesus sang the song as a parable, His conclusion was equally decisive.</w:t>
      </w:r>
    </w:p>
    <w:p>
      <w:pPr>
        <w:pStyle w:val="ArticleScripture"/>
        <w:jc w:val="left"/>
      </w:pPr>
      <w:r>
        <w:rPr>
          <w:rFonts w:ascii="Nirmala UI" w:hAnsi="Nirmala UI" w:eastAsia="Nirmala UI" w:cs="Nirmala UI"/>
        </w:rPr>
        <w:t>ऐक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गृहस्वामी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लगाई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दाखरस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कुण्ड</w:t>
      </w:r>
      <w:r>
        <w:rPr>
          <w:rFonts w:ascii="Times New Roman" w:hAnsi="Times New Roman" w:eastAsia="Times New Roman" w:cs="Times New Roman"/>
        </w:rPr>
        <w:t xml:space="preserve"> </w:t>
      </w:r>
      <w:r>
        <w:rPr>
          <w:rFonts w:ascii="Nirmala UI" w:hAnsi="Nirmala UI" w:eastAsia="Nirmala UI" w:cs="Nirmala UI"/>
        </w:rPr>
        <w:t>खोदा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मीनार</w:t>
      </w:r>
      <w:r>
        <w:rPr>
          <w:rFonts w:ascii="Times New Roman" w:hAnsi="Times New Roman" w:eastAsia="Times New Roman" w:cs="Times New Roman"/>
        </w:rPr>
        <w:t xml:space="preserve"> </w:t>
      </w:r>
      <w:r>
        <w:rPr>
          <w:rFonts w:ascii="Nirmala UI" w:hAnsi="Nirmala UI" w:eastAsia="Nirmala UI" w:cs="Nirmala UI"/>
        </w:rPr>
        <w:t>बनाई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बटैयों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देकर</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बटैयों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बटैयों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पकड़कर</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पीटा</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कहकर</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आदर</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बटैयों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आपस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कहने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वारिस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आओ</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मीरास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पकड़</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निकालकर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इसलिये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स्वामी</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बटैयों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बटैयों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पवित्रशास्त्र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राजमिस्त्रियों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निकम्मा</w:t>
      </w:r>
      <w:r>
        <w:rPr>
          <w:rFonts w:ascii="Times New Roman" w:hAnsi="Times New Roman" w:eastAsia="Times New Roman" w:cs="Times New Roman"/>
        </w:rPr>
        <w:t xml:space="preserve"> </w:t>
      </w:r>
      <w:r>
        <w:rPr>
          <w:rFonts w:ascii="Nirmala UI" w:hAnsi="Nirmala UI" w:eastAsia="Nirmala UI" w:cs="Nirmala UI"/>
        </w:rPr>
        <w:t>ठहराया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गिरेगा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डालेगा।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महायाजकों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फरीसियों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21:33–45.</w:t>
      </w:r>
    </w:p>
    <w:p>
      <w:pPr>
        <w:pStyle w:val="ArticleBody"/>
        <w:jc w:val="left"/>
      </w:pPr>
      <w:r>
        <w:rPr>
          <w:rFonts w:ascii="Times New Roman" w:hAnsi="Times New Roman" w:eastAsia="Times New Roman" w:cs="Times New Roman"/>
        </w:rPr>
        <w:t>Eklezia Laodikea ya Adveniste ya Mokolo ya Sambo ezali te drapo oyo etombolami. Elanga ya vinyo ya mikolo ya nsuka oyo esalemaki elembo na Yisraele ya kala ezali Eklezia Laodikea ya Adveniste ya Mokolo ya Sambo, kasi ekolo moko ekozala oyo ekobota mbuma oyo ebongi lokola mbuma ya liboso, oyo ezali nde bato nkama moko na ntuku minei na minei na nkóto.</w:t>
      </w:r>
    </w:p>
    <w:p>
      <w:pPr>
        <w:pStyle w:val="ArticleScripture"/>
        <w:jc w:val="left"/>
      </w:pPr>
      <w:r>
        <w:rPr>
          <w:rFonts w:ascii="Times New Roman" w:hAnsi="Times New Roman" w:eastAsia="Times New Roman" w:cs="Times New Roman"/>
        </w:rPr>
        <w:t>Cei sunt cei care nu s-au întinat cu femei, căci sunt feciori. Aceștia sunt cei care urmează pe Miel oriunde merge El. Aceștia au fost răscumpărați dintre oameni, fiind cele dintâi roade pentru Dumnezeu și pentru Miel. Apocalipsa 14:4.</w:t>
      </w:r>
    </w:p>
    <w:p>
      <w:pPr>
        <w:pStyle w:val="ArticleBody"/>
        <w:jc w:val="left"/>
      </w:pPr>
      <w:r>
        <w:rPr>
          <w:rFonts w:ascii="Nirmala UI" w:hAnsi="Nirmala UI" w:eastAsia="Nirmala UI" w:cs="Nirmala UI"/>
        </w:rPr>
        <w:t>ಬ್ಯಾನರ್</w:t>
      </w:r>
      <w:r>
        <w:rPr>
          <w:rFonts w:ascii="Times New Roman" w:hAnsi="Times New Roman" w:eastAsia="Times New Roman" w:cs="Times New Roman"/>
        </w:rPr>
        <w:t>‌</w:t>
      </w:r>
      <w:r>
        <w:rPr>
          <w:rFonts w:ascii="Nirmala UI" w:hAnsi="Nirmala UI" w:eastAsia="Nirmala UI" w:cs="Nirmala UI"/>
        </w:rPr>
        <w:t>ಸ್ವರೂಪದ</w:t>
      </w:r>
      <w:r>
        <w:rPr>
          <w:rFonts w:ascii="Times New Roman" w:hAnsi="Times New Roman" w:eastAsia="Times New Roman" w:cs="Times New Roman"/>
        </w:rPr>
        <w:t xml:space="preserve"> </w:t>
      </w:r>
      <w:r>
        <w:rPr>
          <w:rFonts w:ascii="Nirmala UI" w:hAnsi="Nirmala UI" w:eastAsia="Nirmala UI" w:cs="Nirmala UI"/>
        </w:rPr>
        <w:t>ಸೂಚಕರಾಗಿ</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ಅಂತಿಮ</w:t>
      </w:r>
      <w:r>
        <w:rPr>
          <w:rFonts w:ascii="Times New Roman" w:hAnsi="Times New Roman" w:eastAsia="Times New Roman" w:cs="Times New Roman"/>
        </w:rPr>
        <w:t xml:space="preserve"> </w:t>
      </w:r>
      <w:r>
        <w:rPr>
          <w:rFonts w:ascii="Nirmala UI" w:hAnsi="Nirmala UI" w:eastAsia="Nirmala UI" w:cs="Nirmala UI"/>
        </w:rPr>
        <w:t>ಕೊಯ್ಲನ್ನು</w:t>
      </w:r>
      <w:r>
        <w:rPr>
          <w:rFonts w:ascii="Times New Roman" w:hAnsi="Times New Roman" w:eastAsia="Times New Roman" w:cs="Times New Roman"/>
        </w:rPr>
        <w:t xml:space="preserve"> </w:t>
      </w:r>
      <w:r>
        <w:rPr>
          <w:rFonts w:ascii="Nirmala UI" w:hAnsi="Nirmala UI" w:eastAsia="Nirmala UI" w:cs="Nirmala UI"/>
        </w:rPr>
        <w:t>ಒಳಗೆ</w:t>
      </w:r>
      <w:r>
        <w:rPr>
          <w:rFonts w:ascii="Times New Roman" w:hAnsi="Times New Roman" w:eastAsia="Times New Roman" w:cs="Times New Roman"/>
        </w:rPr>
        <w:t xml:space="preserve"> </w:t>
      </w:r>
      <w:r>
        <w:rPr>
          <w:rFonts w:ascii="Nirmala UI" w:hAnsi="Nirmala UI" w:eastAsia="Nirmala UI" w:cs="Nirmala UI"/>
        </w:rPr>
        <w:t>ತರಲು</w:t>
      </w:r>
      <w:r>
        <w:rPr>
          <w:rFonts w:ascii="Times New Roman" w:hAnsi="Times New Roman" w:eastAsia="Times New Roman" w:cs="Times New Roman"/>
        </w:rPr>
        <w:t xml:space="preserve"> </w:t>
      </w:r>
      <w:r>
        <w:rPr>
          <w:rFonts w:ascii="Nirmala UI" w:hAnsi="Nirmala UI" w:eastAsia="Nirmala UI" w:cs="Nirmala UI"/>
        </w:rPr>
        <w:t>ಗೃಹಸ್ವಾಮಿಯಿಂದ</w:t>
      </w:r>
      <w:r>
        <w:rPr>
          <w:rFonts w:ascii="Times New Roman" w:hAnsi="Times New Roman" w:eastAsia="Times New Roman" w:cs="Times New Roman"/>
        </w:rPr>
        <w:t xml:space="preserve"> </w:t>
      </w:r>
      <w:r>
        <w:rPr>
          <w:rFonts w:ascii="Nirmala UI" w:hAnsi="Nirmala UI" w:eastAsia="Nirmala UI" w:cs="Nirmala UI"/>
        </w:rPr>
        <w:t>ಉಪಯೋಗಿಸಲ್ಪಡುವರು</w:t>
      </w:r>
      <w:r>
        <w:rPr>
          <w:rFonts w:ascii="Times New Roman" w:hAnsi="Times New Roman" w:eastAsia="Times New Roman" w:cs="Times New Roman"/>
        </w:rPr>
        <w:t xml:space="preserve">. </w:t>
      </w:r>
      <w:r>
        <w:rPr>
          <w:rFonts w:ascii="Nirmala UI" w:hAnsi="Nirmala UI" w:eastAsia="Nirmala UI" w:cs="Nirmala UI"/>
        </w:rPr>
        <w:t>ಲವೋಡಿಕೇಯದ</w:t>
      </w:r>
      <w:r>
        <w:rPr>
          <w:rFonts w:ascii="Times New Roman" w:hAnsi="Times New Roman" w:eastAsia="Times New Roman" w:cs="Times New Roman"/>
        </w:rPr>
        <w:t xml:space="preserve"> </w:t>
      </w:r>
      <w:r>
        <w:rPr>
          <w:rFonts w:ascii="Nirmala UI" w:hAnsi="Nirmala UI" w:eastAsia="Nirmala UI" w:cs="Nirmala UI"/>
        </w:rPr>
        <w:t>ಏಳನೇ</w:t>
      </w:r>
      <w:r>
        <w:rPr>
          <w:rFonts w:ascii="Times New Roman" w:hAnsi="Times New Roman" w:eastAsia="Times New Roman" w:cs="Times New Roman"/>
        </w:rPr>
        <w:t xml:space="preserve"> </w:t>
      </w:r>
      <w:r>
        <w:rPr>
          <w:rFonts w:ascii="Nirmala UI" w:hAnsi="Nirmala UI" w:eastAsia="Nirmala UI" w:cs="Nirmala UI"/>
        </w:rPr>
        <w:t>ದಿನದ</w:t>
      </w:r>
      <w:r>
        <w:rPr>
          <w:rFonts w:ascii="Times New Roman" w:hAnsi="Times New Roman" w:eastAsia="Times New Roman" w:cs="Times New Roman"/>
        </w:rPr>
        <w:t xml:space="preserve"> </w:t>
      </w:r>
      <w:r>
        <w:rPr>
          <w:rFonts w:ascii="Nirmala UI" w:hAnsi="Nirmala UI" w:eastAsia="Nirmala UI" w:cs="Nirmala UI"/>
        </w:rPr>
        <w:t>ಅಡ್ವೆಂಟಿಸ್ಟ್</w:t>
      </w:r>
      <w:r>
        <w:rPr>
          <w:rFonts w:ascii="Times New Roman" w:hAnsi="Times New Roman" w:eastAsia="Times New Roman" w:cs="Times New Roman"/>
        </w:rPr>
        <w:t xml:space="preserve"> </w:t>
      </w:r>
      <w:r>
        <w:rPr>
          <w:rFonts w:ascii="Nirmala UI" w:hAnsi="Nirmala UI" w:eastAsia="Nirmala UI" w:cs="Nirmala UI"/>
        </w:rPr>
        <w:t>ಸಭೆಯೇ</w:t>
      </w:r>
      <w:r>
        <w:rPr>
          <w:rFonts w:ascii="Times New Roman" w:hAnsi="Times New Roman" w:eastAsia="Times New Roman" w:cs="Times New Roman"/>
        </w:rPr>
        <w:t xml:space="preserve"> </w:t>
      </w:r>
      <w:r>
        <w:rPr>
          <w:rFonts w:ascii="Nirmala UI" w:hAnsi="Nirmala UI" w:eastAsia="Nirmala UI" w:cs="Nirmala UI"/>
        </w:rPr>
        <w:t>ಮೋಶೆಯ</w:t>
      </w:r>
      <w:r>
        <w:rPr>
          <w:rFonts w:ascii="Times New Roman" w:hAnsi="Times New Roman" w:eastAsia="Times New Roman" w:cs="Times New Roman"/>
        </w:rPr>
        <w:t xml:space="preserve"> “</w:t>
      </w:r>
      <w:r>
        <w:rPr>
          <w:rFonts w:ascii="Nirmala UI" w:hAnsi="Nirmala UI" w:eastAsia="Nirmala UI" w:cs="Nirmala UI"/>
        </w:rPr>
        <w:t>ಏಳು</w:t>
      </w:r>
      <w:r>
        <w:rPr>
          <w:rFonts w:ascii="Times New Roman" w:hAnsi="Times New Roman" w:eastAsia="Times New Roman" w:cs="Times New Roman"/>
        </w:rPr>
        <w:t xml:space="preserve"> </w:t>
      </w:r>
      <w:r>
        <w:rPr>
          <w:rFonts w:ascii="Nirmala UI" w:hAnsi="Nirmala UI" w:eastAsia="Nirmala UI" w:cs="Nirmala UI"/>
        </w:rPr>
        <w:t>ಕಾಲಗಳ</w:t>
      </w:r>
      <w:r>
        <w:rPr>
          <w:rFonts w:ascii="Times New Roman" w:hAnsi="Times New Roman" w:eastAsia="Times New Roman" w:cs="Times New Roman"/>
        </w:rPr>
        <w:t xml:space="preserve">” </w:t>
      </w:r>
      <w:r>
        <w:rPr>
          <w:rFonts w:ascii="Nirmala UI" w:hAnsi="Nirmala UI" w:eastAsia="Nirmala UI" w:cs="Nirmala UI"/>
        </w:rPr>
        <w:t>ಮೂಲೆಯ</w:t>
      </w:r>
      <w:r>
        <w:rPr>
          <w:rFonts w:ascii="Times New Roman" w:hAnsi="Times New Roman" w:eastAsia="Times New Roman" w:cs="Times New Roman"/>
        </w:rPr>
        <w:t xml:space="preserve"> </w:t>
      </w:r>
      <w:r>
        <w:rPr>
          <w:rFonts w:ascii="Nirmala UI" w:hAnsi="Nirmala UI" w:eastAsia="Nirmala UI" w:cs="Nirmala UI"/>
        </w:rPr>
        <w:t>ಕಲ್ಲನ್ನು</w:t>
      </w:r>
      <w:r>
        <w:rPr>
          <w:rFonts w:ascii="Times New Roman" w:hAnsi="Times New Roman" w:eastAsia="Times New Roman" w:cs="Times New Roman"/>
        </w:rPr>
        <w:t xml:space="preserve"> </w:t>
      </w:r>
      <w:r>
        <w:rPr>
          <w:rFonts w:ascii="Nirmala UI" w:hAnsi="Nirmala UI" w:eastAsia="Nirmala UI" w:cs="Nirmala UI"/>
        </w:rPr>
        <w:t>ತಿರಸ್ಕರಿಸಿದ</w:t>
      </w:r>
      <w:r>
        <w:rPr>
          <w:rFonts w:ascii="Times New Roman" w:hAnsi="Times New Roman" w:eastAsia="Times New Roman" w:cs="Times New Roman"/>
        </w:rPr>
        <w:t xml:space="preserve"> </w:t>
      </w:r>
      <w:r>
        <w:rPr>
          <w:rFonts w:ascii="Nirmala UI" w:hAnsi="Nirmala UI" w:eastAsia="Nirmala UI" w:cs="Nirmala UI"/>
        </w:rPr>
        <w:t>ದ್ರಾಕ್ಷಿತೋಟವಾಗಿದೆ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ಕ್ಷಣದಿಂದ</w:t>
      </w:r>
      <w:r>
        <w:rPr>
          <w:rFonts w:ascii="Times New Roman" w:hAnsi="Times New Roman" w:eastAsia="Times New Roman" w:cs="Times New Roman"/>
        </w:rPr>
        <w:t xml:space="preserve"> </w:t>
      </w:r>
      <w:r>
        <w:rPr>
          <w:rFonts w:ascii="Nirmala UI" w:hAnsi="Nirmala UI" w:eastAsia="Nirmala UI" w:cs="Nirmala UI"/>
        </w:rPr>
        <w:t>ಮುಂದಕ್ಕೆ</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ಕ್ರಮೇಣ</w:t>
      </w:r>
      <w:r>
        <w:rPr>
          <w:rFonts w:ascii="Times New Roman" w:hAnsi="Times New Roman" w:eastAsia="Times New Roman" w:cs="Times New Roman"/>
        </w:rPr>
        <w:t xml:space="preserve"> </w:t>
      </w:r>
      <w:r>
        <w:rPr>
          <w:rFonts w:ascii="Nirmala UI" w:hAnsi="Nirmala UI" w:eastAsia="Nirmala UI" w:cs="Nirmala UI"/>
        </w:rPr>
        <w:t>ಹೆಚ್ಚುತ್ತಾ</w:t>
      </w:r>
      <w:r>
        <w:rPr>
          <w:rFonts w:ascii="Times New Roman" w:hAnsi="Times New Roman" w:eastAsia="Times New Roman" w:cs="Times New Roman"/>
        </w:rPr>
        <w:t xml:space="preserve"> </w:t>
      </w:r>
      <w:r>
        <w:rPr>
          <w:rFonts w:ascii="Nirmala UI" w:hAnsi="Nirmala UI" w:eastAsia="Nirmala UI" w:cs="Nirmala UI"/>
        </w:rPr>
        <w:t>ಹೆಚ್ಚುತ್ತಾ</w:t>
      </w:r>
      <w:r>
        <w:rPr>
          <w:rFonts w:ascii="Times New Roman" w:hAnsi="Times New Roman" w:eastAsia="Times New Roman" w:cs="Times New Roman"/>
        </w:rPr>
        <w:t xml:space="preserve"> </w:t>
      </w:r>
      <w:r>
        <w:rPr>
          <w:rFonts w:ascii="Nirmala UI" w:hAnsi="Nirmala UI" w:eastAsia="Nirmala UI" w:cs="Nirmala UI"/>
        </w:rPr>
        <w:t>ಹೋಗುವ</w:t>
      </w:r>
      <w:r>
        <w:rPr>
          <w:rFonts w:ascii="Times New Roman" w:hAnsi="Times New Roman" w:eastAsia="Times New Roman" w:cs="Times New Roman"/>
        </w:rPr>
        <w:t xml:space="preserve"> </w:t>
      </w:r>
      <w:r>
        <w:rPr>
          <w:rFonts w:ascii="Nirmala UI" w:hAnsi="Nirmala UI" w:eastAsia="Nirmala UI" w:cs="Nirmala UI"/>
        </w:rPr>
        <w:t>ಅಂಧಕಾರದೊಳಗೆ</w:t>
      </w:r>
      <w:r>
        <w:rPr>
          <w:rFonts w:ascii="Times New Roman" w:hAnsi="Times New Roman" w:eastAsia="Times New Roman" w:cs="Times New Roman"/>
        </w:rPr>
        <w:t xml:space="preserve"> </w:t>
      </w:r>
      <w:r>
        <w:rPr>
          <w:rFonts w:ascii="Nirmala UI" w:hAnsi="Nirmala UI" w:eastAsia="Nirmala UI" w:cs="Nirmala UI"/>
        </w:rPr>
        <w:t>ಇಳಿಜಾರಾಗಿಬಿಟ್ಟಿತು</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ಸೂಚಕಧ್ವಜವು</w:t>
      </w:r>
      <w:r>
        <w:rPr>
          <w:rFonts w:ascii="Times New Roman" w:hAnsi="Times New Roman" w:eastAsia="Times New Roman" w:cs="Times New Roman"/>
        </w:rPr>
        <w:t xml:space="preserve"> “</w:t>
      </w:r>
      <w:r>
        <w:rPr>
          <w:rFonts w:ascii="Nirmala UI" w:hAnsi="Nirmala UI" w:eastAsia="Nirmala UI" w:cs="Nirmala UI"/>
        </w:rPr>
        <w:t>ಯೆಶ್ಶೆಯ</w:t>
      </w:r>
      <w:r>
        <w:rPr>
          <w:rFonts w:ascii="Times New Roman" w:hAnsi="Times New Roman" w:eastAsia="Times New Roman" w:cs="Times New Roman"/>
        </w:rPr>
        <w:t xml:space="preserve"> </w:t>
      </w:r>
      <w:r>
        <w:rPr>
          <w:rFonts w:ascii="Nirmala UI" w:hAnsi="Nirmala UI" w:eastAsia="Nirmala UI" w:cs="Nirmala UI"/>
        </w:rPr>
        <w:t>ಬೇರು</w:t>
      </w:r>
      <w:r>
        <w:rPr>
          <w:rFonts w:ascii="Times New Roman" w:hAnsi="Times New Roman" w:eastAsia="Times New Roman" w:cs="Times New Roman"/>
        </w:rPr>
        <w:t xml:space="preserve">” </w:t>
      </w:r>
      <w:r>
        <w:rPr>
          <w:rFonts w:ascii="Nirmala UI" w:hAnsi="Nirmala UI" w:eastAsia="Nirmala UI" w:cs="Nirmala UI"/>
        </w:rPr>
        <w:t>ಆಗಿರುವುದು</w:t>
      </w:r>
      <w:r>
        <w:rPr>
          <w:rFonts w:ascii="Times New Roman" w:hAnsi="Times New Roman" w:eastAsia="Times New Roman" w:cs="Times New Roman"/>
        </w:rPr>
        <w:t xml:space="preserve">. </w:t>
      </w:r>
      <w:r>
        <w:rPr>
          <w:rFonts w:ascii="Nirmala UI" w:hAnsi="Nirmala UI" w:eastAsia="Nirmala UI" w:cs="Nirmala UI"/>
        </w:rPr>
        <w:t>ಯೆಶ್ಶೆಯ</w:t>
      </w:r>
      <w:r>
        <w:rPr>
          <w:rFonts w:ascii="Times New Roman" w:hAnsi="Times New Roman" w:eastAsia="Times New Roman" w:cs="Times New Roman"/>
        </w:rPr>
        <w:t xml:space="preserve"> </w:t>
      </w:r>
      <w:r>
        <w:rPr>
          <w:rFonts w:ascii="Nirmala UI" w:hAnsi="Nirmala UI" w:eastAsia="Nirmala UI" w:cs="Nirmala UI"/>
        </w:rPr>
        <w:t>ಬೇರು</w:t>
      </w:r>
      <w:r>
        <w:rPr>
          <w:rFonts w:ascii="Times New Roman" w:hAnsi="Times New Roman" w:eastAsia="Times New Roman" w:cs="Times New Roman"/>
        </w:rPr>
        <w:t xml:space="preserve">, </w:t>
      </w:r>
      <w:r>
        <w:rPr>
          <w:rFonts w:ascii="Nirmala UI" w:hAnsi="Nirmala UI" w:eastAsia="Nirmala UI" w:cs="Nirmala UI"/>
        </w:rPr>
        <w:t>ಅಥವಾ</w:t>
      </w:r>
      <w:r>
        <w:rPr>
          <w:rFonts w:ascii="Times New Roman" w:hAnsi="Times New Roman" w:eastAsia="Times New Roman" w:cs="Times New Roman"/>
        </w:rPr>
        <w:t xml:space="preserve"> </w:t>
      </w:r>
      <w:r>
        <w:rPr>
          <w:rFonts w:ascii="Nirmala UI" w:hAnsi="Nirmala UI" w:eastAsia="Nirmala UI" w:cs="Nirmala UI"/>
        </w:rPr>
        <w:t>ದಾವೀದನು</w:t>
      </w:r>
      <w:r>
        <w:rPr>
          <w:rFonts w:ascii="Times New Roman" w:hAnsi="Times New Roman" w:eastAsia="Times New Roman" w:cs="Times New Roman"/>
        </w:rPr>
        <w:t xml:space="preserve">, </w:t>
      </w:r>
      <w:r>
        <w:rPr>
          <w:rFonts w:ascii="Nirmala UI" w:hAnsi="Nirmala UI" w:eastAsia="Nirmala UI" w:cs="Nirmala UI"/>
        </w:rPr>
        <w:t>ಯೇಸು</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ಇತಿಹಾಸದಲ್ಲಿದ್ದ</w:t>
      </w:r>
      <w:r>
        <w:rPr>
          <w:rFonts w:ascii="Times New Roman" w:hAnsi="Times New Roman" w:eastAsia="Times New Roman" w:cs="Times New Roman"/>
        </w:rPr>
        <w:t xml:space="preserve"> </w:t>
      </w:r>
      <w:r>
        <w:rPr>
          <w:rFonts w:ascii="Nirmala UI" w:hAnsi="Nirmala UI" w:eastAsia="Nirmala UI" w:cs="Nirmala UI"/>
        </w:rPr>
        <w:t>ತರ್ಕಪ್ರಿಯ</w:t>
      </w:r>
      <w:r>
        <w:rPr>
          <w:rFonts w:ascii="Times New Roman" w:hAnsi="Times New Roman" w:eastAsia="Times New Roman" w:cs="Times New Roman"/>
        </w:rPr>
        <w:t xml:space="preserve"> </w:t>
      </w:r>
      <w:r>
        <w:rPr>
          <w:rFonts w:ascii="Nirmala UI" w:hAnsi="Nirmala UI" w:eastAsia="Nirmala UI" w:cs="Nirmala UI"/>
        </w:rPr>
        <w:t>ಯೆಹೂದ್ಯರಿಗೆ</w:t>
      </w:r>
      <w:r>
        <w:rPr>
          <w:rFonts w:ascii="Times New Roman" w:hAnsi="Times New Roman" w:eastAsia="Times New Roman" w:cs="Times New Roman"/>
        </w:rPr>
        <w:t xml:space="preserve"> </w:t>
      </w:r>
      <w:r>
        <w:rPr>
          <w:rFonts w:ascii="Nirmala UI" w:hAnsi="Nirmala UI" w:eastAsia="Nirmala UI" w:cs="Nirmala UI"/>
        </w:rPr>
        <w:t>ಮಂಡಿಸಿದ</w:t>
      </w:r>
      <w:r>
        <w:rPr>
          <w:rFonts w:ascii="Times New Roman" w:hAnsi="Times New Roman" w:eastAsia="Times New Roman" w:cs="Times New Roman"/>
        </w:rPr>
        <w:t xml:space="preserve"> </w:t>
      </w:r>
      <w:r>
        <w:rPr>
          <w:rFonts w:ascii="Nirmala UI" w:hAnsi="Nirmala UI" w:eastAsia="Nirmala UI" w:cs="Nirmala UI"/>
        </w:rPr>
        <w:t>ಅತಿ</w:t>
      </w:r>
      <w:r>
        <w:rPr>
          <w:rFonts w:ascii="Times New Roman" w:hAnsi="Times New Roman" w:eastAsia="Times New Roman" w:cs="Times New Roman"/>
        </w:rPr>
        <w:t xml:space="preserve"> </w:t>
      </w:r>
      <w:r>
        <w:rPr>
          <w:rFonts w:ascii="Nirmala UI" w:hAnsi="Nirmala UI" w:eastAsia="Nirmala UI" w:cs="Nirmala UI"/>
        </w:rPr>
        <w:t>ಕೊನೆಯ</w:t>
      </w:r>
      <w:r>
        <w:rPr>
          <w:rFonts w:ascii="Times New Roman" w:hAnsi="Times New Roman" w:eastAsia="Times New Roman" w:cs="Times New Roman"/>
        </w:rPr>
        <w:t xml:space="preserve"> </w:t>
      </w:r>
      <w:r>
        <w:rPr>
          <w:rFonts w:ascii="Nirmala UI" w:hAnsi="Nirmala UI" w:eastAsia="Nirmala UI" w:cs="Nirmala UI"/>
        </w:rPr>
        <w:t>ಸತ್ಯವನ್ನು</w:t>
      </w:r>
      <w:r>
        <w:rPr>
          <w:rFonts w:ascii="Times New Roman" w:hAnsi="Times New Roman" w:eastAsia="Times New Roman" w:cs="Times New Roman"/>
        </w:rPr>
        <w:t xml:space="preserve"> </w:t>
      </w:r>
      <w:r>
        <w:rPr>
          <w:rFonts w:ascii="Nirmala UI" w:hAnsi="Nirmala UI" w:eastAsia="Nirmala UI" w:cs="Nirmala UI"/>
        </w:rPr>
        <w:t>ಪ್ರತಿನಿಧಿಸುತ್ತಾನೆ</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ಆಲ್ಫಾ</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ಓಮೆಗಾ</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ತತ್ತ್ವದ</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ಸಂಕೇತವಾಗಿದ್ದು</w:t>
      </w:r>
      <w:r>
        <w:rPr>
          <w:rFonts w:ascii="Times New Roman" w:hAnsi="Times New Roman" w:eastAsia="Times New Roman" w:cs="Times New Roman"/>
        </w:rPr>
        <w:t xml:space="preserve">, </w:t>
      </w:r>
      <w:r>
        <w:rPr>
          <w:rFonts w:ascii="Nirmala UI" w:hAnsi="Nirmala UI" w:eastAsia="Nirmala UI" w:cs="Nirmala UI"/>
        </w:rPr>
        <w:t>ಪ್ರಾಚೀನವೂ</w:t>
      </w:r>
      <w:r>
        <w:rPr>
          <w:rFonts w:ascii="Times New Roman" w:hAnsi="Times New Roman" w:eastAsia="Times New Roman" w:cs="Times New Roman"/>
        </w:rPr>
        <w:t xml:space="preserve"> </w:t>
      </w:r>
      <w:r>
        <w:rPr>
          <w:rFonts w:ascii="Nirmala UI" w:hAnsi="Nirmala UI" w:eastAsia="Nirmala UI" w:cs="Nirmala UI"/>
        </w:rPr>
        <w:t>ಆಧುನಿಕವೂ</w:t>
      </w:r>
      <w:r>
        <w:rPr>
          <w:rFonts w:ascii="Times New Roman" w:hAnsi="Times New Roman" w:eastAsia="Times New Roman" w:cs="Times New Roman"/>
        </w:rPr>
        <w:t xml:space="preserve"> </w:t>
      </w:r>
      <w:r>
        <w:rPr>
          <w:rFonts w:ascii="Nirmala UI" w:hAnsi="Nirmala UI" w:eastAsia="Nirmala UI" w:cs="Nirmala UI"/>
        </w:rPr>
        <w:t>ಆದ</w:t>
      </w:r>
      <w:r>
        <w:rPr>
          <w:rFonts w:ascii="Times New Roman" w:hAnsi="Times New Roman" w:eastAsia="Times New Roman" w:cs="Times New Roman"/>
        </w:rPr>
        <w:t xml:space="preserve"> </w:t>
      </w:r>
      <w:r>
        <w:rPr>
          <w:rFonts w:ascii="Nirmala UI" w:hAnsi="Nirmala UI" w:eastAsia="Nirmala UI" w:cs="Nirmala UI"/>
        </w:rPr>
        <w:t>ಇಸ್ರಾಯೇಲಿನ</w:t>
      </w:r>
      <w:r>
        <w:rPr>
          <w:rFonts w:ascii="Times New Roman" w:hAnsi="Times New Roman" w:eastAsia="Times New Roman" w:cs="Times New Roman"/>
        </w:rPr>
        <w:t xml:space="preserve"> </w:t>
      </w:r>
      <w:r>
        <w:rPr>
          <w:rFonts w:ascii="Nirmala UI" w:hAnsi="Nirmala UI" w:eastAsia="Nirmala UI" w:cs="Nirmala UI"/>
        </w:rPr>
        <w:t>ಅವಿಶ್ವಾಸಿ</w:t>
      </w:r>
      <w:r>
        <w:rPr>
          <w:rFonts w:ascii="Times New Roman" w:hAnsi="Times New Roman" w:eastAsia="Times New Roman" w:cs="Times New Roman"/>
        </w:rPr>
        <w:t xml:space="preserve"> </w:t>
      </w:r>
      <w:r>
        <w:rPr>
          <w:rFonts w:ascii="Nirmala UI" w:hAnsi="Nirmala UI" w:eastAsia="Nirmala UI" w:cs="Nirmala UI"/>
        </w:rPr>
        <w:t>ದ್ರಾಕ್ಷಿತೋಟಗಾರರು</w:t>
      </w:r>
      <w:r>
        <w:rPr>
          <w:rFonts w:ascii="Times New Roman" w:hAnsi="Times New Roman" w:eastAsia="Times New Roman" w:cs="Times New Roman"/>
        </w:rPr>
        <w:t xml:space="preserve"> </w:t>
      </w:r>
      <w:r>
        <w:rPr>
          <w:rFonts w:ascii="Nirmala UI" w:hAnsi="Nirmala UI" w:eastAsia="Nirmala UI" w:cs="Nirmala UI"/>
        </w:rPr>
        <w:t>ಅದನ್ನು</w:t>
      </w:r>
      <w:r>
        <w:rPr>
          <w:rFonts w:ascii="Times New Roman" w:hAnsi="Times New Roman" w:eastAsia="Times New Roman" w:cs="Times New Roman"/>
        </w:rPr>
        <w:t xml:space="preserve"> </w:t>
      </w:r>
      <w:r>
        <w:rPr>
          <w:rFonts w:ascii="Nirmala UI" w:hAnsi="Nirmala UI" w:eastAsia="Nirmala UI" w:cs="Nirmala UI"/>
        </w:rPr>
        <w:t>ಗ್ರಹಿಸಲು</w:t>
      </w:r>
      <w:r>
        <w:rPr>
          <w:rFonts w:ascii="Times New Roman" w:hAnsi="Times New Roman" w:eastAsia="Times New Roman" w:cs="Times New Roman"/>
        </w:rPr>
        <w:t xml:space="preserve"> </w:t>
      </w:r>
      <w:r>
        <w:rPr>
          <w:rFonts w:ascii="Nirmala UI" w:hAnsi="Nirmala UI" w:eastAsia="Nirmala UI" w:cs="Nirmala UI"/>
        </w:rPr>
        <w:t>ನಿರಾಕರಿಸುತ್ತಾರೆ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mokolo oo go tla nna le medi wa Jese, o o tla emang e le sesupo sa ditšhaba; Baditšhaba ba tla o batla; mme boikhutso jwa gagwe bo tla nna jo bo galalelang. Isaia 11:10.</w:t>
      </w:r>
    </w:p>
    <w:p>
      <w:pPr>
        <w:pStyle w:val="ArticleBody"/>
        <w:jc w:val="left"/>
      </w:pPr>
      <w:r>
        <w:rPr>
          <w:rFonts w:ascii="Times New Roman" w:hAnsi="Times New Roman" w:eastAsia="Times New Roman" w:cs="Times New Roman"/>
        </w:rPr>
        <w:t>Enne White ha James White si pɛɛ ni kɛn ni, siantiri 1856, ɲɛnamaw ka kɛra Laodise; o de, tuma jɔn la a b’a jira ko a ye sɛbɛn tɛrɛ ye Laodisekaw ma? A ma o jira foyi. An fili fɔlɔ ye claims min ta ka kɛlɛ ko Seventh-day Adventist ka eglizi ye eglizi sebalen dɔ le kɛlen kelen ni a bɛ taa a tariku la. A tɛ o cogo la foyi; a ye o la ɲɔgɔn-fɛ. Ni an ye o fili fɔlɔ ta, an ɲɛw bɛ datugu ka tugu masaya-fɔlɔw la minnu bɛ kalan k’a jira ko a tɛ o cogo la. Misali la, Enne White b’a jira ka seginsegin ko Isirayila kɔrɔ, sɛbɛnna yɔrɔfɛ, ka tariku bɛ hakilina Isirayila kura, ni yéréwolo Isirayila la ka kɛnɛya ani tariku. Sanfɛ ni sanfɛ, ni a bɛ Isirayila kɔrɔ fɔ i n’a ta misali ye Isirayila kura ye, a bɛ apostolo Pɔli ka kuma donba fana ta kelen-kelen, min ye o yɛrɛ yira kɛnɛ.</w:t>
      </w:r>
    </w:p>
    <w:p>
      <w:pPr>
        <w:pStyle w:val="ArticleScripture"/>
        <w:jc w:val="left"/>
      </w:pPr>
      <w:r>
        <w:rPr>
          <w:rFonts w:ascii="Times New Roman" w:hAnsi="Times New Roman" w:eastAsia="Times New Roman" w:cs="Times New Roman"/>
        </w:rPr>
        <w:t>Awaataye ṭaa fiḍi me sin faneeyaama heɓii ngam nguurndam: e ɗe mbindaa ngam waajooɗinal men, enen moƴƴiiji timmunde adunaari ngarii dow amen. 1 Korintiyankeeɓe 10:11.</w:t>
      </w:r>
    </w:p>
    <w:p>
      <w:pPr>
        <w:pStyle w:val="ArticleBody"/>
        <w:jc w:val="left"/>
      </w:pPr>
      <w:r>
        <w:rPr>
          <w:rFonts w:ascii="Times New Roman" w:hAnsi="Times New Roman" w:eastAsia="Times New Roman" w:cs="Times New Roman"/>
        </w:rPr>
        <w:t>L’apôtre Paul, au verset onze, résume les dix versets précédents.</w:t>
      </w:r>
    </w:p>
    <w:p>
      <w:pPr>
        <w:pStyle w:val="ArticleScripture"/>
        <w:jc w:val="left"/>
      </w:pPr>
      <w:r>
        <w:rPr>
          <w:rFonts w:ascii="Times New Roman" w:hAnsi="Times New Roman" w:eastAsia="Times New Roman" w:cs="Times New Roman"/>
        </w:rPr>
        <w:t>De plus, frères, je ne veux pas que vous soyez dans l’ignorance de ceci: c’est que tous nos pères furent sous la nuée, et que tous passèrent au travers de la mer; et que tous furent baptisés pour Moïse dans la nuée et dans la mer; et que tous mangèrent le même aliment spirituel; et que tous burent le même breuvage spirituel; car ils buvaient au rocher spirituel qui les suivait, et ce rocher était le Christ. Mais Dieu ne prit point plaisir en la plupart d’entre eux, car ils furent abattus dans le désert. Or ces choses sont devenues nos exemples, afin que nous ne convoitions pas des choses mauvaises, comme eux aussi les convoitèrent. Ne devenez pas non plus idolâtres, comme quelques-uns d’entre eux, selon qu’il est écrit: Le peuple s’assit pour manger et pour boire, puis ils se levèrent pour se divertir. Ne commettons pas non plus la fornication, comme quelques-uns d’entre eux la commirent, et il en tomba vingt-trois mille en un seul jour. Ne tentons pas non plus le Christ, comme quelques-uns d’entre eux le tentèrent, et périrent par les serpents. Ne murmurez pas non plus, comme quelques-uns d’entre eux murmurèrent, et furent détruits par le destructeur. 1 Corinthiens 10:1–10.</w:t>
      </w:r>
    </w:p>
    <w:p>
      <w:pPr>
        <w:pStyle w:val="ArticleBody"/>
        <w:jc w:val="left"/>
      </w:pPr>
      <w:r>
        <w:rPr>
          <w:rFonts w:ascii="Times New Roman" w:hAnsi="Times New Roman" w:eastAsia="Times New Roman" w:cs="Times New Roman"/>
        </w:rPr>
        <w:t>Paulo e a Irmã White não usam o antigo Israel como exemplo de um povo vitorioso e justo. Muito pelo contrário. Paulo resume esses primeiros dez versículos no versículo onze e, em seguida, no versículo seguinte, declara a lição que a história do antigo Israel deve transmitir àqueles que hão de ver.</w:t>
      </w:r>
    </w:p>
    <w:p>
      <w:pPr>
        <w:pStyle w:val="ArticleScripture"/>
        <w:jc w:val="left"/>
      </w:pPr>
      <w:r>
        <w:rPr>
          <w:rFonts w:ascii="Microsoft YaHei" w:hAnsi="Microsoft YaHei" w:eastAsia="Microsoft YaHei" w:cs="Microsoft YaHei"/>
        </w:rPr>
        <w:t>故此</w:t>
      </w:r>
      <w:r>
        <w:rPr>
          <w:rFonts w:ascii="Times New Roman" w:hAnsi="Times New Roman" w:eastAsia="Times New Roman" w:cs="Times New Roman"/>
        </w:rPr>
        <w:t>,</w:t>
      </w:r>
      <w:r>
        <w:rPr>
          <w:rFonts w:ascii="Microsoft YaHei" w:hAnsi="Microsoft YaHei" w:eastAsia="Microsoft YaHei" w:cs="Microsoft YaHei"/>
        </w:rPr>
        <w:t>自以為站立得穩的人</w:t>
      </w:r>
      <w:r>
        <w:rPr>
          <w:rFonts w:ascii="Times New Roman" w:hAnsi="Times New Roman" w:eastAsia="Times New Roman" w:cs="Times New Roman"/>
        </w:rPr>
        <w:t>,</w:t>
      </w:r>
      <w:r>
        <w:rPr>
          <w:rFonts w:ascii="Microsoft YaHei" w:hAnsi="Microsoft YaHei" w:eastAsia="Microsoft YaHei" w:cs="Microsoft YaHei"/>
        </w:rPr>
        <w:t>務要謹慎</w:t>
      </w:r>
      <w:r>
        <w:rPr>
          <w:rFonts w:ascii="Times New Roman" w:hAnsi="Times New Roman" w:eastAsia="Times New Roman" w:cs="Times New Roman"/>
        </w:rPr>
        <w:t>,</w:t>
      </w:r>
      <w:r>
        <w:rPr>
          <w:rFonts w:ascii="Microsoft YaHei" w:hAnsi="Microsoft YaHei" w:eastAsia="Microsoft YaHei" w:cs="Microsoft YaHei"/>
        </w:rPr>
        <w:t>免得跌倒</w:t>
      </w:r>
      <w:r>
        <w:rPr>
          <w:rFonts w:ascii="Times New Roman" w:hAnsi="Times New Roman" w:eastAsia="Times New Roman" w:cs="Times New Roman"/>
        </w:rPr>
        <w:t>.</w:t>
      </w:r>
      <w:r>
        <w:rPr>
          <w:rFonts w:ascii="Microsoft YaHei" w:hAnsi="Microsoft YaHei" w:eastAsia="Microsoft YaHei" w:cs="Microsoft YaHei"/>
        </w:rPr>
        <w:t>哥林多前書</w:t>
      </w:r>
      <w:r>
        <w:rPr>
          <w:rFonts w:ascii="Times New Roman" w:hAnsi="Times New Roman" w:eastAsia="Times New Roman" w:cs="Times New Roman"/>
        </w:rPr>
        <w:t xml:space="preserve"> 10:12.</w:t>
      </w:r>
    </w:p>
    <w:p>
      <w:pPr>
        <w:pStyle w:val="ArticleBody"/>
        <w:jc w:val="left"/>
      </w:pP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उदाहरण</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बुलाया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अगुवाई</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सृष्टिकर्ता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चढ़ा</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एडवेंटिस्ट</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कठिनाई</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विरले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अभिप्रेत</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लाओदीकियाई</w:t>
      </w:r>
      <w:r>
        <w:rPr>
          <w:rFonts w:ascii="Times New Roman" w:hAnsi="Times New Roman" w:eastAsia="Times New Roman" w:cs="Times New Roman"/>
        </w:rPr>
        <w:t xml:space="preserve"> </w:t>
      </w:r>
      <w:r>
        <w:rPr>
          <w:rFonts w:ascii="Nirmala UI" w:hAnsi="Nirmala UI" w:eastAsia="Nirmala UI" w:cs="Nirmala UI"/>
        </w:rPr>
        <w:t>अन्धता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भेदने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उद्धरण</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ओढ़नी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डालता।</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ताड़ना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अनुशासित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उतनी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स्पष्टता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किया।</w:t>
      </w:r>
    </w:p>
    <w:p>
      <w:pPr>
        <w:pStyle w:val="ArticleScripture"/>
        <w:jc w:val="left"/>
      </w:pPr>
      <w:r>
        <w:rPr>
          <w:rFonts w:ascii="Times New Roman" w:hAnsi="Times New Roman" w:eastAsia="Times New Roman" w:cs="Times New Roman"/>
        </w:rPr>
        <w:t>Ô Jérusalem, Jérusalem, toi qui tues les prophètes et qui lapides ceux qui te sont envoyés, combien de fois ai-je voulu rassembler tes enfants, comme une poule rassemble sa couvée sous ses ailes, et vous ne l’avez pas voulu ! Voici, votre maison vous est laissée déserte ; et en vérité, je vous le dis, vous ne me verrez plus jusqu’au temps où vous direz : Béni soit celui qui vient au nom du Seigneur. Luc 13:34, 35.</w:t>
      </w:r>
    </w:p>
    <w:p>
      <w:pPr>
        <w:pStyle w:val="ArticleBody"/>
        <w:jc w:val="left"/>
      </w:pPr>
      <w:r>
        <w:rPr>
          <w:rFonts w:ascii="Times New Roman" w:hAnsi="Times New Roman" w:eastAsia="Times New Roman" w:cs="Times New Roman"/>
        </w:rPr>
        <w:t>Pytania, które należy postawić, brzmią: „Czy Jezus rzeczywiście ukazuje koniec przez początek? Czy starożytny Izrael istotnie obrazuje współczesny Izrael?” Problem starożytnego Izraela na przestrzeni całej jego historii polegał na tym, że wierzył, iż jego dziedzictwo dowodzi, że jest ludem Bożym, a zatem że nie może być niczym innym jak tylko ludem Bożym. Dlatego właśnie za dni Jeremiasza wyznawali, że są świątynią Pańską.</w:t>
      </w:r>
    </w:p>
    <w:p>
      <w:pPr>
        <w:pStyle w:val="ArticleScripture"/>
        <w:jc w:val="left"/>
      </w:pPr>
      <w:r>
        <w:rPr>
          <w:rFonts w:ascii="Times New Roman" w:hAnsi="Times New Roman" w:eastAsia="Times New Roman" w:cs="Times New Roman"/>
        </w:rPr>
        <w:t>Ko nga kupu i tae mai ki a Heremaia i a Ihowa, i mea mai, E tū ki te kūwaha o te whare o Ihowa, ā, me kauwhau ki reira i tēnei kupu, me mea atu hoki, Whakarongo ki te kupu a Ihowa, e koutou katoa o Hura, e tomo nei i ēnei kūwaha ki te koropiko ki a Ihowa. Ko tā Ihowa o ngā mano, te Atua o Iharaira, tēnei kupu: Whakatikaina ō koutou ara me ō koutou mahi, ā, ka meinga koutou e ahau kia noho ki tēnei wāhi. Kei whakawhirinaki koutou ki ngā kupu teka, e mea ana, Ko te temepara o Ihowa, ko te temepara o Ihowa, ko te temepara o Ihowa, ēnei. Heremaia 7:1–4.</w:t>
      </w:r>
    </w:p>
    <w:p>
      <w:pPr>
        <w:pStyle w:val="ArticleBody"/>
        <w:jc w:val="left"/>
      </w:pPr>
      <w:r>
        <w:rPr>
          <w:rFonts w:ascii="Times New Roman" w:hAnsi="Times New Roman" w:eastAsia="Times New Roman" w:cs="Times New Roman"/>
        </w:rPr>
        <w:t>Loni luyengiso lolu olufanako lwaphinde lwagcizelelwa nguJohane uMbhapathizi.</w:t>
      </w:r>
    </w:p>
    <w:p>
      <w:pPr>
        <w:pStyle w:val="ArticleScripture"/>
        <w:jc w:val="left"/>
      </w:pPr>
      <w:r>
        <w:rPr>
          <w:rFonts w:ascii="Times New Roman" w:hAnsi="Times New Roman" w:eastAsia="Times New Roman" w:cs="Times New Roman"/>
        </w:rPr>
        <w:t>Na babatisamaki na ye o Yordani, wana bazalaki kondima masumu na bango. Kasi ntango amonaki Bafarisai mpe Basadukai ebele koya na libatisi na ye, alobaki na bango ete: “Bino libota ya banyoka ya ngɛngɛ, nani akebisi bino bókima nkanda oyo ezali koya? Bóbota bongo mbuma oyo ebongi na kobongola motema; mpe bókanisa te koloba na kati na bino moko ete: ‘Tozali na Abrahama lokola tata na biso’; pamba te nalobi na bino ete Nzambe azali na makoki ya kotelemisa bana mpo na Abrahama uta na mabanga oyo. Mpe sikoyo mpe epasola etyami na mosisa ya banzete; yango wana nzete nyonso oyo eboti mbuma malamu te ekatamaka mpe ebwakami na moto.” Matai 3:6–10.</w:t>
      </w:r>
    </w:p>
    <w:p>
      <w:pPr>
        <w:pStyle w:val="ArticleBody"/>
        <w:jc w:val="left"/>
      </w:pPr>
      <w:r>
        <w:rPr>
          <w:rFonts w:ascii="Times New Roman" w:hAnsi="Times New Roman" w:eastAsia="Times New Roman" w:cs="Times New Roman"/>
        </w:rPr>
        <w:t>Hen hevebinkirina ne lî nava Adventîzmê de ku bi gotina “Em perestgeha Xudan in” û ku em “tohûm”ê wî yê ruhanî ne tê sembolîzekirin, xuyabûna bingehîn a korbûna Laodîkya ye.</w:t>
      </w:r>
    </w:p>
    <w:p>
      <w:pPr>
        <w:pStyle w:val="ArticleScripture"/>
        <w:jc w:val="left"/>
      </w:pPr>
      <w:r>
        <w:rPr>
          <w:rFonts w:ascii="Times New Roman" w:hAnsi="Times New Roman" w:eastAsia="Times New Roman" w:cs="Times New Roman"/>
        </w:rPr>
        <w:t>“Le Atua e auina mai avefeʻau e taʻu atu i Ona tagata le mea e tatau ona latou iai ma faia ina ia usiusitaʻi ai i Ana tulafono o le amiotonu, o tulafono ia pe a faia e se tagata, e ola ai foʻi o ia i totonu o ia tulafono. E tatau ona latou alolofa i le Atua e sili i mea uma, aua neʻi iai nisi atua i o latou luma nai lo Ia; ma e tatau ona latou alolofa i lo latou tuaoi e pei o i latou lava, ma faia iā te ia le mea latou te mananaʻo e faia e ia iā i latou.</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ပညတ်တရားထဲမှ</w:t>
      </w:r>
      <w:r>
        <w:rPr>
          <w:rFonts w:ascii="Times New Roman" w:hAnsi="Times New Roman" w:eastAsia="Times New Roman" w:cs="Times New Roman"/>
        </w:rPr>
        <w:t xml:space="preserve"> </w:t>
      </w:r>
      <w:r>
        <w:rPr>
          <w:rFonts w:ascii="Myanmar Text" w:hAnsi="Myanmar Text" w:eastAsia="Myanmar Text" w:cs="Myanmar Text"/>
        </w:rPr>
        <w:t>အက္ခရာအသေးဆုံးတစ်ခုကိုမျှ</w:t>
      </w:r>
      <w:r>
        <w:rPr>
          <w:rFonts w:ascii="Times New Roman" w:hAnsi="Times New Roman" w:eastAsia="Times New Roman" w:cs="Times New Roman"/>
        </w:rPr>
        <w:t xml:space="preserve"> </w:t>
      </w:r>
      <w:r>
        <w:rPr>
          <w:rFonts w:ascii="Myanmar Text" w:hAnsi="Myanmar Text" w:eastAsia="Myanmar Text" w:cs="Myanmar Text"/>
        </w:rPr>
        <w:t>ပေါ့ပေါ့ဆဆ</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မလေးမစား</w:t>
      </w:r>
      <w:r>
        <w:rPr>
          <w:rFonts w:ascii="Times New Roman" w:hAnsi="Times New Roman" w:eastAsia="Times New Roman" w:cs="Times New Roman"/>
        </w:rPr>
        <w:t xml:space="preserve"> </w:t>
      </w:r>
      <w:r>
        <w:rPr>
          <w:rFonts w:ascii="Myanmar Text" w:hAnsi="Myanmar Text" w:eastAsia="Myanmar Text" w:cs="Myanmar Text"/>
        </w:rPr>
        <w:t>ဆက်ဆံရမည်မဟုတ်။</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မိန့်တော်မူသည်</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အမိန့်တော်တစ်ရပ်ကို</w:t>
      </w:r>
      <w:r>
        <w:rPr>
          <w:rFonts w:ascii="Times New Roman" w:hAnsi="Times New Roman" w:eastAsia="Times New Roman" w:cs="Times New Roman"/>
        </w:rPr>
        <w:t xml:space="preserve"> </w:t>
      </w:r>
      <w:r>
        <w:rPr>
          <w:rFonts w:ascii="Myanmar Text" w:hAnsi="Myanmar Text" w:eastAsia="Myanmar Text" w:cs="Myanmar Text"/>
        </w:rPr>
        <w:t>ချိုးဖောက်သူတို့သည်</w:t>
      </w:r>
      <w:r>
        <w:rPr>
          <w:rFonts w:ascii="Times New Roman" w:hAnsi="Times New Roman" w:eastAsia="Times New Roman" w:cs="Times New Roman"/>
        </w:rPr>
        <w:t xml:space="preserve"> </w:t>
      </w:r>
      <w:r>
        <w:rPr>
          <w:rFonts w:ascii="Myanmar Text" w:hAnsi="Myanmar Text" w:eastAsia="Myanmar Text" w:cs="Myanmar Text"/>
        </w:rPr>
        <w:t>မိမိတို့ကို</w:t>
      </w:r>
      <w:r>
        <w:rPr>
          <w:rFonts w:ascii="Times New Roman" w:hAnsi="Times New Roman" w:eastAsia="Times New Roman" w:cs="Times New Roman"/>
        </w:rPr>
        <w:t xml:space="preserve"> </w:t>
      </w:r>
      <w:r>
        <w:rPr>
          <w:rFonts w:ascii="Myanmar Text" w:hAnsi="Myanmar Text" w:eastAsia="Myanmar Text" w:cs="Myanmar Text"/>
        </w:rPr>
        <w:t>ဖန်ဆင်းတော်မူသောအရှင်နှင့်</w:t>
      </w:r>
      <w:r>
        <w:rPr>
          <w:rFonts w:ascii="Times New Roman" w:hAnsi="Times New Roman" w:eastAsia="Times New Roman" w:cs="Times New Roman"/>
        </w:rPr>
        <w:t xml:space="preserve"> </w:t>
      </w:r>
      <w:r>
        <w:rPr>
          <w:rFonts w:ascii="Myanmar Text" w:hAnsi="Myanmar Text" w:eastAsia="Myanmar Text" w:cs="Myanmar Text"/>
        </w:rPr>
        <w:t>မိမိတို့ကို</w:t>
      </w:r>
      <w:r>
        <w:rPr>
          <w:rFonts w:ascii="Times New Roman" w:hAnsi="Times New Roman" w:eastAsia="Times New Roman" w:cs="Times New Roman"/>
        </w:rPr>
        <w:t xml:space="preserve"> </w:t>
      </w:r>
      <w:r>
        <w:rPr>
          <w:rFonts w:ascii="Myanmar Text" w:hAnsi="Myanmar Text" w:eastAsia="Myanmar Text" w:cs="Myanmar Text"/>
        </w:rPr>
        <w:t>ရွေးနုတ်တော်မူသောအရှင်အား</w:t>
      </w:r>
      <w:r>
        <w:rPr>
          <w:rFonts w:ascii="Times New Roman" w:hAnsi="Times New Roman" w:eastAsia="Times New Roman" w:cs="Times New Roman"/>
        </w:rPr>
        <w:t xml:space="preserve"> </w:t>
      </w:r>
      <w:r>
        <w:rPr>
          <w:rFonts w:ascii="Myanmar Text" w:hAnsi="Myanmar Text" w:eastAsia="Myanmar Text" w:cs="Myanmar Text"/>
        </w:rPr>
        <w:t>ဆန့်ကျင်ပုန်ကန်လျက်၊</w:t>
      </w:r>
      <w:r>
        <w:rPr>
          <w:rFonts w:ascii="Times New Roman" w:hAnsi="Times New Roman" w:eastAsia="Times New Roman" w:cs="Times New Roman"/>
        </w:rPr>
        <w:t xml:space="preserve"> </w:t>
      </w:r>
      <w:r>
        <w:rPr>
          <w:rFonts w:ascii="Myanmar Text" w:hAnsi="Myanmar Text" w:eastAsia="Myanmar Text" w:cs="Myanmar Text"/>
        </w:rPr>
        <w:t>မှောင်မိုက်မင်းသား၏</w:t>
      </w:r>
      <w:r>
        <w:rPr>
          <w:rFonts w:ascii="Times New Roman" w:hAnsi="Times New Roman" w:eastAsia="Times New Roman" w:cs="Times New Roman"/>
        </w:rPr>
        <w:t xml:space="preserve"> </w:t>
      </w:r>
      <w:r>
        <w:rPr>
          <w:rFonts w:ascii="Myanmar Text" w:hAnsi="Myanmar Text" w:eastAsia="Myanmar Text" w:cs="Myanmar Text"/>
        </w:rPr>
        <w:t>အလံအောက်တွင်</w:t>
      </w:r>
      <w:r>
        <w:rPr>
          <w:rFonts w:ascii="Times New Roman" w:hAnsi="Times New Roman" w:eastAsia="Times New Roman" w:cs="Times New Roman"/>
        </w:rPr>
        <w:t xml:space="preserve"> </w:t>
      </w:r>
      <w:r>
        <w:rPr>
          <w:rFonts w:ascii="Myanmar Text" w:hAnsi="Myanmar Text" w:eastAsia="Myanmar Text" w:cs="Myanmar Text"/>
        </w:rPr>
        <w:t>ရပ်တည်နေကြသည်။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နာခံသူတို့အား</w:t>
      </w:r>
      <w:r>
        <w:rPr>
          <w:rFonts w:ascii="Times New Roman" w:hAnsi="Times New Roman" w:eastAsia="Times New Roman" w:cs="Times New Roman"/>
        </w:rPr>
        <w:t xml:space="preserve"> </w:t>
      </w:r>
      <w:r>
        <w:rPr>
          <w:rFonts w:ascii="Myanmar Text" w:hAnsi="Myanmar Text" w:eastAsia="Myanmar Text" w:cs="Myanmar Text"/>
        </w:rPr>
        <w:t>ပေးထားသော</w:t>
      </w:r>
      <w:r>
        <w:rPr>
          <w:rFonts w:ascii="Times New Roman" w:hAnsi="Times New Roman" w:eastAsia="Times New Roman" w:cs="Times New Roman"/>
        </w:rPr>
        <w:t xml:space="preserve"> </w:t>
      </w:r>
      <w:r>
        <w:rPr>
          <w:rFonts w:ascii="Myanmar Text" w:hAnsi="Myanmar Text" w:eastAsia="Myanmar Text" w:cs="Myanmar Text"/>
        </w:rPr>
        <w:t>ကတိတော်များကို</w:t>
      </w:r>
      <w:r>
        <w:rPr>
          <w:rFonts w:ascii="Times New Roman" w:hAnsi="Times New Roman" w:eastAsia="Times New Roman" w:cs="Times New Roman"/>
        </w:rPr>
        <w:t xml:space="preserve"> </w:t>
      </w:r>
      <w:r>
        <w:rPr>
          <w:rFonts w:ascii="Myanmar Text" w:hAnsi="Myanmar Text" w:eastAsia="Myanmar Text" w:cs="Myanmar Text"/>
        </w:rPr>
        <w:t>မိမိတို့အတွက်</w:t>
      </w:r>
      <w:r>
        <w:rPr>
          <w:rFonts w:ascii="Times New Roman" w:hAnsi="Times New Roman" w:eastAsia="Times New Roman" w:cs="Times New Roman"/>
        </w:rPr>
        <w:t xml:space="preserve"> </w:t>
      </w:r>
      <w:r>
        <w:rPr>
          <w:rFonts w:ascii="Myanmar Text" w:hAnsi="Myanmar Text" w:eastAsia="Myanmar Text" w:cs="Myanmar Text"/>
        </w:rPr>
        <w:t>ဟန်ဆောင်တောင်းဆိုကြ၍၊</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ဗိမာန်တော်၊</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ဗိမာန်တော်သည်</w:t>
      </w:r>
      <w:r>
        <w:rPr>
          <w:rFonts w:ascii="Times New Roman" w:hAnsi="Times New Roman" w:eastAsia="Times New Roman" w:cs="Times New Roman"/>
        </w:rPr>
        <w:t xml:space="preserve"> </w:t>
      </w:r>
      <w:r>
        <w:rPr>
          <w:rFonts w:ascii="Myanmar Text" w:hAnsi="Myanmar Text" w:eastAsia="Myanmar Text" w:cs="Myanmar Text"/>
        </w:rPr>
        <w:t>ငါတို့ဖြစ်သည်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ဆိုကြသော်လည်း၊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အကျင့်သဘောကို</w:t>
      </w:r>
      <w:r>
        <w:rPr>
          <w:rFonts w:ascii="Times New Roman" w:hAnsi="Times New Roman" w:eastAsia="Times New Roman" w:cs="Times New Roman"/>
        </w:rPr>
        <w:t xml:space="preserve"> </w:t>
      </w:r>
      <w:r>
        <w:rPr>
          <w:rFonts w:ascii="Myanmar Text" w:hAnsi="Myanmar Text" w:eastAsia="Myanmar Text" w:cs="Myanmar Text"/>
        </w:rPr>
        <w:t>မှားယွင်းစွာ</w:t>
      </w:r>
      <w:r>
        <w:rPr>
          <w:rFonts w:ascii="Times New Roman" w:hAnsi="Times New Roman" w:eastAsia="Times New Roman" w:cs="Times New Roman"/>
        </w:rPr>
        <w:t xml:space="preserve"> </w:t>
      </w:r>
      <w:r>
        <w:rPr>
          <w:rFonts w:ascii="Myanmar Text" w:hAnsi="Myanmar Text" w:eastAsia="Myanmar Text" w:cs="Myanmar Text"/>
        </w:rPr>
        <w:t>ဖော်ပြခြင်းအားဖြင့်လည်းကောင်း၊</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မလုပ်ရဟု</w:t>
      </w:r>
      <w:r>
        <w:rPr>
          <w:rFonts w:ascii="Times New Roman" w:hAnsi="Times New Roman" w:eastAsia="Times New Roman" w:cs="Times New Roman"/>
        </w:rPr>
        <w:t xml:space="preserve"> </w:t>
      </w:r>
      <w:r>
        <w:rPr>
          <w:rFonts w:ascii="Myanmar Text" w:hAnsi="Myanmar Text" w:eastAsia="Myanmar Text" w:cs="Myanmar Text"/>
        </w:rPr>
        <w:t>မိန့်တော်မူထားသည့်</w:t>
      </w:r>
      <w:r>
        <w:rPr>
          <w:rFonts w:ascii="Times New Roman" w:hAnsi="Times New Roman" w:eastAsia="Times New Roman" w:cs="Times New Roman"/>
        </w:rPr>
        <w:t xml:space="preserve"> </w:t>
      </w:r>
      <w:r>
        <w:rPr>
          <w:rFonts w:ascii="Myanmar Text" w:hAnsi="Myanmar Text" w:eastAsia="Myanmar Text" w:cs="Myanmar Text"/>
        </w:rPr>
        <w:t>အရာများကိုပင်</w:t>
      </w:r>
      <w:r>
        <w:rPr>
          <w:rFonts w:ascii="Times New Roman" w:hAnsi="Times New Roman" w:eastAsia="Times New Roman" w:cs="Times New Roman"/>
        </w:rPr>
        <w:t xml:space="preserve"> </w:t>
      </w:r>
      <w:r>
        <w:rPr>
          <w:rFonts w:ascii="Myanmar Text" w:hAnsi="Myanmar Text" w:eastAsia="Myanmar Text" w:cs="Myanmar Text"/>
        </w:rPr>
        <w:t>ပြုလုပ်ခြင်းအားဖြင့်လည်းကောင်း၊</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မရိုသေဘဲ</w:t>
      </w:r>
      <w:r>
        <w:rPr>
          <w:rFonts w:ascii="Times New Roman" w:hAnsi="Times New Roman" w:eastAsia="Times New Roman" w:cs="Times New Roman"/>
        </w:rPr>
        <w:t xml:space="preserve"> </w:t>
      </w:r>
      <w:r>
        <w:rPr>
          <w:rFonts w:ascii="Myanmar Text" w:hAnsi="Myanmar Text" w:eastAsia="Myanmar Text" w:cs="Myanmar Text"/>
        </w:rPr>
        <w:t>ပြုမူကြသည်။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မပေးတော်မူသော</w:t>
      </w:r>
      <w:r>
        <w:rPr>
          <w:rFonts w:ascii="Times New Roman" w:hAnsi="Times New Roman" w:eastAsia="Times New Roman" w:cs="Times New Roman"/>
        </w:rPr>
        <w:t xml:space="preserve"> </w:t>
      </w:r>
      <w:r>
        <w:rPr>
          <w:rFonts w:ascii="Myanmar Text" w:hAnsi="Myanmar Text" w:eastAsia="Myanmar Text" w:cs="Myanmar Text"/>
        </w:rPr>
        <w:t>စံတစ်ရပ်ကို</w:t>
      </w:r>
      <w:r>
        <w:rPr>
          <w:rFonts w:ascii="Times New Roman" w:hAnsi="Times New Roman" w:eastAsia="Times New Roman" w:cs="Times New Roman"/>
        </w:rPr>
        <w:t xml:space="preserve"> </w:t>
      </w:r>
      <w:r>
        <w:rPr>
          <w:rFonts w:ascii="Myanmar Text" w:hAnsi="Myanmar Text" w:eastAsia="Myanmar Text" w:cs="Myanmar Text"/>
        </w:rPr>
        <w:t>ထူထောင်ကြသည်။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စံနမူနာသည်</w:t>
      </w:r>
      <w:r>
        <w:rPr>
          <w:rFonts w:ascii="Times New Roman" w:hAnsi="Times New Roman" w:eastAsia="Times New Roman" w:cs="Times New Roman"/>
        </w:rPr>
        <w:t xml:space="preserve"> </w:t>
      </w:r>
      <w:r>
        <w:rPr>
          <w:rFonts w:ascii="Myanmar Text" w:hAnsi="Myanmar Text" w:eastAsia="Myanmar Text" w:cs="Myanmar Text"/>
        </w:rPr>
        <w:t>လမ်းမှားစေတတ်၍၊</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သြဇာလွှမ်းမိုးမှုသည်</w:t>
      </w:r>
      <w:r>
        <w:rPr>
          <w:rFonts w:ascii="Times New Roman" w:hAnsi="Times New Roman" w:eastAsia="Times New Roman" w:cs="Times New Roman"/>
        </w:rPr>
        <w:t xml:space="preserve"> </w:t>
      </w:r>
      <w:r>
        <w:rPr>
          <w:rFonts w:ascii="Myanmar Text" w:hAnsi="Myanmar Text" w:eastAsia="Myanmar Text" w:cs="Myanmar Text"/>
        </w:rPr>
        <w:t>ဖျက်ဆီးယိုယွင်းစေတတ်သည်။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ဖြောင့်မတ်ခြင်း၏</w:t>
      </w:r>
      <w:r>
        <w:rPr>
          <w:rFonts w:ascii="Times New Roman" w:hAnsi="Times New Roman" w:eastAsia="Times New Roman" w:cs="Times New Roman"/>
        </w:rPr>
        <w:t xml:space="preserve"> </w:t>
      </w:r>
      <w:r>
        <w:rPr>
          <w:rFonts w:ascii="Myanmar Text" w:hAnsi="Myanmar Text" w:eastAsia="Myanmar Text" w:cs="Myanmar Text"/>
        </w:rPr>
        <w:t>အခြေခံသဘောတရားများကို</w:t>
      </w:r>
      <w:r>
        <w:rPr>
          <w:rFonts w:ascii="Times New Roman" w:hAnsi="Times New Roman" w:eastAsia="Times New Roman" w:cs="Times New Roman"/>
        </w:rPr>
        <w:t xml:space="preserve"> </w:t>
      </w:r>
      <w:r>
        <w:rPr>
          <w:rFonts w:ascii="Myanmar Text" w:hAnsi="Myanmar Text" w:eastAsia="Myanmar Text" w:cs="Myanmar Text"/>
        </w:rPr>
        <w:t>မလိုက်နာကြသဖြင့်၊</w:t>
      </w:r>
      <w:r>
        <w:rPr>
          <w:rFonts w:ascii="Times New Roman" w:hAnsi="Times New Roman" w:eastAsia="Times New Roman" w:cs="Times New Roman"/>
        </w:rPr>
        <w:t xml:space="preserve"> </w:t>
      </w:r>
      <w:r>
        <w:rPr>
          <w:rFonts w:ascii="Myanmar Text" w:hAnsi="Myanmar Text" w:eastAsia="Myanmar Text" w:cs="Myanmar Text"/>
        </w:rPr>
        <w:t>လောကအတွက်</w:t>
      </w:r>
      <w:r>
        <w:rPr>
          <w:rFonts w:ascii="Times New Roman" w:hAnsi="Times New Roman" w:eastAsia="Times New Roman" w:cs="Times New Roman"/>
        </w:rPr>
        <w:t xml:space="preserve"> </w:t>
      </w:r>
      <w:r>
        <w:rPr>
          <w:rFonts w:ascii="Myanmar Text" w:hAnsi="Myanmar Text" w:eastAsia="Myanmar Text" w:cs="Myanmar Text"/>
        </w:rPr>
        <w:t>အလင်းမဟုတ်ကြပေ။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“Les hommes ne peuvent manifester une plus grande trahison envers Dieu qu’en méprisant la lumière qu’Il leur envoie. Ceux qui agissent ainsi égarent les ignorants, car ils dressent de faux jalons. Ils ne cessent de pervertir les principes purs....”</w:t>
      </w:r>
    </w:p>
    <w:p>
      <w:pPr>
        <w:pStyle w:val="ArticleScripture"/>
        <w:jc w:val="left"/>
      </w:pPr>
      <w:r>
        <w:rPr>
          <w:rFonts w:ascii="Times New Roman" w:hAnsi="Times New Roman" w:eastAsia="Times New Roman" w:cs="Times New Roman"/>
        </w:rPr>
        <w:t>« M'mawu a Lemba Loyera timauzidwa momveka bwino chifukwa chake chiwonongeko chinadza pa mtundu wa Ayuda. Iwo anali ndi kuunika kwakukulu, madalitso olemera, ndi chuma chodabwitsa. Koma anasonyeza kusakhulupirika pa udindo umene anapatsidwa. Sanasamalire mokhulupirika munda wa mpesa wa Ambuye, kapena kumupatsa zipatso zake. Anachita ngati kuti kulibe Mulungu, ndipo chifukwa chake tsoka linawapeza. » Manuscript Releases, volume 14, 343–345.</w:t>
      </w:r>
    </w:p>
    <w:p>
      <w:pPr>
        <w:pStyle w:val="ArticleBody"/>
        <w:jc w:val="left"/>
      </w:pPr>
      <w:r>
        <w:rPr>
          <w:rFonts w:ascii="Times New Roman" w:hAnsi="Times New Roman" w:eastAsia="Times New Roman" w:cs="Times New Roman"/>
        </w:rPr>
        <w:t>Israël croyait que, parce qu’il avait été choisi par Dieu au commencement de son histoire, il demeurerait toujours Son peuple élu. Plus grave encore, il croyait aussi que, parce qu’il était Son peuple élu, Il l’honorerait, malgré le fait qu’il refusait de L’honorer. Prophétiquement, ils étaient Son peuple élu jusqu’à ce qu’ils fussent répudiés, mais ils ne furent jamais le peuple que Dieu avait désiré qu’ils soient. La justice du peuple élu n’est pas déterminée par ce qu’ils peuvent penser être. L’ancien Israël est l’exemple principal de l’Église adventiste du septième jour, mais lorsque l’on accepte le faux postulat selon lequel il représente les cent quarante-quatre mille à la fin du monde, l’aveuglement de Laodicée se manifeste, comme ce fut le cas pour l’ancien Israël. L’adventisme croit et enseigne qu’il est le peuple du reste de Dieu à la fin du monde, malgré les preuves évidentes du contraire.</w:t>
      </w:r>
    </w:p>
    <w:p>
      <w:pPr>
        <w:pStyle w:val="ArticleBody"/>
        <w:jc w:val="left"/>
      </w:pPr>
      <w:r>
        <w:rPr>
          <w:rFonts w:ascii="Times New Roman" w:hAnsi="Times New Roman" w:eastAsia="Times New Roman" w:cs="Times New Roman"/>
        </w:rPr>
        <w:t>Plus nous nous approchons de la fin du temps de grâce, plus le message adressé au peuple de Laodicée doit devenir solennel et direct. Si cette fausse prémisse n’est pas écartée pour faire place à la vérité, alors les exemples d’Aaron, de Jéroboam et de 1863 sont dissimulés sous le manteau de la tradition et de la coutume. Nous sommes trop près de la fin du temps de grâce pour continuer plus longtemps à nous cacher sous ce manteau.</w:t>
      </w:r>
    </w:p>
    <w:p>
      <w:pPr>
        <w:pStyle w:val="ArticleScripture"/>
        <w:jc w:val="left"/>
      </w:pPr>
      <w:r>
        <w:rPr>
          <w:rFonts w:ascii="Times New Roman" w:hAnsi="Times New Roman" w:eastAsia="Times New Roman" w:cs="Times New Roman"/>
        </w:rPr>
        <w:t>Et c’est ici la condamnation : la lumière est venue dans le monde, et les hommes ont aimé les ténèbres plutôt que la lumière, parce que leurs œuvres étaient mauvaises. Car quiconque fait le mal hait la lumière et ne vient point à la lumière, de peur que ses œuvres ne soient reprises. Jean 3:19, 20.</w:t>
      </w:r>
    </w:p>
    <w:p>
      <w:pPr>
        <w:pStyle w:val="ArticleBody"/>
        <w:jc w:val="left"/>
      </w:pPr>
      <w:r>
        <w:rPr>
          <w:rFonts w:ascii="Times New Roman" w:hAnsi="Times New Roman" w:eastAsia="Times New Roman" w:cs="Times New Roman"/>
        </w:rPr>
        <w:t>L’historique des apostasies de l’adventisme a été retracé dans la Parole prophétique de Dieu. C’est une réalité prophétique. La première preuve en est l’ancien Israël. L’ancien Israël est une histoire d’apostasie continue et croissante, et pourtant la Bible et l’Esprit de Prophétie enseignent que l’ancien Israël est le type de l’Israël moderne. Aussi triste que cela soit, il n’a jamais été plus important de comprendre cette vérité qu’au temps présent. Ce qui est en train d’être descellé avec la Révélation de Jésus-Christ, c’est le fait que l’histoire de l’adventisme en tant que corne protestante se déroule parallèlement à l’histoire de la corne républicaine. Les deux cornes constituent l’une pour l’autre un second témoin, et refuser de discerner correctement l’un des témoins empêche simultanément que l’autre témoin soit reconnu.</w:t>
      </w:r>
    </w:p>
    <w:p>
      <w:pPr>
        <w:pStyle w:val="ArticleBody"/>
        <w:jc w:val="left"/>
      </w:pPr>
      <w:r>
        <w:rPr>
          <w:rFonts w:ascii="Times New Roman" w:hAnsi="Times New Roman" w:eastAsia="Times New Roman" w:cs="Times New Roman"/>
        </w:rPr>
        <w:t>Les lignées d’Aaron, de Jéroboam et de 1863 identifient le commencement de l’Israël spirituel moderne, et ce faisant, elles identifient aussi le commencement de la corne républicaine. Le message du troisième ange est un avertissement contre le fait de recevoir la marque de la bête. Ce sont les États-Unis qui, les premiers, promulguent une loi du dimanche, puis contraignent le monde entier à faire de même.</w:t>
      </w:r>
    </w:p>
    <w:p>
      <w:pPr>
        <w:pStyle w:val="ArticleScripture"/>
        <w:jc w:val="left"/>
      </w:pPr>
      <w:r>
        <w:rPr>
          <w:rFonts w:ascii="Times New Roman" w:hAnsi="Times New Roman" w:eastAsia="Times New Roman" w:cs="Times New Roman"/>
        </w:rPr>
        <w:t>«Народы чужеземные последуют примеру Соединённых Штатов. Хотя она и выступает впереди, однако тот же самый кризис постигнет наш народ во всех частях мира». Testimonies, т. 6, с. 395.</w:t>
      </w:r>
    </w:p>
    <w:p>
      <w:pPr>
        <w:pStyle w:val="ArticleBody"/>
        <w:jc w:val="left"/>
      </w:pPr>
      <w:r>
        <w:rPr>
          <w:rFonts w:ascii="Times New Roman" w:hAnsi="Times New Roman" w:eastAsia="Times New Roman" w:cs="Times New Roman"/>
        </w:rPr>
        <w:t>Ang mga propetikong katotohanang kaugnay ng krisis ng batas ukol sa Linggo ay hindi maihihiwalay sa gawain ng Estados Unidos. Ang hayop mula sa lupa sa Apocalipsis trece ay ang ikaanim na kaharian ng hula sa Biblia, na naghahari sa loob ng pitumpung propetikong taon ayon sa Isaias veintitrés. Ang hayop mula sa lupa ang may dalawang sungay. Ang mga katotohanang may kaugnayan sa ugnayan ng dalawang sungay na iyon ay inaalisan na ngayon ng tatak, ngunit para lamang sa mga pumipiling umunawa na isinasakatuparan ni Jesus ang pag-aalis ng tatak ng Pahayag ni Jesucristo sa pamamagitan ng paggamit sa pasimula ng isang bagay upang ilarawan ang wakas ng isang bagay.</w:t>
      </w:r>
    </w:p>
    <w:p>
      <w:pPr>
        <w:pStyle w:val="ArticleBody"/>
        <w:jc w:val="left"/>
      </w:pPr>
      <w:r>
        <w:rPr>
          <w:rFonts w:ascii="Microsoft YaHei" w:hAnsi="Microsoft YaHei" w:eastAsia="Microsoft YaHei" w:cs="Microsoft YaHei"/>
        </w:rPr>
        <w:t>国共从</w:t>
      </w:r>
      <w:r>
        <w:rPr>
          <w:rFonts w:ascii="Times New Roman" w:hAnsi="Times New Roman" w:eastAsia="Times New Roman" w:cs="Times New Roman"/>
        </w:rPr>
        <w:t>1798</w:t>
      </w:r>
      <w:r>
        <w:rPr>
          <w:rFonts w:ascii="Microsoft YaHei" w:hAnsi="Microsoft YaHei" w:eastAsia="Microsoft YaHei" w:cs="Microsoft YaHei"/>
        </w:rPr>
        <w:t>年开始</w:t>
      </w:r>
      <w:r>
        <w:rPr>
          <w:rFonts w:ascii="Times New Roman" w:hAnsi="Times New Roman" w:eastAsia="Times New Roman" w:cs="Times New Roman"/>
        </w:rPr>
        <w:t>,</w:t>
      </w:r>
      <w:r>
        <w:rPr>
          <w:rFonts w:ascii="Microsoft YaHei" w:hAnsi="Microsoft YaHei" w:eastAsia="Microsoft YaHei" w:cs="Microsoft YaHei"/>
        </w:rPr>
        <w:t>作为</w:t>
      </w:r>
      <w:r>
        <w:rPr>
          <w:rFonts w:ascii="Times New Roman" w:hAnsi="Times New Roman" w:eastAsia="Times New Roman" w:cs="Times New Roman"/>
        </w:rPr>
        <w:t>«</w:t>
      </w:r>
      <w:r>
        <w:rPr>
          <w:rFonts w:ascii="Microsoft YaHei" w:hAnsi="Microsoft YaHei" w:eastAsia="Microsoft YaHei" w:cs="Microsoft YaHei"/>
        </w:rPr>
        <w:t>圣经</w:t>
      </w:r>
      <w:r>
        <w:rPr>
          <w:rFonts w:ascii="Times New Roman" w:hAnsi="Times New Roman" w:eastAsia="Times New Roman" w:cs="Times New Roman"/>
        </w:rPr>
        <w:t>»</w:t>
      </w:r>
      <w:r>
        <w:rPr>
          <w:rFonts w:ascii="Microsoft YaHei" w:hAnsi="Microsoft YaHei" w:eastAsia="Microsoft YaHei" w:cs="Microsoft YaHei"/>
        </w:rPr>
        <w:t>预言中的第六个国度兴起</w:t>
      </w:r>
      <w:r>
        <w:rPr>
          <w:rFonts w:ascii="Times New Roman" w:hAnsi="Times New Roman" w:eastAsia="Times New Roman" w:cs="Times New Roman"/>
        </w:rPr>
        <w:t>;</w:t>
      </w:r>
      <w:r>
        <w:rPr>
          <w:rFonts w:ascii="Microsoft YaHei" w:hAnsi="Microsoft YaHei" w:eastAsia="Microsoft YaHei" w:cs="Microsoft YaHei"/>
        </w:rPr>
        <w:t>在随后的六十五年中</w:t>
      </w:r>
      <w:r>
        <w:rPr>
          <w:rFonts w:ascii="Times New Roman" w:hAnsi="Times New Roman" w:eastAsia="Times New Roman" w:cs="Times New Roman"/>
        </w:rPr>
        <w:t>,</w:t>
      </w:r>
      <w:r>
        <w:rPr>
          <w:rFonts w:ascii="Microsoft YaHei" w:hAnsi="Microsoft YaHei" w:eastAsia="Microsoft YaHei" w:cs="Microsoft YaHei"/>
        </w:rPr>
        <w:t>那将一同贯穿历史的两角</w:t>
      </w:r>
      <w:r>
        <w:rPr>
          <w:rFonts w:ascii="Times New Roman" w:hAnsi="Times New Roman" w:eastAsia="Times New Roman" w:cs="Times New Roman"/>
        </w:rPr>
        <w:t>,</w:t>
      </w:r>
      <w:r>
        <w:rPr>
          <w:rFonts w:ascii="Microsoft YaHei" w:hAnsi="Microsoft YaHei" w:eastAsia="Microsoft YaHei" w:cs="Microsoft YaHei"/>
        </w:rPr>
        <w:t>被置于一个可以被辨认的背景之中</w:t>
      </w:r>
      <w:r>
        <w:rPr>
          <w:rFonts w:ascii="Times New Roman" w:hAnsi="Times New Roman" w:eastAsia="Times New Roman" w:cs="Times New Roman"/>
        </w:rPr>
        <w:t>,</w:t>
      </w:r>
      <w:r>
        <w:rPr>
          <w:rFonts w:ascii="Microsoft YaHei" w:hAnsi="Microsoft YaHei" w:eastAsia="Microsoft YaHei" w:cs="Microsoft YaHei"/>
        </w:rPr>
        <w:t>但惟有那些愿意看见的人才能辨明</w:t>
      </w:r>
      <w:r>
        <w:rPr>
          <w:rFonts w:ascii="Times New Roman" w:hAnsi="Times New Roman" w:eastAsia="Times New Roman" w:cs="Times New Roman"/>
        </w:rPr>
        <w:t>.</w:t>
      </w:r>
      <w:r>
        <w:rPr>
          <w:rFonts w:ascii="Microsoft YaHei" w:hAnsi="Microsoft YaHei" w:eastAsia="Microsoft YaHei" w:cs="Microsoft YaHei"/>
        </w:rPr>
        <w:t>以赛亚书第七章所陈明的那六十五年</w:t>
      </w:r>
      <w:r>
        <w:rPr>
          <w:rFonts w:ascii="Times New Roman" w:hAnsi="Times New Roman" w:eastAsia="Times New Roman" w:cs="Times New Roman"/>
        </w:rPr>
        <w:t>,</w:t>
      </w:r>
      <w:r>
        <w:rPr>
          <w:rFonts w:ascii="Microsoft YaHei" w:hAnsi="Microsoft YaHei" w:eastAsia="Microsoft YaHei" w:cs="Microsoft YaHei"/>
        </w:rPr>
        <w:t>始于公元前</w:t>
      </w:r>
      <w:r>
        <w:rPr>
          <w:rFonts w:ascii="Times New Roman" w:hAnsi="Times New Roman" w:eastAsia="Times New Roman" w:cs="Times New Roman"/>
        </w:rPr>
        <w:t>742</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终于公元前</w:t>
      </w:r>
      <w:r>
        <w:rPr>
          <w:rFonts w:ascii="Times New Roman" w:hAnsi="Times New Roman" w:eastAsia="Times New Roman" w:cs="Times New Roman"/>
        </w:rPr>
        <w:t>677</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从</w:t>
      </w:r>
      <w:r>
        <w:rPr>
          <w:rFonts w:ascii="Times New Roman" w:hAnsi="Times New Roman" w:eastAsia="Times New Roman" w:cs="Times New Roman"/>
        </w:rPr>
        <w:t>1798</w:t>
      </w:r>
      <w:r>
        <w:rPr>
          <w:rFonts w:ascii="Microsoft YaHei" w:hAnsi="Microsoft YaHei" w:eastAsia="Microsoft YaHei" w:cs="Microsoft YaHei"/>
        </w:rPr>
        <w:t>年至</w:t>
      </w:r>
      <w:r>
        <w:rPr>
          <w:rFonts w:ascii="Times New Roman" w:hAnsi="Times New Roman" w:eastAsia="Times New Roman" w:cs="Times New Roman"/>
        </w:rPr>
        <w:t>1863</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这些年数被重新重演</w:t>
      </w:r>
      <w:r>
        <w:rPr>
          <w:rFonts w:ascii="Times New Roman" w:hAnsi="Times New Roman" w:eastAsia="Times New Roman" w:cs="Times New Roman"/>
        </w:rPr>
        <w:t>.</w:t>
      </w:r>
      <w:r>
        <w:rPr>
          <w:rFonts w:ascii="Microsoft YaHei" w:hAnsi="Microsoft YaHei" w:eastAsia="Microsoft YaHei" w:cs="Microsoft YaHei"/>
        </w:rPr>
        <w:t>这六十五年标明了两角之中各自所经历的一场危机进程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Kufikia mwaka wa 1863, kipindi cha mwanzo cha “siku za mfalme mmoja” za kinabii za Isaya ishirini na tatu kilikuwa kimekamilika, na kwa kufanya hivyo kikaweka alama za kinabii za kipindi cha mwisho cha “siku za mfalme mmoja.” Mwisho wa sabini ya mfano ya Isaya ishirini na tatu unaonyeshwa kwa miaka sitini na mitano ya kwanza. Tangu 1863 hadi wakati wa mwisho mwaka 1989, ndicho kipindi cha kanisa la Waadventista wa Laodikia, kilichoanza kutoka katika vuguvugu la Wamilleri na kuishia katika vuguvugu la wale mia moja arobaini na nne elfu. Ili kuelewa kipindi cha wakati wa mwisho, ni lazima tuelewe kipindi cha mwanzo. Uadventista hauwezi kufanya hivyo, kwa maana mwanzo wake umewekwa alama na kuukataa kwake kiapo cha Musa, ambacho hutambulisha ile miaka sitini na mitano hasa, inayowakilisha mwanzo na mwisho wa Uadventista na wa Marekani.</w:t>
      </w:r>
    </w:p>
    <w:p>
      <w:pPr>
        <w:pStyle w:val="ArticleBody"/>
        <w:jc w:val="left"/>
      </w:pPr>
      <w:r>
        <w:rPr>
          <w:rFonts w:ascii="Times New Roman" w:hAnsi="Times New Roman" w:eastAsia="Times New Roman" w:cs="Times New Roman"/>
        </w:rPr>
        <w:t>لهذا السبب، وهو سبب ذو أهمية عظيمة، سعى هذا المقال إلى إثبات حقيقة نبوية واحدة يجري الآن فكّ أختامها بواسطة الأسد الذي من سبط يهوذا. وهذه الحقيقة هي أنه إن كنت غير مستعد للاعتراف بأن كنيسة الأدفنتست السبتيين كانت دائمًا في الحالة اللاودكية، فإنك، من الناحية المنطقية، تعجز عن التقسيم الصحيح لتاريخ الأدفنتية، وبدون التقسيم الصحيح لتاريخ الأدفنتية تكون غير قادر على التعرّف الصحيح على قرن الجمهوريانية.</w:t>
      </w:r>
    </w:p>
    <w:p>
      <w:pPr>
        <w:pStyle w:val="ArticleScripture"/>
        <w:jc w:val="left"/>
      </w:pPr>
      <w:r>
        <w:rPr>
          <w:rFonts w:ascii="Times New Roman" w:hAnsi="Times New Roman" w:eastAsia="Times New Roman" w:cs="Times New Roman"/>
        </w:rPr>
        <w:t>Car si, après avoir échappé aux souillures du monde par la connaissance du Seigneur et Sauveur Jésus-Christ, ils s’y laissent de nouveau enlacer et vaincre, leur dernière condition est pire que la première. Car il eût mieux valu pour eux n’avoir pas connu la voie de la justice que, l’ayant connue, se détourner du saint commandement qui leur avait été donné. Mais il leur est arrivé selon le proverbe véritable : Le chien est retourné à ce qu’il avait vomi ; et la truie qui avait été lavée s’est vautrée dans le bourbier. 2 Pierre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Élie — Numéro onze</dc:title>
  <dc:subject>Kwansobo A Di Kananhodo</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