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Nambala ya Kumi na Mbili</w:t>
      </w:r>
    </w:p>
    <w:p>
      <w:pPr>
        <w:pStyle w:val="ArticleSubtitle"/>
        <w:jc w:val="left"/>
      </w:pPr>
      <w:r>
        <w:rPr>
          <w:rFonts w:ascii="Arial" w:hAnsi="Arial" w:eastAsia="Arial" w:cs="Arial"/>
        </w:rPr>
        <w:t>Hu bonde mikah kinggoeje jiri dalroro.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Mi a si do address Elijah yet as wan prophetic symbol. Elijah bin proclaim to Ahab say rain no go fall, except at in word, for three years.</w:t>
      </w:r>
    </w:p>
    <w:p>
      <w:pPr>
        <w:pStyle w:val="ArticleScripture"/>
        <w:jc w:val="left"/>
      </w:pPr>
      <w:r>
        <w:rPr>
          <w:rFonts w:ascii="Times New Roman" w:hAnsi="Times New Roman" w:eastAsia="Times New Roman" w:cs="Times New Roman"/>
        </w:rPr>
        <w:t>Ora Ẹlaịja, onye Tishbe, onye sitere n’etiti ndị bi na Gilead, sịrị Ehab, Dị ka Jehova, Chineke nke Izrel, nọ ndụ, onye m guzo n’ihu Ya, igirigi agaghị adịkwa, mmiri ozuzo agaghịkwa ezo n’afọ ndị a, ma ọ bụghị dịka okwu m si dị. 1 Ndị Eze 17:1.</w:t>
      </w:r>
    </w:p>
    <w:p>
      <w:pPr>
        <w:pStyle w:val="ArticleBody"/>
        <w:jc w:val="left"/>
      </w:pPr>
      <w:r>
        <w:rPr>
          <w:rFonts w:ascii="Times New Roman" w:hAnsi="Times New Roman" w:eastAsia="Times New Roman" w:cs="Times New Roman"/>
        </w:rPr>
        <w:t>Kristi na gwetp ya en buk blong Luk se trifala yia ya i tru, hem i tri yia mo haf.</w:t>
      </w:r>
    </w:p>
    <w:p>
      <w:pPr>
        <w:pStyle w:val="ArticleScripture"/>
        <w:jc w:val="left"/>
      </w:pPr>
      <w:r>
        <w:rPr>
          <w:rFonts w:ascii="Times New Roman" w:hAnsi="Times New Roman" w:eastAsia="Times New Roman" w:cs="Times New Roman"/>
        </w:rPr>
        <w:t>Na akasema, Amini, nawaambia, hakuna nabii anayekubaliwa katika nchi yake mwenyewe. Lakini nawaambia kweli, kulikuwa na wajane wengi katika Israeli siku za Eliya, mbingu zilipofungwa kwa muda wa miaka mitatu na miezi sita, njaa kuu ilipokuwa katika nchi yote; lakini Eliya hakutumwa kwa yeyote miongoni mwao, ila Sarepta, mji wa Sidoni, kwa mwanamke mmoja aliyekuwa mjane. Luka 4:24–26.</w:t>
      </w:r>
    </w:p>
    <w:p>
      <w:pPr>
        <w:pStyle w:val="ArticleBody"/>
        <w:jc w:val="left"/>
      </w:pPr>
      <w:r>
        <w:rPr>
          <w:rFonts w:ascii="Times New Roman" w:hAnsi="Times New Roman" w:eastAsia="Times New Roman" w:cs="Times New Roman"/>
        </w:rPr>
        <w:t>Les trois ans et demi eurent lieu au temps d’Achab et de Jézabel, identifiant ainsi les trois ans et demi prophétiques de 538 à 1798, lorsque la papauté, représentée par Jézabel dans l’Église de Thyatire, régna durant le Moyen Âge obscur.</w:t>
      </w:r>
    </w:p>
    <w:p>
      <w:pPr>
        <w:pStyle w:val="ArticleScripture"/>
        <w:jc w:val="left"/>
      </w:pPr>
      <w:r>
        <w:rPr>
          <w:rFonts w:ascii="Times New Roman" w:hAnsi="Times New Roman" w:eastAsia="Times New Roman" w:cs="Times New Roman"/>
        </w:rPr>
        <w:t>Cependant, j’ai contre toi quelques reproches, parce que tu laisses cette femme Jézabel, qui se dit prophétesse, enseigner et séduire mes serviteurs, pour les entraîner à se livrer à l’impudicité et à manger des viandes sacrifiées aux idoles. Je lui ai donné du temps pour qu’elle se repente de son impudicité, et elle ne s’est point repentie. Voici, je vais la jeter sur un lit, et ceux qui commettent adultère avec elle, dans une grande tribulation, à moins qu’ils ne se repentent de leurs œuvres. Je frapperai de mort ses enfants; et toutes les Églises connaîtront que je suis celui qui sonde les reins et les cœurs; et je rendrai à chacun de vous selon ses œuvres. Apocalypse 2:20–23.</w:t>
      </w:r>
    </w:p>
    <w:p>
      <w:pPr>
        <w:pStyle w:val="ArticleBody"/>
        <w:jc w:val="left"/>
      </w:pPr>
      <w:r>
        <w:rPr>
          <w:rFonts w:ascii="Ebrima" w:hAnsi="Ebrima" w:eastAsia="Ebrima" w:cs="Ebrima"/>
        </w:rPr>
        <w:t>የኢዛቤል</w:t>
      </w:r>
      <w:r>
        <w:rPr>
          <w:rFonts w:ascii="Times New Roman" w:hAnsi="Times New Roman" w:eastAsia="Times New Roman" w:cs="Times New Roman"/>
        </w:rPr>
        <w:t xml:space="preserve"> “</w:t>
      </w:r>
      <w:r>
        <w:rPr>
          <w:rFonts w:ascii="Ebrima" w:hAnsi="Ebrima" w:eastAsia="Ebrima" w:cs="Ebrima"/>
        </w:rPr>
        <w:t>ንስሐ</w:t>
      </w:r>
      <w:r>
        <w:rPr>
          <w:rFonts w:ascii="Times New Roman" w:hAnsi="Times New Roman" w:eastAsia="Times New Roman" w:cs="Times New Roman"/>
        </w:rPr>
        <w:t xml:space="preserve"> </w:t>
      </w:r>
      <w:r>
        <w:rPr>
          <w:rFonts w:ascii="Ebrima" w:hAnsi="Ebrima" w:eastAsia="Ebrima" w:cs="Ebrima"/>
        </w:rPr>
        <w:t>እንድትገባ</w:t>
      </w:r>
      <w:r>
        <w:rPr>
          <w:rFonts w:ascii="Times New Roman" w:hAnsi="Times New Roman" w:eastAsia="Times New Roman" w:cs="Times New Roman"/>
        </w:rPr>
        <w:t xml:space="preserve"> </w:t>
      </w:r>
      <w:r>
        <w:rPr>
          <w:rFonts w:ascii="Ebrima" w:hAnsi="Ebrima" w:eastAsia="Ebrima" w:cs="Ebrima"/>
        </w:rPr>
        <w:t>የተሰጣት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በኤልያስ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538 </w:t>
      </w:r>
      <w:r>
        <w:rPr>
          <w:rFonts w:ascii="Ebrima" w:hAnsi="Ebrima" w:eastAsia="Ebrima" w:cs="Ebrima"/>
        </w:rPr>
        <w:t>እስከ</w:t>
      </w:r>
      <w:r>
        <w:rPr>
          <w:rFonts w:ascii="Times New Roman" w:hAnsi="Times New Roman" w:eastAsia="Times New Roman" w:cs="Times New Roman"/>
        </w:rPr>
        <w:t xml:space="preserve"> 1798 </w:t>
      </w:r>
      <w:r>
        <w:rPr>
          <w:rFonts w:ascii="Ebrima" w:hAnsi="Ebrima" w:eastAsia="Ebrima" w:cs="Ebrima"/>
        </w:rPr>
        <w:t>በጳጳሳዊ</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የጨለማ</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የኢዛቤልና</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ዝሙት</w:t>
      </w:r>
      <w:r>
        <w:rPr>
          <w:rFonts w:ascii="Times New Roman" w:hAnsi="Times New Roman" w:eastAsia="Times New Roman" w:cs="Times New Roman"/>
        </w:rPr>
        <w:t xml:space="preserve"> </w:t>
      </w:r>
      <w:r>
        <w:rPr>
          <w:rFonts w:ascii="Ebrima" w:hAnsi="Ebrima" w:eastAsia="Ebrima" w:cs="Ebrima"/>
        </w:rPr>
        <w:t>የፈጸሙ</w:t>
      </w:r>
      <w:r>
        <w:rPr>
          <w:rFonts w:ascii="Times New Roman" w:hAnsi="Times New Roman" w:eastAsia="Times New Roman" w:cs="Times New Roman"/>
        </w:rPr>
        <w:t xml:space="preserve"> </w:t>
      </w:r>
      <w:r>
        <w:rPr>
          <w:rFonts w:ascii="Ebrima" w:hAnsi="Ebrima" w:eastAsia="Ebrima" w:cs="Ebrima"/>
        </w:rPr>
        <w:t>የአውሮፓ</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ቅጣት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አልጋ</w:t>
      </w:r>
      <w:r>
        <w:rPr>
          <w:rFonts w:ascii="Times New Roman" w:hAnsi="Times New Roman" w:eastAsia="Times New Roman" w:cs="Times New Roman"/>
        </w:rPr>
        <w:t xml:space="preserve"> </w:t>
      </w:r>
      <w:r>
        <w:rPr>
          <w:rFonts w:ascii="Ebrima" w:hAnsi="Ebrima" w:eastAsia="Ebrima" w:cs="Ebrima"/>
        </w:rPr>
        <w:t>መጣልና</w:t>
      </w:r>
      <w:r>
        <w:rPr>
          <w:rFonts w:ascii="Times New Roman" w:hAnsi="Times New Roman" w:eastAsia="Times New Roman" w:cs="Times New Roman"/>
        </w:rPr>
        <w:t xml:space="preserve"> </w:t>
      </w:r>
      <w:r>
        <w:rPr>
          <w:rFonts w:ascii="Ebrima" w:hAnsi="Ebrima" w:eastAsia="Ebrima" w:cs="Ebrima"/>
        </w:rPr>
        <w:t>የልጆችዋ</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በጨለማው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አልጋ</w:t>
      </w:r>
      <w:r>
        <w:rPr>
          <w:rFonts w:ascii="Times New Roman" w:hAnsi="Times New Roman" w:eastAsia="Times New Roman" w:cs="Times New Roman"/>
        </w:rPr>
        <w:t xml:space="preserve"> </w:t>
      </w:r>
      <w:r>
        <w:rPr>
          <w:rFonts w:ascii="Ebrima" w:hAnsi="Ebrima" w:eastAsia="Ebrima" w:cs="Ebrima"/>
        </w:rPr>
        <w:t>የተጣሉ</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ነፍሳትም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ሕያዋን</w:t>
      </w:r>
      <w:r>
        <w:rPr>
          <w:rFonts w:ascii="Times New Roman" w:hAnsi="Times New Roman" w:eastAsia="Times New Roman" w:cs="Times New Roman"/>
        </w:rPr>
        <w:t xml:space="preserve"> </w:t>
      </w:r>
      <w:r>
        <w:rPr>
          <w:rFonts w:ascii="Ebrima" w:hAnsi="Ebrima" w:eastAsia="Ebrima" w:cs="Ebrima"/>
        </w:rPr>
        <w:t>ይሆኑ</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አልጋ</w:t>
      </w:r>
      <w:r>
        <w:rPr>
          <w:rFonts w:ascii="Times New Roman" w:hAnsi="Times New Roman" w:eastAsia="Times New Roman" w:cs="Times New Roman"/>
        </w:rPr>
        <w:t xml:space="preserve"> </w:t>
      </w:r>
      <w:r>
        <w:rPr>
          <w:rFonts w:ascii="Ebrima" w:hAnsi="Ebrima" w:eastAsia="Ebrima" w:cs="Ebrima"/>
        </w:rPr>
        <w:t>በተጣሉ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ለታማኞች</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ለማይታማኞች</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ሥራቸው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የታማኞቹ</w:t>
      </w:r>
      <w:r>
        <w:rPr>
          <w:rFonts w:ascii="Times New Roman" w:hAnsi="Times New Roman" w:eastAsia="Times New Roman" w:cs="Times New Roman"/>
        </w:rPr>
        <w:t xml:space="preserve"> </w:t>
      </w:r>
      <w:r>
        <w:rPr>
          <w:rFonts w:ascii="Ebrima" w:hAnsi="Ebrima" w:eastAsia="Ebrima" w:cs="Ebrima"/>
        </w:rPr>
        <w:t>የመከራ</w:t>
      </w:r>
      <w:r>
        <w:rPr>
          <w:rFonts w:ascii="Times New Roman" w:hAnsi="Times New Roman" w:eastAsia="Times New Roman" w:cs="Times New Roman"/>
        </w:rPr>
        <w:t xml:space="preserve"> </w:t>
      </w:r>
      <w:r>
        <w:rPr>
          <w:rFonts w:ascii="Ebrima" w:hAnsi="Ebrima" w:eastAsia="Ebrima" w:cs="Ebrima"/>
        </w:rPr>
        <w:t>አልጋ</w:t>
      </w:r>
      <w:r>
        <w:rPr>
          <w:rFonts w:ascii="Times New Roman" w:hAnsi="Times New Roman" w:eastAsia="Times New Roman" w:cs="Times New Roman"/>
        </w:rPr>
        <w:t xml:space="preserve"> </w:t>
      </w:r>
      <w:r>
        <w:rPr>
          <w:rFonts w:ascii="Ebrima" w:hAnsi="Ebrima" w:eastAsia="Ebrima" w:cs="Ebrima"/>
        </w:rPr>
        <w:t>ትዕግሥትንና</w:t>
      </w:r>
      <w:r>
        <w:rPr>
          <w:rFonts w:ascii="Times New Roman" w:hAnsi="Times New Roman" w:eastAsia="Times New Roman" w:cs="Times New Roman"/>
        </w:rPr>
        <w:t xml:space="preserve"> </w:t>
      </w:r>
      <w:r>
        <w:rPr>
          <w:rFonts w:ascii="Ebrima" w:hAnsi="Ebrima" w:eastAsia="Ebrima" w:cs="Ebrima"/>
        </w:rPr>
        <w:t>ሕይወትን</w:t>
      </w:r>
      <w:r>
        <w:rPr>
          <w:rFonts w:ascii="Times New Roman" w:hAnsi="Times New Roman" w:eastAsia="Times New Roman" w:cs="Times New Roman"/>
        </w:rPr>
        <w:t xml:space="preserve"> </w:t>
      </w:r>
      <w:r>
        <w:rPr>
          <w:rFonts w:ascii="Ebrima" w:hAnsi="Ebrima" w:eastAsia="Ebrima" w:cs="Ebrima"/>
        </w:rPr>
        <w:t>አፈራ።</w:t>
      </w:r>
      <w:r>
        <w:rPr>
          <w:rFonts w:ascii="Times New Roman" w:hAnsi="Times New Roman" w:eastAsia="Times New Roman" w:cs="Times New Roman"/>
        </w:rPr>
        <w:t xml:space="preserve"> </w:t>
      </w:r>
      <w:r>
        <w:rPr>
          <w:rFonts w:ascii="Ebrima" w:hAnsi="Ebrima" w:eastAsia="Ebrima" w:cs="Ebrima"/>
        </w:rPr>
        <w:t>የእነርሱ</w:t>
      </w:r>
      <w:r>
        <w:rPr>
          <w:rFonts w:ascii="Times New Roman" w:hAnsi="Times New Roman" w:eastAsia="Times New Roman" w:cs="Times New Roman"/>
        </w:rPr>
        <w:t xml:space="preserve"> </w:t>
      </w:r>
      <w:r>
        <w:rPr>
          <w:rFonts w:ascii="Ebrima" w:hAnsi="Ebrima" w:eastAsia="Ebrima" w:cs="Ebrima"/>
        </w:rPr>
        <w:t>የመከራ</w:t>
      </w:r>
      <w:r>
        <w:rPr>
          <w:rFonts w:ascii="Times New Roman" w:hAnsi="Times New Roman" w:eastAsia="Times New Roman" w:cs="Times New Roman"/>
        </w:rPr>
        <w:t xml:space="preserve"> </w:t>
      </w:r>
      <w:r>
        <w:rPr>
          <w:rFonts w:ascii="Ebrima" w:hAnsi="Ebrima" w:eastAsia="Ebrima" w:cs="Ebrima"/>
        </w:rPr>
        <w:t>አልጋ</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ከሰራፕታ</w:t>
      </w:r>
      <w:r>
        <w:rPr>
          <w:rFonts w:ascii="Times New Roman" w:hAnsi="Times New Roman" w:eastAsia="Times New Roman" w:cs="Times New Roman"/>
        </w:rPr>
        <w:t xml:space="preserve"> </w:t>
      </w:r>
      <w:r>
        <w:rPr>
          <w:rFonts w:ascii="Ebrima" w:hAnsi="Ebrima" w:eastAsia="Ebrima" w:cs="Ebrima"/>
        </w:rPr>
        <w:t>ወጥቶ</w:t>
      </w:r>
      <w:r>
        <w:rPr>
          <w:rFonts w:ascii="Times New Roman" w:hAnsi="Times New Roman" w:eastAsia="Times New Roman" w:cs="Times New Roman"/>
        </w:rPr>
        <w:t xml:space="preserve"> </w:t>
      </w:r>
      <w:r>
        <w:rPr>
          <w:rFonts w:ascii="Ebrima" w:hAnsi="Ebrima" w:eastAsia="Ebrima" w:cs="Ebrima"/>
        </w:rPr>
        <w:t>አክዓብን</w:t>
      </w:r>
      <w:r>
        <w:rPr>
          <w:rFonts w:ascii="Times New Roman" w:hAnsi="Times New Roman" w:eastAsia="Times New Roman" w:cs="Times New Roman"/>
        </w:rPr>
        <w:t xml:space="preserve"> </w:t>
      </w:r>
      <w:r>
        <w:rPr>
          <w:rFonts w:ascii="Ebrima" w:hAnsi="Ebrima" w:eastAsia="Ebrima" w:cs="Ebrima"/>
        </w:rPr>
        <w:t>እስራኤልን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ቀርሜሎስ</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እንዲጠራ</w:t>
      </w:r>
      <w:r>
        <w:rPr>
          <w:rFonts w:ascii="Times New Roman" w:hAnsi="Times New Roman" w:eastAsia="Times New Roman" w:cs="Times New Roman"/>
        </w:rPr>
        <w:t xml:space="preserve"> </w:t>
      </w:r>
      <w:r>
        <w:rPr>
          <w:rFonts w:ascii="Ebrima" w:hAnsi="Ebrima" w:eastAsia="Ebrima" w:cs="Ebrima"/>
        </w:rPr>
        <w:t>ከማዘዙ</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ተኩሉ</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አቅራቢያ</w:t>
      </w:r>
      <w:r>
        <w:rPr>
          <w:rFonts w:ascii="Times New Roman" w:hAnsi="Times New Roman" w:eastAsia="Times New Roman" w:cs="Times New Roman"/>
        </w:rPr>
        <w:t xml:space="preserve"> </w:t>
      </w:r>
      <w:r>
        <w:rPr>
          <w:rFonts w:ascii="Ebrima" w:hAnsi="Ebrima" w:eastAsia="Ebrima" w:cs="Ebrima"/>
        </w:rPr>
        <w:t>ያቆም</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«Утискањето на црквата не продолжи во текот на целиот период од 1260 години. Бог, во Својата милост кон Својот народ, го скрати времето на нивното огнено искушение. Претскажувајќи ја „големата неволја“ што ќе ја снајде црквата, Спасителот рече: „И ако не се скратеа тие денови, ниедно тело не би се спасило; но заради избраните, тие денови ќе се скратат.“ Матеј 24:22. Под влијанието на Реформацијата, прогонството беше приведено кон крај пред 1798 година.» Големата борба, 266, 267.</w:t>
      </w:r>
    </w:p>
    <w:p>
      <w:pPr>
        <w:pStyle w:val="ArticleBody"/>
        <w:jc w:val="left"/>
      </w:pPr>
      <w:r>
        <w:rPr>
          <w:rFonts w:ascii="Times New Roman" w:hAnsi="Times New Roman" w:eastAsia="Times New Roman" w:cs="Times New Roman"/>
        </w:rPr>
        <w:t>Le jugement du « lit de tribulation » contre la papauté « fera mourir ses enfants par la mort » ; mais le jugement du « lit de tribulation » renfermait une promesse de vie pour ceux dont les œuvres manifestaient leur fidélité, comme l’illustre la mort du fils de la veuve de Sarepta.</w:t>
      </w:r>
    </w:p>
    <w:p>
      <w:pPr>
        <w:pStyle w:val="ArticleScripture"/>
        <w:jc w:val="left"/>
      </w:pPr>
      <w:r>
        <w:rPr>
          <w:rFonts w:ascii="Times New Roman" w:hAnsi="Times New Roman" w:eastAsia="Times New Roman" w:cs="Times New Roman"/>
        </w:rPr>
        <w:t>Et il arriva, après ces choses, que le fils de la femme, maîtresse de la maison, tomba malade ; et sa maladie fut si grave qu’il ne resta plus en lui de souffle. Et elle dit à Élie : Qu’y a-t-il entre moi et toi, homme de Dieu ? Es-tu venu chez moi pour rappeler mon péché à mon souvenir, et pour faire mourir mon fils ? Il lui dit : Donne-moi ton fils. Et il le prit de son sein, le porta dans la chambre haute où il demeurait, et le coucha sur son propre lit. Puis il cria à l’Éternel, et dit : Éternel, mon Dieu, as-tu aussi fait venir le mal sur la veuve chez qui je séjourne, en faisant mourir son fils ? Et il s’étendit sur l’enfant trois fois, et cria à l’Éternel, et dit : Éternel, mon Dieu, je t’en prie, que l’âme de cet enfant revienne en lui. Et l’Éternel exauça la voix d’Élie ; et l’âme de l’enfant revint en lui, et il reprit vie. Élie prit l’enfant, le descendit de la chambre dans la maison, et le remit à sa mère ; et Élie dit : Vois, ton fils vit. Et la femme dit à Élie : Maintenant, par cela, je connais que tu es un homme de Dieu, et que la parole de l’Éternel dans ta bouche est vérité. 1 Rois 17:17–24.</w:t>
      </w:r>
    </w:p>
    <w:p>
      <w:pPr>
        <w:pStyle w:val="ArticleBody"/>
        <w:jc w:val="left"/>
      </w:pPr>
      <w:r>
        <w:rPr>
          <w:rFonts w:ascii="Times New Roman" w:hAnsi="Times New Roman" w:eastAsia="Times New Roman" w:cs="Times New Roman"/>
        </w:rPr>
        <w:t>دا کونډه وپېژندله چې الیاس «د خدای سړی» دی، ځکه چې «د څښتن کلمه» چې د هغې ماشوم یې بېرته ژوندی کړ، د «حق» کلمه وه. د الیاس هغه درې پړاویز عمل چې ځان یې د کونډې پر زوی وغځاوه، د کونډې له خوا داسې درک شو چې د الیاس په خوله کې «کلمه» «حق» ده. عبري کلمه ‘emeth’ په دې متن کې د «حق» په توګه ژباړل شوې ده، او د الفا او اومیګا د خلاق ځواک استازیتوب کوي. دا هغه عبري کلمه ده چې د عبري الفبا له لومړي، دیارلسم او وروستي توري څخه جوړه شوې ده، او د هغه ځواک استازیتوب کوي چې مړي بېرته ژوند ته راګرځولای شي.</w:t>
      </w:r>
    </w:p>
    <w:p>
      <w:pPr>
        <w:pStyle w:val="ArticleBody"/>
        <w:jc w:val="left"/>
      </w:pPr>
      <w:r>
        <w:rPr>
          <w:rFonts w:ascii="Myanmar Text" w:hAnsi="Myanmar Text" w:eastAsia="Myanmar Text" w:cs="Myanmar Text"/>
        </w:rPr>
        <w:t>အမျိုးသမီးမရှင်းသောသူများကဲ့သို့ပင်၊</w:t>
      </w:r>
      <w:r>
        <w:rPr>
          <w:rFonts w:ascii="Times New Roman" w:hAnsi="Times New Roman" w:eastAsia="Times New Roman" w:cs="Times New Roman"/>
        </w:rPr>
        <w:t xml:space="preserve"> </w:t>
      </w:r>
      <w:r>
        <w:rPr>
          <w:rFonts w:ascii="Myanmar Text" w:hAnsi="Myanmar Text" w:eastAsia="Myanmar Text" w:cs="Myanmar Text"/>
        </w:rPr>
        <w:t>သုံးနှစ်ခွဲဖြင့်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အတွင်းရှိ</w:t>
      </w:r>
      <w:r>
        <w:rPr>
          <w:rFonts w:ascii="Times New Roman" w:hAnsi="Times New Roman" w:eastAsia="Times New Roman" w:cs="Times New Roman"/>
        </w:rPr>
        <w:t xml:space="preserve"> </w:t>
      </w:r>
      <w:r>
        <w:rPr>
          <w:rFonts w:ascii="Myanmar Text" w:hAnsi="Myanmar Text" w:eastAsia="Myanmar Text" w:cs="Myanmar Text"/>
        </w:rPr>
        <w:t>သစ္စာရှိသူများသည်လည်း</w:t>
      </w:r>
      <w:r>
        <w:rPr>
          <w:rFonts w:ascii="Times New Roman" w:hAnsi="Times New Roman" w:eastAsia="Times New Roman" w:cs="Times New Roman"/>
        </w:rPr>
        <w:t xml:space="preserve"> “</w:t>
      </w:r>
      <w:r>
        <w:rPr>
          <w:rFonts w:ascii="Myanmar Text" w:hAnsi="Myanmar Text" w:eastAsia="Myanmar Text" w:cs="Myanmar Text"/>
        </w:rPr>
        <w:t>ဒုက္ခဆင်းရဲရာအိပ်ရာ</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ခံခဲ့ရကြသည်။</w:t>
      </w:r>
      <w:r>
        <w:rPr>
          <w:rFonts w:ascii="Times New Roman" w:hAnsi="Times New Roman" w:eastAsia="Times New Roman" w:cs="Times New Roman"/>
        </w:rPr>
        <w:t xml:space="preserve"> </w:t>
      </w:r>
      <w:r>
        <w:rPr>
          <w:rFonts w:ascii="Myanmar Text" w:hAnsi="Myanmar Text" w:eastAsia="Myanmar Text" w:cs="Myanmar Text"/>
        </w:rPr>
        <w:t>ဝတ်ပြုမှားယွင်းသော</w:t>
      </w:r>
      <w:r>
        <w:rPr>
          <w:rFonts w:ascii="Times New Roman" w:hAnsi="Times New Roman" w:eastAsia="Times New Roman" w:cs="Times New Roman"/>
        </w:rPr>
        <w:t xml:space="preserve"> </w:t>
      </w:r>
      <w:r>
        <w:rPr>
          <w:rFonts w:ascii="Myanmar Text" w:hAnsi="Myanmar Text" w:eastAsia="Myanmar Text" w:cs="Myanmar Text"/>
        </w:rPr>
        <w:t>မိန်းမနောက်လိုက်၍</w:t>
      </w:r>
      <w:r>
        <w:rPr>
          <w:rFonts w:ascii="Times New Roman" w:hAnsi="Times New Roman" w:eastAsia="Times New Roman" w:cs="Times New Roman"/>
        </w:rPr>
        <w:t xml:space="preserve"> </w:t>
      </w:r>
      <w:r>
        <w:rPr>
          <w:rFonts w:ascii="Myanmar Text" w:hAnsi="Myanmar Text" w:eastAsia="Myanmar Text" w:cs="Myanmar Text"/>
        </w:rPr>
        <w:t>အိမ်မက်ယောင်ယမ်းမှုကို</w:t>
      </w:r>
      <w:r>
        <w:rPr>
          <w:rFonts w:ascii="Times New Roman" w:hAnsi="Times New Roman" w:eastAsia="Times New Roman" w:cs="Times New Roman"/>
        </w:rPr>
        <w:t xml:space="preserve"> </w:t>
      </w:r>
      <w:r>
        <w:rPr>
          <w:rFonts w:ascii="Myanmar Text" w:hAnsi="Myanmar Text" w:eastAsia="Myanmar Text" w:cs="Myanmar Text"/>
        </w:rPr>
        <w:t>ကျူးလွန်ကာ</w:t>
      </w:r>
      <w:r>
        <w:rPr>
          <w:rFonts w:ascii="Times New Roman" w:hAnsi="Times New Roman" w:eastAsia="Times New Roman" w:cs="Times New Roman"/>
        </w:rPr>
        <w:t xml:space="preserve"> </w:t>
      </w:r>
      <w:r>
        <w:rPr>
          <w:rFonts w:ascii="Myanmar Text" w:hAnsi="Myanmar Text" w:eastAsia="Myanmar Text" w:cs="Myanmar Text"/>
        </w:rPr>
        <w:t>သာသနာမမှန်သော</w:t>
      </w:r>
      <w:r>
        <w:rPr>
          <w:rFonts w:ascii="Times New Roman" w:hAnsi="Times New Roman" w:eastAsia="Times New Roman" w:cs="Times New Roman"/>
        </w:rPr>
        <w:t xml:space="preserve"> </w:t>
      </w:r>
      <w:r>
        <w:rPr>
          <w:rFonts w:ascii="Myanmar Text" w:hAnsi="Myanmar Text" w:eastAsia="Myanmar Text" w:cs="Myanmar Text"/>
        </w:rPr>
        <w:t>အယူဝါဒများကို</w:t>
      </w:r>
      <w:r>
        <w:rPr>
          <w:rFonts w:ascii="Times New Roman" w:hAnsi="Times New Roman" w:eastAsia="Times New Roman" w:cs="Times New Roman"/>
        </w:rPr>
        <w:t xml:space="preserve"> </w:t>
      </w:r>
      <w:r>
        <w:rPr>
          <w:rFonts w:ascii="Myanmar Text" w:hAnsi="Myanmar Text" w:eastAsia="Myanmar Text" w:cs="Myanmar Text"/>
        </w:rPr>
        <w:t>သင်ကြားခဲ့သော</w:t>
      </w:r>
      <w:r>
        <w:rPr>
          <w:rFonts w:ascii="Times New Roman" w:hAnsi="Times New Roman" w:eastAsia="Times New Roman" w:cs="Times New Roman"/>
        </w:rPr>
        <w:t xml:space="preserve"> </w:t>
      </w:r>
      <w:r>
        <w:rPr>
          <w:rFonts w:ascii="Myanmar Text" w:hAnsi="Myanmar Text" w:eastAsia="Myanmar Text" w:cs="Myanmar Text"/>
        </w:rPr>
        <w:t>အုပ်စုဝင်သားသမီးများအတွက်</w:t>
      </w:r>
      <w:r>
        <w:rPr>
          <w:rFonts w:ascii="Times New Roman" w:hAnsi="Times New Roman" w:eastAsia="Times New Roman" w:cs="Times New Roman"/>
        </w:rPr>
        <w:t xml:space="preserve"> </w:t>
      </w:r>
      <w:r>
        <w:rPr>
          <w:rFonts w:ascii="Myanmar Text" w:hAnsi="Myanmar Text" w:eastAsia="Myanmar Text" w:cs="Myanmar Text"/>
        </w:rPr>
        <w:t>အကျိုးဆက်မှာ</w:t>
      </w:r>
      <w:r>
        <w:rPr>
          <w:rFonts w:ascii="Times New Roman" w:hAnsi="Times New Roman" w:eastAsia="Times New Roman" w:cs="Times New Roman"/>
        </w:rPr>
        <w:t xml:space="preserve"> </w:t>
      </w:r>
      <w:r>
        <w:rPr>
          <w:rFonts w:ascii="Myanmar Text" w:hAnsi="Myanmar Text" w:eastAsia="Myanmar Text" w:cs="Myanmar Text"/>
        </w:rPr>
        <w:t>သေခြင်းဖြစ်သည်။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ညွှန်ကြားချက်များကို</w:t>
      </w:r>
      <w:r>
        <w:rPr>
          <w:rFonts w:ascii="Times New Roman" w:hAnsi="Times New Roman" w:eastAsia="Times New Roman" w:cs="Times New Roman"/>
        </w:rPr>
        <w:t xml:space="preserve"> </w:t>
      </w:r>
      <w:r>
        <w:rPr>
          <w:rFonts w:ascii="Myanmar Text" w:hAnsi="Myanmar Text" w:eastAsia="Myanmar Text" w:cs="Myanmar Text"/>
        </w:rPr>
        <w:t>လိုက်နာ၍</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ယုံကြည်သော</w:t>
      </w:r>
      <w:r>
        <w:rPr>
          <w:rFonts w:ascii="Times New Roman" w:hAnsi="Times New Roman" w:eastAsia="Times New Roman" w:cs="Times New Roman"/>
        </w:rPr>
        <w:t xml:space="preserve"> </w:t>
      </w:r>
      <w:r>
        <w:rPr>
          <w:rFonts w:ascii="Myanmar Text" w:hAnsi="Myanmar Text" w:eastAsia="Myanmar Text" w:cs="Myanmar Text"/>
        </w:rPr>
        <w:t>အခြားအုပ်စုအား</w:t>
      </w:r>
      <w:r>
        <w:rPr>
          <w:rFonts w:ascii="Times New Roman" w:hAnsi="Times New Roman" w:eastAsia="Times New Roman" w:cs="Times New Roman"/>
        </w:rPr>
        <w:t xml:space="preserve"> </w:t>
      </w:r>
      <w:r>
        <w:rPr>
          <w:rFonts w:ascii="Myanmar Text" w:hAnsi="Myanmar Text" w:eastAsia="Myanmar Text" w:cs="Myanmar Text"/>
        </w:rPr>
        <w:t>အသက်ကို</w:t>
      </w:r>
      <w:r>
        <w:rPr>
          <w:rFonts w:ascii="Times New Roman" w:hAnsi="Times New Roman" w:eastAsia="Times New Roman" w:cs="Times New Roman"/>
        </w:rPr>
        <w:t xml:space="preserve"> </w:t>
      </w:r>
      <w:r>
        <w:rPr>
          <w:rFonts w:ascii="Myanmar Text" w:hAnsi="Myanmar Text" w:eastAsia="Myanmar Text" w:cs="Myanmar Text"/>
        </w:rPr>
        <w:t>ပေးအပ်တော်မူခဲ့သည်။</w:t>
      </w:r>
    </w:p>
    <w:p>
      <w:pPr>
        <w:pStyle w:val="ArticleBody"/>
        <w:jc w:val="left"/>
      </w:pPr>
      <w:r>
        <w:rPr>
          <w:rFonts w:ascii="Times New Roman" w:hAnsi="Times New Roman" w:eastAsia="Times New Roman" w:cs="Times New Roman"/>
        </w:rPr>
        <w:t>La veuve avait suivi l’ordre d’Élie d’aller lui chercher un peu d’eau et de lui donner du pain, et son obéissance à la parole du prophète représente les fidèles durant les âges obscurs de Thyatire. (Il convient de noter que, lorsque Élie ordonne à la veuve de le nourrir d’abord, puis ensuite de nourrir son fils et elle-même, ce qui est représenté, c’est qu’Élie est le premier à recevoir la nourriture pour la manger. Il est le premier à recevoir le message, et ensuite l’Église.) Il nous est dit que les œuvres des fidèles étaient plus grandes à la fin qu’au commencement.</w:t>
      </w:r>
    </w:p>
    <w:p>
      <w:pPr>
        <w:pStyle w:val="ArticleScripture"/>
        <w:jc w:val="left"/>
      </w:pP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থুয়াতীরার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চক্ষুদ্বয়</w:t>
      </w:r>
      <w:r>
        <w:rPr>
          <w:rFonts w:ascii="Times New Roman" w:hAnsi="Times New Roman" w:eastAsia="Times New Roman" w:cs="Times New Roman"/>
        </w:rPr>
        <w:t xml:space="preserve"> </w:t>
      </w:r>
      <w:r>
        <w:rPr>
          <w:rFonts w:ascii="Nirmala UI" w:hAnsi="Nirmala UI" w:eastAsia="Nirmala UI" w:cs="Nirmala UI"/>
        </w:rPr>
        <w:t>অগ্নিশিখার</w:t>
      </w:r>
      <w:r>
        <w:rPr>
          <w:rFonts w:ascii="Times New Roman" w:hAnsi="Times New Roman" w:eastAsia="Times New Roman" w:cs="Times New Roman"/>
        </w:rPr>
        <w:t xml:space="preserve"> </w:t>
      </w:r>
      <w:r>
        <w:rPr>
          <w:rFonts w:ascii="Nirmala UI" w:hAnsi="Nirmala UI" w:eastAsia="Nirmala UI" w:cs="Nirmala UI"/>
        </w:rPr>
        <w:t>সদৃশ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পদযুগল</w:t>
      </w:r>
      <w:r>
        <w:rPr>
          <w:rFonts w:ascii="Times New Roman" w:hAnsi="Times New Roman" w:eastAsia="Times New Roman" w:cs="Times New Roman"/>
        </w:rPr>
        <w:t xml:space="preserve"> </w:t>
      </w:r>
      <w:r>
        <w:rPr>
          <w:rFonts w:ascii="Nirmala UI" w:hAnsi="Nirmala UI" w:eastAsia="Nirmala UI" w:cs="Nirmala UI"/>
        </w:rPr>
        <w:t>নির্মল</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১৯।</w:t>
      </w:r>
    </w:p>
    <w:p>
      <w:pPr>
        <w:pStyle w:val="ArticleBody"/>
        <w:jc w:val="left"/>
      </w:pPr>
      <w:r>
        <w:rPr>
          <w:rFonts w:ascii="Times New Roman" w:hAnsi="Times New Roman" w:eastAsia="Times New Roman" w:cs="Times New Roman"/>
        </w:rPr>
        <w:t>Les fidèles ont manifesté de bonnes « œuvres » durant le « temps » accordé à la papauté pour se repentir, mais leurs œuvres, à la fin, furent « plus nombreuses que les premières ». Alors que ce « temps » touchait à sa fin, Christ envoya l’étoile du matin de la Réforme, qui commença l’œuvre consistant à ne plus tolérer la papauté, laquelle enseignait à l’Église à « se livrer à la fornication et à manger des viandes sacrifiées aux idoles ».</w:t>
      </w:r>
    </w:p>
    <w:p>
      <w:pPr>
        <w:pStyle w:val="ArticleScripture"/>
        <w:jc w:val="left"/>
      </w:pP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কার্যসমূহ</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লোহার</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পাত্রসমূহ</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খণ্ড</w:t>
      </w:r>
      <w:r>
        <w:rPr>
          <w:rFonts w:ascii="Times New Roman" w:hAnsi="Times New Roman" w:eastAsia="Times New Roman" w:cs="Times New Roman"/>
        </w:rPr>
        <w:t>-</w:t>
      </w:r>
      <w:r>
        <w:rPr>
          <w:rFonts w:ascii="Nirmala UI" w:hAnsi="Nirmala UI" w:eastAsia="Nirmala UI" w:cs="Nirmala UI"/>
        </w:rPr>
        <w:t>বিখণ্ড</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তেমনই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চূর্ণবিচূর্ণ</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প্রভাততারা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শুনুক</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মণ্ডলীগণের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বলিতেছেন।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২৬</w:t>
      </w:r>
      <w:r>
        <w:rPr>
          <w:rFonts w:ascii="Times New Roman" w:hAnsi="Times New Roman" w:eastAsia="Times New Roman" w:cs="Times New Roman"/>
        </w:rPr>
        <w:t>–</w:t>
      </w:r>
      <w:r>
        <w:rPr>
          <w:rFonts w:ascii="Nirmala UI" w:hAnsi="Nirmala UI" w:eastAsia="Nirmala UI" w:cs="Nirmala UI"/>
        </w:rPr>
        <w:t>২৯।</w:t>
      </w:r>
    </w:p>
    <w:p>
      <w:pPr>
        <w:pStyle w:val="ArticleBody"/>
        <w:jc w:val="left"/>
      </w:pPr>
      <w:r>
        <w:rPr>
          <w:rFonts w:ascii="Times New Roman" w:hAnsi="Times New Roman" w:eastAsia="Times New Roman" w:cs="Times New Roman"/>
        </w:rPr>
        <w:t>Kristi kishte “disa gjëra kundër” besnikëve në fillim të “kohësirës” që iu dha papatit për t’u penduar, sepse ata kishin lejuar Jezebelën, “që e quan veten profeteshë, të mësojë dhe të joshë shërbëtorët e mi të kryejnë kurvëri dhe të hanë gjëra të flijuara idhujve”. Por në fund të “kohësirës” besnikët do të pushonin së duruari që papatia të vazhdonte joshjet e saj.</w:t>
      </w:r>
    </w:p>
    <w:p>
      <w:pPr>
        <w:pStyle w:val="ArticleScripture"/>
        <w:jc w:val="left"/>
      </w:pPr>
      <w:r>
        <w:rPr>
          <w:rFonts w:ascii="Times New Roman" w:hAnsi="Times New Roman" w:eastAsia="Times New Roman" w:cs="Times New Roman"/>
        </w:rPr>
        <w:t>Au quatorzième siècle s’éleva en Angleterre « l’étoile du matin de la Réforme ». John Wycliffe fut le héraut de la réforme, non pour l’Angleterre seulement, mais pour toute la chrétienté. La grande protestation contre Rome qu’il lui fut permis de faire entendre ne devait jamais être réduite au silence. Cette protestation ouvrit la lutte qui devait aboutir à l’émancipation des individus, des Églises et des nations. » The Great Controversy, 80.</w:t>
      </w:r>
    </w:p>
    <w:p>
      <w:pPr>
        <w:pStyle w:val="ArticleBody"/>
        <w:jc w:val="left"/>
      </w:pPr>
      <w:r>
        <w:rPr>
          <w:rFonts w:ascii="Times New Roman" w:hAnsi="Times New Roman" w:eastAsia="Times New Roman" w:cs="Times New Roman"/>
        </w:rPr>
        <w:t>La nourriture que mangent les serviteurs de Dieu, ce sont les doctrines ou le message qu’ils reçoivent. La fornication, c’est l’Église qui emploie le pouvoir de l’État pour parvenir à faire imposer ses doctrines idolâtres. Durant le « temps » accordé à Jézabel pour se repentir, l’Église s’enfuit au désert pour y trouver protection.</w:t>
      </w:r>
    </w:p>
    <w:p>
      <w:pPr>
        <w:pStyle w:val="ArticleScripture"/>
        <w:jc w:val="left"/>
      </w:pPr>
      <w:r>
        <w:rPr>
          <w:rFonts w:ascii="Times New Roman" w:hAnsi="Times New Roman" w:eastAsia="Times New Roman" w:cs="Times New Roman"/>
        </w:rPr>
        <w:t>Sɛ ɔbea no guan kɔɔ sare so, baabi a Onyankopɔn asiesie ama no, na wɔmma no aduan hɔ nnansa apem ahannu ne aduosia…. Na wɔmaa ɔbea no akondorokyena kɛse bi ntaban abien, na watu akɔ sare no so, akɔ ne faako, baabi a wɔhwɛ no so no mfe biako, ne mfe abien, ne fã a ɛto so, fii ɔwɔ no anim. Na ɔwɔ no yii nsu fii n’anom te sɛ asuyiri de dii ɔbea no akyi, na ama asuyiri no atwe no akɔ. Na asase no boaa ɔbea no, na asase no buee n’anom, na ɛmenee asuyiri no a ɔtweaseɛnam no yii fii n’anom no. Adiyisɛm 12:6, 14–16.</w:t>
      </w:r>
    </w:p>
    <w:p>
      <w:pPr>
        <w:pStyle w:val="ArticleBody"/>
        <w:jc w:val="left"/>
      </w:pPr>
      <w:r>
        <w:rPr>
          <w:rFonts w:ascii="Times New Roman" w:hAnsi="Times New Roman" w:eastAsia="Times New Roman" w:cs="Times New Roman"/>
        </w:rPr>
        <w:t>Jézabel ha Acab yebere a wɔtaa wɔn no mu bere mu no, Obadia gyinaa ahobammɔ a sare so maa wɔn wɔ papafo tumidi bere no mu no ananmu.</w:t>
      </w:r>
    </w:p>
    <w:p>
      <w:pPr>
        <w:pStyle w:val="ArticleScripture"/>
        <w:jc w:val="left"/>
      </w:pPr>
      <w:r>
        <w:rPr>
          <w:rFonts w:ascii="Times New Roman" w:hAnsi="Times New Roman" w:eastAsia="Times New Roman" w:cs="Times New Roman"/>
        </w:rPr>
        <w:t>Y Acab llamó a Abdías, que era mayordomo de su casa. (Y Abdías temía en gran manera a Jehová; porque cuando Jezabel destruía a los profetas de Jehová, Abdías tomó a cien profetas, y los escondió de cincuenta en cincuenta en una cueva, y los sustentó con pan y agua.) 1 Reyes 18:3, 4.</w:t>
      </w:r>
    </w:p>
    <w:p>
      <w:pPr>
        <w:pStyle w:val="ArticleBody"/>
        <w:jc w:val="left"/>
      </w:pPr>
      <w:r>
        <w:rPr>
          <w:rFonts w:ascii="Times New Roman" w:hAnsi="Times New Roman" w:eastAsia="Times New Roman" w:cs="Times New Roman"/>
        </w:rPr>
        <w:t>L’œuvre d’Abdias, qui consistait à cacher les prophètes par groupes de cinquante dans des cavernes, est le symbole du lieu dans le désert que Dieu avait préparé pour nourrir les fidèles, lesquels refusèrent de se nourrir des doctrines de la papauté et refusèrent aussi d’accepter la relation impie représentée par sa fornication avec les rois de l’Europe. La période durant laquelle Élie avait été envoyé vers la veuve de Sarepta pour y recevoir nourriture et protection contre Jézabel et Achab, fut la période durant laquelle l’Église s’enfuit dans le désert, et le lieu que Dieu leur avait préparé fut représenté par l’œuvre d’Abdias.</w:t>
      </w:r>
    </w:p>
    <w:p>
      <w:pPr>
        <w:pStyle w:val="ArticleBody"/>
        <w:jc w:val="left"/>
      </w:pPr>
      <w:r>
        <w:rPr>
          <w:rFonts w:ascii="Times New Roman" w:hAnsi="Times New Roman" w:eastAsia="Times New Roman" w:cs="Times New Roman"/>
        </w:rPr>
        <w:t>Il lieu où Élie se cacha à Sarepta, appelée « Zarephath » en hébreu, signifie purification. Lorsque prit fin le temps accordé à Jézabel pour se repentir, Élie alla vers Abdias et manda à Achab de convoquer tout Israël au Carmel.</w:t>
      </w:r>
    </w:p>
    <w:p>
      <w:pPr>
        <w:pStyle w:val="ArticleScripture"/>
        <w:jc w:val="left"/>
      </w:pPr>
      <w:r>
        <w:rPr>
          <w:rFonts w:ascii="Times New Roman" w:hAnsi="Times New Roman" w:eastAsia="Times New Roman" w:cs="Times New Roman"/>
        </w:rPr>
        <w:t>Et comme Abdias était en chemin, voici, Élie le rencontra ; et il le reconnut, tomba sur sa face, et dit : Est-ce toi, mon seigneur Élie ? Et il lui répondit : C’est moi ; va, dis à ton seigneur : Voici, Élie est ici. 1 Rois 18:17, 18.</w:t>
      </w:r>
    </w:p>
    <w:p>
      <w:pPr>
        <w:pStyle w:val="ArticleBody"/>
        <w:jc w:val="left"/>
      </w:pPr>
      <w:r>
        <w:rPr>
          <w:rFonts w:ascii="Nirmala UI" w:hAnsi="Nirmala UI" w:eastAsia="Nirmala UI" w:cs="Nirmala UI"/>
        </w:rPr>
        <w:t>मएलिअा</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सरेप्</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बिधवा</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अन्हार</w:t>
      </w:r>
      <w:r>
        <w:rPr>
          <w:rFonts w:ascii="Times New Roman" w:hAnsi="Times New Roman" w:eastAsia="Times New Roman" w:cs="Times New Roman"/>
        </w:rPr>
        <w:t xml:space="preserve"> </w:t>
      </w:r>
      <w:r>
        <w:rPr>
          <w:rFonts w:ascii="Nirmala UI" w:hAnsi="Nirmala UI" w:eastAsia="Nirmala UI" w:cs="Nirmala UI"/>
        </w:rPr>
        <w:t>युगक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एलिअा</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बिधवा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वृत्तान्तमे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दुइटा</w:t>
      </w:r>
      <w:r>
        <w:rPr>
          <w:rFonts w:ascii="Times New Roman" w:hAnsi="Times New Roman" w:eastAsia="Times New Roman" w:cs="Times New Roman"/>
        </w:rPr>
        <w:t xml:space="preserve"> </w:t>
      </w:r>
      <w:r>
        <w:rPr>
          <w:rFonts w:ascii="Nirmala UI" w:hAnsi="Nirmala UI" w:eastAsia="Nirmala UI" w:cs="Nirmala UI"/>
        </w:rPr>
        <w:t>लकड़ी</w:t>
      </w:r>
      <w:r>
        <w:rPr>
          <w:rFonts w:ascii="Times New Roman" w:hAnsi="Times New Roman" w:eastAsia="Times New Roman" w:cs="Times New Roman"/>
        </w:rPr>
        <w:t xml:space="preserve"> </w:t>
      </w:r>
      <w:r>
        <w:rPr>
          <w:rFonts w:ascii="Nirmala UI" w:hAnsi="Nirmala UI" w:eastAsia="Nirmala UI" w:cs="Nirmala UI"/>
        </w:rPr>
        <w:t>बटोरि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मरए</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बिधवा</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जंगलमे</w:t>
      </w:r>
      <w:r>
        <w:rPr>
          <w:rFonts w:ascii="Times New Roman" w:hAnsi="Times New Roman" w:eastAsia="Times New Roman" w:cs="Times New Roman"/>
        </w:rPr>
        <w:t xml:space="preserve"> </w:t>
      </w:r>
      <w:r>
        <w:rPr>
          <w:rFonts w:ascii="Nirmala UI" w:hAnsi="Nirmala UI" w:eastAsia="Nirmala UI" w:cs="Nirmala UI"/>
        </w:rPr>
        <w:t>रहनिहार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मरए</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p>
    <w:p>
      <w:pPr>
        <w:pStyle w:val="ArticleScripture"/>
        <w:jc w:val="left"/>
      </w:pPr>
      <w:r>
        <w:rPr>
          <w:rFonts w:ascii="Times New Roman" w:hAnsi="Times New Roman" w:eastAsia="Times New Roman" w:cs="Times New Roman"/>
        </w:rPr>
        <w:t>Na angeli ya eklezia oyo ezali na Sardes koma: Tala makambo oyo alobi Ye oyo azali na Milimo nsambo ya Nzambe mpe minzoto nsambo: Nayebi misala na yo, ete ozali na nkombo ete ozali na bomoi, kasi ozali akufi. Zala na bokebi, mpe kembisa biloko oyo etikali, oyo ezali pene na kokufa; mpo nazwi te ete misala na yo ezala ya kokoka liboso ya Nzambe. Emoniseli 3:1, 2.</w:t>
      </w:r>
    </w:p>
    <w:p>
      <w:pPr>
        <w:pStyle w:val="ArticleBody"/>
        <w:jc w:val="left"/>
      </w:pPr>
      <w:r>
        <w:rPr>
          <w:rFonts w:ascii="Times New Roman" w:hAnsi="Times New Roman" w:eastAsia="Times New Roman" w:cs="Times New Roman"/>
        </w:rPr>
        <w:t>O ne a “kgobokanya melamu e mebedi”, mme a ipaakanyetsa loso lwa gagwe fa Elija a mo kgoreletsa.</w:t>
      </w:r>
    </w:p>
    <w:p>
      <w:pPr>
        <w:pStyle w:val="ArticleScripture"/>
        <w:jc w:val="left"/>
      </w:pPr>
      <w:r>
        <w:rPr>
          <w:rFonts w:ascii="Times New Roman" w:hAnsi="Times New Roman" w:eastAsia="Times New Roman" w:cs="Times New Roman"/>
        </w:rPr>
        <w:t>Boye liloba ya Yawe eyeli ye, ete: Telema, kende na Sarefata, oyo ezali ya Sidona, mpe vanda kuna; tala, napesi mobeko na mwasi moko akufelá mobali kuna ete asunga yo na bilei. Boye atelemaki mpe akendeki na Sarefata. Mpe ntango akómaki na ekuke ya engumba, tala, mwasi akufelá mobali azalaki kuna azali koyangisa nkoni; mpe abengaki ye, mpe alobaki: Nasengi yo, memelá ngai mayi moke na mbeki, mpo namela. Mpe wana azalaki kokende kozwa yango, abengaki ye, mpe alobaki: Nasengi yo, memelá ngai mpe eteni moke ya lipa na lobɔkɔ na yo. Mpe alobaki: Lokola Yawe Nzambe na yo azali na bomoi, nazali na gato te, kaka mwa farini na nzungu, mpe mafuta moke na mbɛki; mpe tala, nazali koyangisa nkoni mibale, mpo nakɔta mpe nalamba yango mpo na ngai mpe mwana na ngai ya mobali, ete tólya yango, mpe tókufa. 1 Bakonzi 17:8–12.</w:t>
      </w:r>
    </w:p>
    <w:p>
      <w:pPr>
        <w:pStyle w:val="ArticleBody"/>
        <w:jc w:val="left"/>
      </w:pPr>
      <w:r>
        <w:rPr>
          <w:rFonts w:ascii="Times New Roman" w:hAnsi="Times New Roman" w:eastAsia="Times New Roman" w:cs="Times New Roman"/>
        </w:rPr>
        <w:t>Sarɛpta kaŋ muso ka tugu firinna fila yɛrɛma. Muso foroba o ye laadiw ka cogo ye Yezebɛli waati la. A dencɛ ye mɔgɔw ye minnu ye Tiyatira taarikɛ la sa, ani ka taa ka laaya ko u bɛ na kɛlen-yɛrɛma fɔlɔ la.</w:t>
      </w:r>
    </w:p>
    <w:p>
      <w:pPr>
        <w:pStyle w:val="ArticleScripture"/>
        <w:jc w:val="left"/>
      </w:pPr>
      <w:r>
        <w:rPr>
          <w:rFonts w:ascii="Times New Roman" w:hAnsi="Times New Roman" w:eastAsia="Times New Roman" w:cs="Times New Roman"/>
        </w:rPr>
        <w:t>Sau đó tôi thấy những ngai, và có những người ngồi trên đó, quyền xét đoán đã được ban cho họ; tôi cũng thấy linh hồn của những người đã bị chém đầu vì lời chứng của Đức Chúa Jêsus và vì lời của Đức Chúa Trời, là những người không thờ lạy con thú, cũng không thờ lạy hình tượng của nó, và không nhận dấu của nó trên trán hay trên tay mình; họ đã sống lại và trị vì với Đấng Christ một ngàn năm. Nhưng những người chết còn lại không sống lại cho đến khi một ngàn năm ấy mãn. Ấy là sự sống lại thứ nhất. Phước và thánh thay cho người có phần trong sự sống lại thứ nhất: sự chết thứ hai chẳng có quyền gì trên họ, nhưng họ sẽ làm thầy tế lễ của Đức Chúa Trời và của Đấng Christ, và sẽ trị vì với Ngài một ngàn năm. Khải Huyền 20:4–6.</w:t>
      </w:r>
    </w:p>
    <w:p>
      <w:pPr>
        <w:pStyle w:val="ArticleBody"/>
        <w:jc w:val="left"/>
      </w:pPr>
      <w:r>
        <w:rPr>
          <w:rFonts w:ascii="Times New Roman" w:hAnsi="Times New Roman" w:eastAsia="Times New Roman" w:cs="Times New Roman"/>
        </w:rPr>
        <w:t>La veuve représente aussi le petit nombre à Sardes qui étaient dignes et à qui furent donnés des vêtements blancs.</w:t>
      </w:r>
    </w:p>
    <w:p>
      <w:pPr>
        <w:pStyle w:val="ArticleScripture"/>
        <w:jc w:val="left"/>
      </w:pPr>
      <w:r>
        <w:rPr>
          <w:rFonts w:ascii="Times New Roman" w:hAnsi="Times New Roman" w:eastAsia="Times New Roman" w:cs="Times New Roman"/>
        </w:rPr>
        <w:t xml:space="preserve">Sardis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पहिनाया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मिटाऊँगा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3:4, 5</w:t>
      </w:r>
    </w:p>
    <w:p>
      <w:pPr>
        <w:pStyle w:val="ArticleBody"/>
        <w:jc w:val="left"/>
      </w:pPr>
      <w:r>
        <w:rPr>
          <w:rFonts w:ascii="Times New Roman" w:hAnsi="Times New Roman" w:eastAsia="Times New Roman" w:cs="Times New Roman"/>
        </w:rPr>
        <w:t>Na waɗanda suke cikin ikkilisiya ta huɗu ta Tiyatira, waɗanda suka mutu da aminci, waɗanda ɗan gwauruwa yake wakilta, an ba su fararen tufafi a hatimi na biyar.</w:t>
      </w:r>
    </w:p>
    <w:p>
      <w:pPr>
        <w:pStyle w:val="ArticleScripture"/>
        <w:jc w:val="left"/>
      </w:pPr>
      <w:r>
        <w:rPr>
          <w:rFonts w:ascii="Times New Roman" w:hAnsi="Times New Roman" w:eastAsia="Times New Roman" w:cs="Times New Roman"/>
        </w:rPr>
        <w:t>Na tango afungolaki elembo ya mitano, namonaki na nse ya etumbelo milimo ya baoyo babomamaki mpo na Liloba ya Nzambe mpe mpo na litatoli oyo babatelaki. Bongo bagangaki na mongongo makasi, balobaki: Kino ntango nini, Nkolo, Mosantu mpe Solo, okozanga kosambisa mpe kozongisela makila na biso mabe likoló ya baoyo bafandi na mokili? Mpe mokonzi moko na moko kati na bango bapesamaki bilamba ya mpembe; mpe balobaki na bango ete bápema naino mwa ntango moke, kino baninga na bango basali mpe bandeko na bango, oyo bakobomama lokola bango, bakokokisama. Emoniseli 6:9–11.</w:t>
      </w:r>
    </w:p>
    <w:p>
      <w:pPr>
        <w:pStyle w:val="ArticleBody"/>
        <w:jc w:val="left"/>
      </w:pPr>
      <w:r>
        <w:rPr>
          <w:rFonts w:ascii="Times New Roman" w:hAnsi="Times New Roman" w:eastAsia="Times New Roman" w:cs="Times New Roman"/>
        </w:rPr>
        <w:t>I martiri del Medioevo ricevettero delle vesti bianche e fu loro detto di riposare nelle loro tombe finché un altro gruppo di martiri del papato dovesse essere ucciso, come essi erano stati uccisi. Essi erano stati assassinati dal papato nel corso di tre anni e mezzo, e fu loro promesso che il papato sarebbe infine stato giudicato, ma non prima che un secondo gruppo di martiri del papato fosse assassinato, durante l’imminente crisi della legge domenicale. Sorella White collega la richiesta dei martiri di un giudizio sul papato con due passi del libro dell’Apocalisse.</w:t>
      </w:r>
    </w:p>
    <w:p>
      <w:pPr>
        <w:pStyle w:val="ArticleScripture"/>
        <w:jc w:val="left"/>
      </w:pPr>
      <w:r>
        <w:rPr>
          <w:rFonts w:ascii="Times New Roman" w:hAnsi="Times New Roman" w:eastAsia="Times New Roman" w:cs="Times New Roman"/>
        </w:rPr>
        <w:t>«کله چې پنځم مهر پرانیستل شو، یوحنا مکاشفه لیدونکي په رؤیا کې د قربانګاه لاندې هغه ډله ولیده چې د خدای د کلام او د عیسی مسیح د شهادت لپاره وژل شوې وه. له دې وروسته هغه صحنې راغلې چې د مکاشفې په اتلسم فصل کې بیان شوې دي، کله چې هغه کسان چې وفادار او رښتیني دي، له بابل څخه راوبلل شي. [مکاشفه 18:1–5، نقل شوی.]» Manuscript Releases, volume 20, 14.</w:t>
      </w:r>
    </w:p>
    <w:p>
      <w:pPr>
        <w:pStyle w:val="ArticleBody"/>
        <w:jc w:val="left"/>
      </w:pPr>
      <w:r>
        <w:rPr>
          <w:rFonts w:ascii="Times New Roman" w:hAnsi="Times New Roman" w:eastAsia="Times New Roman" w:cs="Times New Roman"/>
        </w:rPr>
        <w:t>La révélation, chapitre dix-huit, versets un à cinq, représente les deux voix du verset un et du verset quatre. La seconde voix est l’appel à sortir de Babylone, et elle marque le commencement de la persécution liée à la loi du dimanche, lorsque le puissant mouvement du troisième ange appelle l’autre troupeau de Dieu à sortir de Babylone. Elle place également le passage du cinquième sceau à l’ouverture du septième sceau.</w:t>
      </w:r>
    </w:p>
    <w:p>
      <w:pPr>
        <w:pStyle w:val="ArticleScripture"/>
        <w:jc w:val="left"/>
      </w:pPr>
      <w:r>
        <w:rPr>
          <w:rFonts w:ascii="Times New Roman" w:hAnsi="Times New Roman" w:eastAsia="Times New Roman" w:cs="Times New Roman"/>
        </w:rPr>
        <w:t>“[Révélation 6:9–11 cité]. Ici furent présentées à Jean des scènes qui n’étaient pas une réalité, mais ce qui se produirait à une période de temps dans l’avenir.”</w:t>
      </w:r>
    </w:p>
    <w:p>
      <w:pPr>
        <w:pStyle w:val="ArticleScripture"/>
        <w:jc w:val="left"/>
      </w:pPr>
      <w:r>
        <w:rPr>
          <w:rFonts w:ascii="Times New Roman" w:hAnsi="Times New Roman" w:eastAsia="Times New Roman" w:cs="Times New Roman"/>
        </w:rPr>
        <w:t>« Offenbarung 8,1–4 zitiert. » Manuscript Releases, Band 20, S. 197.</w:t>
      </w:r>
    </w:p>
    <w:p>
      <w:pPr>
        <w:pStyle w:val="ArticleBody"/>
        <w:jc w:val="left"/>
      </w:pPr>
      <w:r>
        <w:rPr>
          <w:rFonts w:ascii="Times New Roman" w:hAnsi="Times New Roman" w:eastAsia="Times New Roman" w:cs="Times New Roman"/>
        </w:rPr>
        <w:t>W mu shamfu gwa nuniin, aayaas niin asamanung, mu shangum waa duniineung ma atam.</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सन्नाटा</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धूपदानी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8:1–4</w:t>
      </w:r>
      <w:r>
        <w:rPr>
          <w:rFonts w:ascii="Nirmala UI" w:hAnsi="Nirmala UI" w:eastAsia="Nirmala UI" w:cs="Nirmala UI"/>
        </w:rPr>
        <w:t>।</w:t>
      </w:r>
    </w:p>
    <w:p>
      <w:pPr>
        <w:pStyle w:val="ArticleBody"/>
        <w:jc w:val="left"/>
      </w:pPr>
      <w:r>
        <w:rPr>
          <w:rFonts w:ascii="Times New Roman" w:hAnsi="Times New Roman" w:eastAsia="Times New Roman" w:cs="Times New Roman"/>
        </w:rPr>
        <w:t>Les prières des martyrs du Moyen Âge, qui, dans le cinquième sceau, demandent que Dieu exécute son jugement contre la prostituée qui se livre à l’impudicité avec les rois de la terre, montent « devant Dieu », lorsque le septième sceau est ouvert. L’Inspiration fait correspondre l’ouverture du septième sceau avec la seconde voix d’Apocalypse dix-huit; car c’est à cette seconde voix que Dieu se souvient de ses iniquités, et qu’il double alors son jugement contre elle. Une fois pour les martyrs du Moyen Âge, et une fois pour le bain de sang de la crise de la loi du dimanche.</w:t>
      </w:r>
    </w:p>
    <w:p>
      <w:pPr>
        <w:pStyle w:val="ArticleScripture"/>
        <w:jc w:val="left"/>
      </w:pPr>
      <w:r>
        <w:rPr>
          <w:rFonts w:ascii="Times New Roman" w:hAnsi="Times New Roman" w:eastAsia="Times New Roman" w:cs="Times New Roman"/>
        </w:rPr>
        <w:t>And I heard another voice from heaven, saying, Come out of her, my people, that ye be not partakers of her sins, and that ye receive not of her plagues. For her sins have reached unto heaven, and God hath remembered her iniquities. Reward her even as she rewarded you, and double unto her double according to her works: in the cup which she hath filled fill to her double. Revelation 18:4–6.</w:t>
      </w:r>
    </w:p>
    <w:p>
      <w:pPr>
        <w:pStyle w:val="ArticleBody"/>
        <w:jc w:val="left"/>
      </w:pPr>
      <w:r>
        <w:rPr>
          <w:rFonts w:ascii="Times New Roman" w:hAnsi="Times New Roman" w:eastAsia="Times New Roman" w:cs="Times New Roman"/>
        </w:rPr>
        <w:t>Пfewина во Сардис што не ги оскверниле своите облеки ги претставуваат оние што излегоа од историјата на Тијатира, која заврши во 1798 година. Тие се претставени со вдовицата од Сарепта, вдовица што одеше на свадбата во 1844 година.</w:t>
      </w:r>
    </w:p>
    <w:p>
      <w:pPr>
        <w:pStyle w:val="ArticleScripture"/>
        <w:jc w:val="left"/>
      </w:pPr>
      <w:r>
        <w:rPr>
          <w:rFonts w:ascii="Times New Roman" w:hAnsi="Times New Roman" w:eastAsia="Times New Roman" w:cs="Times New Roman"/>
        </w:rPr>
        <w:t>“La venida de Cristo como nuestro sumo sacerdote al lugar santísimo, para la purificación del santuario, presentada en Daniel 8:14; la venida del Hijo del hombre al Anciano de Días, tal como se presenta en Daniel 7:13; y la venida del Señor a Su templo, predicha por Malaquías, son descripciones del mismo acontecimiento; y esto también está representado por la venida del esposo a las bodas, descrita por Cristo en la parábola de las diez vírgenes, en Mateo 25.” El Conflicto de los Siglos, 426.</w:t>
      </w:r>
    </w:p>
    <w:p>
      <w:pPr>
        <w:pStyle w:val="ArticleBody"/>
        <w:jc w:val="left"/>
      </w:pPr>
      <w:r>
        <w:rPr>
          <w:rFonts w:ascii="Times New Roman" w:hAnsi="Times New Roman" w:eastAsia="Times New Roman" w:cs="Times New Roman"/>
        </w:rPr>
        <w:t>Dhul-buusadu waxay diyaarinaysay cashadeedii u dambaysay ka hor dhimashadeeda, markii Eliiyaah ku amray inay isaga u adeegto. Iyadu waxay astaan u tahay kuwa yar oo aaminka ah ee ku jira Thyatira, kuwaas oo u gudbaya kuwa yar oo aaminka ah ee ku jira Sardis, kuwaas oo ururinayay “laba ulo” si ay u sameeyaan “dab”.</w:t>
      </w:r>
    </w:p>
    <w:p>
      <w:pPr>
        <w:pStyle w:val="ArticleBody"/>
        <w:jc w:val="left"/>
      </w:pPr>
      <w:r>
        <w:rPr>
          <w:rFonts w:ascii="Times New Roman" w:hAnsi="Times New Roman" w:eastAsia="Times New Roman" w:cs="Times New Roman"/>
        </w:rPr>
        <w:t>Les « deux bâtons » représentent les deux maisons de l’ancien Israël, qui furent foulées aux pieds par le paganisme puis par la papauté, mais qui devaient être rassemblées et réunies en « un seul bâton » dans l’histoire de 1798 à 1844.</w:t>
      </w:r>
    </w:p>
    <w:p>
      <w:pPr>
        <w:pStyle w:val="ArticleScripture"/>
        <w:jc w:val="left"/>
      </w:pPr>
      <w:r>
        <w:rPr>
          <w:rFonts w:ascii="Times New Roman" w:hAnsi="Times New Roman" w:eastAsia="Times New Roman" w:cs="Times New Roman"/>
        </w:rPr>
        <w:t>Kata TUHAN datang lagi kepadaku, demikian: “Engkau, hai anak manusia, ambillah sebatang kayu dan tuliskan padanya: Bagi Yehuda dan bagi orang Israel, teman-temannya. Kemudian ambillah sebatang kayu yang lain dan tuliskan padanya: Bagi Yusuf, kayu Efraim, dan bagi seluruh kaum Israel, teman-temannya. Lalu dekatkanlah yang satu kepada yang lain menjadi satu batang kayu, sehingga keduanya menjadi satu di tanganmu. Dan apabila anak-anak bangsamu berkata kepadamu: Tidakkah engkau mau memberitahukan kepada kami apa yang kaumaksudkan dengan semua ini? maka katakanlah kepada mereka: Beginilah firman Tuhan ALLAH: Sesungguhnya, Aku akan mengambil kayu Yusuf, yang ada di tangan Efraim, dan suku-suku Israel, sekutu-sekutunya, dan Aku akan menaruh mereka bersama-sama dengan dia, yakni bersama kayu Yehuda, dan membuat mereka menjadi satu batang kayu, dan mereka akan menjadi satu di tangan-Ku. Adapun batang-batang kayu yang kautulisi itu harus ada di tanganmu di depan mata mereka. Dan katakanlah kepada mereka: Beginilah firman Tuhan ALLAH: Sesungguhnya, Aku akan mengambil bani Israel dari antara bangsa-bangsa, ke mana mereka telah pergi, dan Aku akan mengumpulkan mereka dari segala penjuru, lalu membawa mereka ke tanah mereka sendiri. Aku akan menjadikan mereka satu bangsa di negeri itu, di atas gunung-gunung Israel; dan satu raja akan menjadi raja atas mereka semua; mereka tidak lagi menjadi dua bangsa, dan tidak lagi terbagi menjadi dua kerajaan untuk selama-lamanya. Mereka tidak akan lagi menajiskan diri dengan berhala-berhala mereka, dengan perkara-perkara mereka yang keji, ataupun dengan segala pelanggaran mereka; melainkan Aku akan menyelamatkan mereka dari segala tempat kediaman mereka, tempat mereka telah berbuat dosa, dan Aku akan mentahirkan mereka; maka mereka akan menjadi umat-Ku, dan Aku akan menjadi Allah mereka. Daud, hamba-Ku, akan menjadi raja atas mereka, dan mereka semuanya akan mempunyai satu gembala; mereka juga akan hidup menurut hukum-hukum-Ku, berpegang pada ketetapan-ketetapan-Ku, dan melakukannya. Mereka akan diam di negeri yang telah Kuberikan kepada Yakub, hamba-Ku, tempat nenek moyangmu telah diam; mereka akan diam di sana, yakni mereka, anak-anak mereka, dan anak cucu mereka sampai selama-lamanya; dan Daud, hamba-Ku, akan menjadi pemimpin mereka untuk selama-lamanya. Lebih lagi, Aku akan mengadakan perjanjian damai dengan mereka; itulah perjanjian kekal bagi mereka; Aku akan meneguhkan mereka dan memperbanyak mereka, dan Aku akan menempatkan tempat kudus-Ku di tengah-tengah mereka untuk selama-lamanya. Kemah-Ku pun akan ada pada mereka; ya, Aku akan menjadi Allah mereka, dan mereka akan menjadi umat-Ku. Dan bangsa-bangsa akan mengetahui bahwa Aku, TUHAN, menguduskan Israel, apabila tempat kudus-Ku ada di tengah-tengah mereka untuk selama-lamanya.” Yehezkiel 37:15–28.</w:t>
      </w:r>
    </w:p>
    <w:p>
      <w:pPr>
        <w:pStyle w:val="ArticleBody"/>
        <w:jc w:val="left"/>
      </w:pPr>
      <w:r>
        <w:rPr>
          <w:rFonts w:ascii="Times New Roman" w:hAnsi="Times New Roman" w:eastAsia="Times New Roman" w:cs="Times New Roman"/>
        </w:rPr>
        <w:t>Lorsque Élie quitte Sarepta pour appeler Achab et tout Israël au mont Carmel, l’Église veuve qui s’était enfuie dans le désert ramassait deux morceaux de bois pour le feu qui purifie la veuve en vue des noces du 22 octobre 1844. Le rassemblement des deux morceaux de bois est le rassemblement du mouvement millérite, qui s’accomplit dans la dernière période de soixante-cinq ans identifiée dans Ésaïe sept. Le royaume du nord subit la malédiction de Moïse de 723 av. J.-C. à 1798, et le royaume du sud subit la même malédiction de 677 av. J.-C. à 1844. En 1844, les descendants spirituels de ces deux nations littérales furent rassemblés en un seul morceau de bois, ou en une seule nation.</w:t>
      </w:r>
    </w:p>
    <w:p>
      <w:pPr>
        <w:pStyle w:val="ArticleBody"/>
        <w:jc w:val="left"/>
      </w:pP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ባይኖር፣</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እነዚያን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ሕዝቦች</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እንዲሆኑ</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ይገልጻል።</w:t>
      </w:r>
    </w:p>
    <w:p>
      <w:pPr>
        <w:pStyle w:val="ArticleScripture"/>
        <w:jc w:val="left"/>
      </w:pPr>
      <w:r>
        <w:rPr>
          <w:rFonts w:ascii="Times New Roman" w:hAnsi="Times New Roman" w:eastAsia="Times New Roman" w:cs="Times New Roman"/>
        </w:rPr>
        <w:t>Car le chef de la Syrie, c’est Damas, et le chef de Damas, c’est Retsin ; et dans soixante-cinq ans, Éphraïm sera brisé, de manière à ne plus être un peuple. Et le chef d’Éphraïm, c’est Samarie, et le chef de Samarie, c’est le fils de Remalia. Si vous ne croyez pas, certainement vous ne serez pas affermis. Ésaïe 7:8, 9.</w:t>
      </w:r>
    </w:p>
    <w:p>
      <w:pPr>
        <w:pStyle w:val="ArticleBody"/>
        <w:jc w:val="left"/>
      </w:pPr>
      <w:r>
        <w:rPr>
          <w:rFonts w:ascii="Times New Roman" w:hAnsi="Times New Roman" w:eastAsia="Times New Roman" w:cs="Times New Roman"/>
        </w:rPr>
        <w:t>Si nous ne croyons pas à la prophétie des soixante-cinq ans, nous ne serons pas affermis.</w:t>
      </w:r>
    </w:p>
    <w:p>
      <w:pPr>
        <w:pStyle w:val="ArticleBody"/>
        <w:jc w:val="left"/>
      </w:pPr>
      <w:r>
        <w:rPr>
          <w:rFonts w:ascii="Times New Roman" w:hAnsi="Times New Roman" w:eastAsia="Times New Roman" w:cs="Times New Roman"/>
        </w:rPr>
        <w:t>Nous continuerons de présenter le symbolisme d’Élie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Nambala ya Kumi na Mbili</dc:title>
  <dc:subject>Hu bonde mikah kinggoeje jiri dalroro.</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