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Avenir pour l’Amérique et le 18 juillet 2020 - Numéro Un</w:t>
      </w:r>
    </w:p>
    <w:p>
      <w:pPr>
        <w:pStyle w:val="ArticleSubtitle"/>
        <w:jc w:val="left"/>
      </w:pPr>
      <w:r>
        <w:rPr>
          <w:rFonts w:ascii="Segoe UI" w:hAnsi="Segoe UI" w:eastAsia="Segoe UI" w:cs="Segoe UI"/>
        </w:rPr>
        <w:t>غارنشینانِ</w:t>
      </w:r>
      <w:r>
        <w:rPr>
          <w:rFonts w:ascii="Arial" w:hAnsi="Arial" w:eastAsia="Arial" w:cs="Arial"/>
        </w:rPr>
        <w:t xml:space="preserve"> </w:t>
      </w:r>
      <w:r>
        <w:rPr>
          <w:rFonts w:ascii="Segoe UI" w:hAnsi="Segoe UI" w:eastAsia="Segoe UI" w:cs="Segoe UI"/>
        </w:rPr>
        <w:t>عهد</w:t>
      </w:r>
      <w:r>
        <w:rPr>
          <w:rFonts w:ascii="Arial" w:hAnsi="Arial" w:eastAsia="Arial" w:cs="Arial"/>
        </w:rPr>
        <w:t xml:space="preserve">: </w:t>
      </w:r>
      <w:r>
        <w:rPr>
          <w:rFonts w:ascii="Segoe UI" w:hAnsi="Segoe UI" w:eastAsia="Segoe UI" w:cs="Segoe UI"/>
        </w:rPr>
        <w:t>موسیٰ</w:t>
      </w:r>
      <w:r>
        <w:rPr>
          <w:rFonts w:ascii="Arial" w:hAnsi="Arial" w:eastAsia="Arial" w:cs="Arial"/>
        </w:rPr>
        <w:t xml:space="preserve"> </w:t>
      </w:r>
      <w:r>
        <w:rPr>
          <w:rFonts w:ascii="Segoe UI" w:hAnsi="Segoe UI" w:eastAsia="Segoe UI" w:cs="Segoe UI"/>
        </w:rPr>
        <w:t>اور</w:t>
      </w:r>
      <w:r>
        <w:rPr>
          <w:rFonts w:ascii="Arial" w:hAnsi="Arial" w:eastAsia="Arial" w:cs="Arial"/>
        </w:rPr>
        <w:t xml:space="preserve"> </w:t>
      </w:r>
      <w:r>
        <w:rPr>
          <w:rFonts w:ascii="Segoe UI" w:hAnsi="Segoe UI" w:eastAsia="Segoe UI" w:cs="Segoe UI"/>
        </w:rPr>
        <w:t>ایلیاہ</w:t>
      </w:r>
      <w:r>
        <w:rPr>
          <w:rFonts w:ascii="Arial" w:hAnsi="Arial" w:eastAsia="Arial" w:cs="Arial"/>
        </w:rPr>
        <w:t xml:space="preserve"> </w:t>
      </w:r>
      <w:r>
        <w:rPr>
          <w:rFonts w:ascii="Segoe UI" w:hAnsi="Segoe UI" w:eastAsia="Segoe UI" w:cs="Segoe UI"/>
        </w:rPr>
        <w:t>دنیا</w:t>
      </w:r>
      <w:r>
        <w:rPr>
          <w:rFonts w:ascii="Arial" w:hAnsi="Arial" w:eastAsia="Arial" w:cs="Arial"/>
        </w:rPr>
        <w:t xml:space="preserve"> </w:t>
      </w:r>
      <w:r>
        <w:rPr>
          <w:rFonts w:ascii="Segoe UI" w:hAnsi="Segoe UI" w:eastAsia="Segoe UI" w:cs="Segoe UI"/>
        </w:rPr>
        <w:t>کے</w:t>
      </w:r>
      <w:r>
        <w:rPr>
          <w:rFonts w:ascii="Arial" w:hAnsi="Arial" w:eastAsia="Arial" w:cs="Arial"/>
        </w:rPr>
        <w:t xml:space="preserve"> </w:t>
      </w:r>
      <w:r>
        <w:rPr>
          <w:rFonts w:ascii="Segoe UI" w:hAnsi="Segoe UI" w:eastAsia="Segoe UI" w:cs="Segoe UI"/>
        </w:rPr>
        <w:t>اختتام</w:t>
      </w:r>
      <w:r>
        <w:rPr>
          <w:rFonts w:ascii="Arial" w:hAnsi="Arial" w:eastAsia="Arial" w:cs="Arial"/>
        </w:rPr>
        <w:t xml:space="preserve"> </w:t>
      </w:r>
      <w:r>
        <w:rPr>
          <w:rFonts w:ascii="Segoe UI" w:hAnsi="Segoe UI" w:eastAsia="Segoe UI" w:cs="Segoe UI"/>
        </w:rPr>
        <w:t>پر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Mose og Elia er profetiske symboler som hver for seg, ut fra sammenhengen, kan forstås som et enkeltstående symbol; men de kan også forstås som ett symbol som rommer begge profetene. På to vitners vitnesbyrd blir en sak stadfestet, og i Åpenbaringen elleve representerer Moses og Elia de to vitnene fra Det gamle og Det nye testamente. På forklarelsens berg, som representerer Kristi annet komme, fremstiller det dobbelte symbolet både de hundre og førtifire tusen (Elia) og martyrerne (Moses) i søndagslovskrisen. Samlet som symbol, i hulen på Horeb, representerer de Guds folk ved verdens ende som «hører», «leser» og «holder» det budskapet som er en åpenbaring av Guds karakter og som inneholder kraften til å forvandle en laodikeer til en filadelfier. Det vil snart, (meget snart), komme et punkt da det ikke lenger vil være mulig for de dårlige laodikeiske adventistene å gjøre bruk av den «olje» som trengs for å svare rett på ropet: «Se, brudgommen kommer.»</w:t>
      </w:r>
    </w:p>
    <w:p>
      <w:pPr>
        <w:pStyle w:val="ArticleScripture"/>
        <w:jc w:val="left"/>
      </w:pP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యెహోవాతో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చూడుము</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తీసికొనిపోమని</w:t>
      </w:r>
      <w:r>
        <w:rPr>
          <w:rFonts w:ascii="Times New Roman" w:hAnsi="Times New Roman" w:eastAsia="Times New Roman" w:cs="Times New Roman"/>
        </w:rPr>
        <w:t xml:space="preserve"> </w:t>
      </w:r>
      <w:r>
        <w:rPr>
          <w:rFonts w:ascii="Nirmala UI" w:hAnsi="Nirmala UI" w:eastAsia="Nirmala UI" w:cs="Nirmala UI"/>
        </w:rPr>
        <w:t>చెప్పుచున్నావు</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నాతోకూడ</w:t>
      </w:r>
      <w:r>
        <w:rPr>
          <w:rFonts w:ascii="Times New Roman" w:hAnsi="Times New Roman" w:eastAsia="Times New Roman" w:cs="Times New Roman"/>
        </w:rPr>
        <w:t xml:space="preserve"> </w:t>
      </w:r>
      <w:r>
        <w:rPr>
          <w:rFonts w:ascii="Nirmala UI" w:hAnsi="Nirmala UI" w:eastAsia="Nirmala UI" w:cs="Nirmala UI"/>
        </w:rPr>
        <w:t>ఎవరిని</w:t>
      </w:r>
      <w:r>
        <w:rPr>
          <w:rFonts w:ascii="Times New Roman" w:hAnsi="Times New Roman" w:eastAsia="Times New Roman" w:cs="Times New Roman"/>
        </w:rPr>
        <w:t xml:space="preserve"> </w:t>
      </w:r>
      <w:r>
        <w:rPr>
          <w:rFonts w:ascii="Nirmala UI" w:hAnsi="Nirmala UI" w:eastAsia="Nirmala UI" w:cs="Nirmala UI"/>
        </w:rPr>
        <w:t>పంపుదువో</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తెలియజేయలేదు</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పేరుపేరున</w:t>
      </w:r>
      <w:r>
        <w:rPr>
          <w:rFonts w:ascii="Times New Roman" w:hAnsi="Times New Roman" w:eastAsia="Times New Roman" w:cs="Times New Roman"/>
        </w:rPr>
        <w:t xml:space="preserve"> </w:t>
      </w:r>
      <w:r>
        <w:rPr>
          <w:rFonts w:ascii="Nirmala UI" w:hAnsi="Nirmala UI" w:eastAsia="Nirmala UI" w:cs="Nirmala UI"/>
        </w:rPr>
        <w:t>తెలిసికొంటిని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పొందితివి</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చెప్పితివి</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వాడనైతే</w:t>
      </w:r>
      <w:r>
        <w:rPr>
          <w:rFonts w:ascii="Times New Roman" w:hAnsi="Times New Roman" w:eastAsia="Times New Roman" w:cs="Times New Roman"/>
        </w:rPr>
        <w:t xml:space="preserve">, </w:t>
      </w:r>
      <w:r>
        <w:rPr>
          <w:rFonts w:ascii="Nirmala UI" w:hAnsi="Nirmala UI" w:eastAsia="Nirmala UI" w:cs="Nirmala UI"/>
        </w:rPr>
        <w:t>దయచేసి</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మార్గమును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తెలియజేయుము</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తెలిసికొందును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పొందుదును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జనమును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విచారించుము</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సన్నిధి</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విశ్రాంతి</w:t>
      </w:r>
      <w:r>
        <w:rPr>
          <w:rFonts w:ascii="Times New Roman" w:hAnsi="Times New Roman" w:eastAsia="Times New Roman" w:cs="Times New Roman"/>
        </w:rPr>
        <w:t xml:space="preserve"> </w:t>
      </w:r>
      <w:r>
        <w:rPr>
          <w:rFonts w:ascii="Nirmala UI" w:hAnsi="Nirmala UI" w:eastAsia="Nirmala UI" w:cs="Nirmala UI"/>
        </w:rPr>
        <w:t>కలుగజేసెదను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ఆయనతో</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సన్నిధి</w:t>
      </w:r>
      <w:r>
        <w:rPr>
          <w:rFonts w:ascii="Times New Roman" w:hAnsi="Times New Roman" w:eastAsia="Times New Roman" w:cs="Times New Roman"/>
        </w:rPr>
        <w:t xml:space="preserve"> </w:t>
      </w:r>
      <w:r>
        <w:rPr>
          <w:rFonts w:ascii="Nirmala UI" w:hAnsi="Nirmala UI" w:eastAsia="Nirmala UI" w:cs="Nirmala UI"/>
        </w:rPr>
        <w:t>మాతో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రాకపోతే</w:t>
      </w:r>
      <w:r>
        <w:rPr>
          <w:rFonts w:ascii="Times New Roman" w:hAnsi="Times New Roman" w:eastAsia="Times New Roman" w:cs="Times New Roman"/>
        </w:rPr>
        <w:t xml:space="preserve">, </w:t>
      </w:r>
      <w:r>
        <w:rPr>
          <w:rFonts w:ascii="Nirmala UI" w:hAnsi="Nirmala UI" w:eastAsia="Nirmala UI" w:cs="Nirmala UI"/>
        </w:rPr>
        <w:t>మమ్మును</w:t>
      </w:r>
      <w:r>
        <w:rPr>
          <w:rFonts w:ascii="Times New Roman" w:hAnsi="Times New Roman" w:eastAsia="Times New Roman" w:cs="Times New Roman"/>
        </w:rPr>
        <w:t xml:space="preserve"> </w:t>
      </w:r>
      <w:r>
        <w:rPr>
          <w:rFonts w:ascii="Nirmala UI" w:hAnsi="Nirmala UI" w:eastAsia="Nirmala UI" w:cs="Nirmala UI"/>
        </w:rPr>
        <w:t>ఇక్కడనుండి</w:t>
      </w:r>
      <w:r>
        <w:rPr>
          <w:rFonts w:ascii="Times New Roman" w:hAnsi="Times New Roman" w:eastAsia="Times New Roman" w:cs="Times New Roman"/>
        </w:rPr>
        <w:t xml:space="preserve"> </w:t>
      </w:r>
      <w:r>
        <w:rPr>
          <w:rFonts w:ascii="Nirmala UI" w:hAnsi="Nirmala UI" w:eastAsia="Nirmala UI" w:cs="Nirmala UI"/>
        </w:rPr>
        <w:t>తీసికొనిపోవద్దు</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పొందితివని</w:t>
      </w:r>
      <w:r>
        <w:rPr>
          <w:rFonts w:ascii="Times New Roman" w:hAnsi="Times New Roman" w:eastAsia="Times New Roman" w:cs="Times New Roman"/>
        </w:rPr>
        <w:t xml:space="preserve"> </w:t>
      </w:r>
      <w:r>
        <w:rPr>
          <w:rFonts w:ascii="Nirmala UI" w:hAnsi="Nirmala UI" w:eastAsia="Nirmala UI" w:cs="Nirmala UI"/>
        </w:rPr>
        <w:t>ఇక్కడ</w:t>
      </w:r>
      <w:r>
        <w:rPr>
          <w:rFonts w:ascii="Times New Roman" w:hAnsi="Times New Roman" w:eastAsia="Times New Roman" w:cs="Times New Roman"/>
        </w:rPr>
        <w:t xml:space="preserve"> </w:t>
      </w:r>
      <w:r>
        <w:rPr>
          <w:rFonts w:ascii="Nirmala UI" w:hAnsi="Nirmala UI" w:eastAsia="Nirmala UI" w:cs="Nirmala UI"/>
        </w:rPr>
        <w:t>ఎట్లా</w:t>
      </w:r>
      <w:r>
        <w:rPr>
          <w:rFonts w:ascii="Times New Roman" w:hAnsi="Times New Roman" w:eastAsia="Times New Roman" w:cs="Times New Roman"/>
        </w:rPr>
        <w:t xml:space="preserve"> </w:t>
      </w:r>
      <w:r>
        <w:rPr>
          <w:rFonts w:ascii="Nirmala UI" w:hAnsi="Nirmala UI" w:eastAsia="Nirmala UI" w:cs="Nirmala UI"/>
        </w:rPr>
        <w:t>తెలిసికొనబడును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మాతో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వచ్చుటచేత</w:t>
      </w:r>
      <w:r>
        <w:rPr>
          <w:rFonts w:ascii="Times New Roman" w:hAnsi="Times New Roman" w:eastAsia="Times New Roman" w:cs="Times New Roman"/>
        </w:rPr>
        <w:t xml:space="preserve"> </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ఏమిచేత</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మీదనున్న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జనులలోనుండి</w:t>
      </w:r>
      <w:r>
        <w:rPr>
          <w:rFonts w:ascii="Times New Roman" w:hAnsi="Times New Roman" w:eastAsia="Times New Roman" w:cs="Times New Roman"/>
        </w:rPr>
        <w:t xml:space="preserve"> </w:t>
      </w:r>
      <w:r>
        <w:rPr>
          <w:rFonts w:ascii="Nirmala UI" w:hAnsi="Nirmala UI" w:eastAsia="Nirmala UI" w:cs="Nirmala UI"/>
        </w:rPr>
        <w:t>ప్రత్యేకింపబడుదుము</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మోషేతో</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చేయుదును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పొందితివి</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పేరుపేరున</w:t>
      </w:r>
      <w:r>
        <w:rPr>
          <w:rFonts w:ascii="Times New Roman" w:hAnsi="Times New Roman" w:eastAsia="Times New Roman" w:cs="Times New Roman"/>
        </w:rPr>
        <w:t xml:space="preserve"> </w:t>
      </w:r>
      <w:r>
        <w:rPr>
          <w:rFonts w:ascii="Nirmala UI" w:hAnsi="Nirmala UI" w:eastAsia="Nirmala UI" w:cs="Nirmala UI"/>
        </w:rPr>
        <w:t>తెలిసికొంటిని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దయచేసి</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మహిమను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చూపుము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మేలును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గడచింపజేసెదను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సన్నిధిలో</w:t>
      </w:r>
      <w:r>
        <w:rPr>
          <w:rFonts w:ascii="Times New Roman" w:hAnsi="Times New Roman" w:eastAsia="Times New Roman" w:cs="Times New Roman"/>
        </w:rPr>
        <w:t xml:space="preserve"> </w:t>
      </w:r>
      <w:r>
        <w:rPr>
          <w:rFonts w:ascii="Nirmala UI" w:hAnsi="Nirmala UI" w:eastAsia="Nirmala UI" w:cs="Nirmala UI"/>
        </w:rPr>
        <w:t>ప్రకటించెదను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ఎవరిమీద</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చూపుదునో</w:t>
      </w:r>
      <w:r>
        <w:rPr>
          <w:rFonts w:ascii="Times New Roman" w:hAnsi="Times New Roman" w:eastAsia="Times New Roman" w:cs="Times New Roman"/>
        </w:rPr>
        <w:t xml:space="preserve"> </w:t>
      </w:r>
      <w:r>
        <w:rPr>
          <w:rFonts w:ascii="Nirmala UI" w:hAnsi="Nirmala UI" w:eastAsia="Nirmala UI" w:cs="Nirmala UI"/>
        </w:rPr>
        <w:t>వారిమీద</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చూపుదును</w:t>
      </w:r>
      <w:r>
        <w:rPr>
          <w:rFonts w:ascii="Times New Roman" w:hAnsi="Times New Roman" w:eastAsia="Times New Roman" w:cs="Times New Roman"/>
        </w:rPr>
        <w:t xml:space="preserve">, </w:t>
      </w:r>
      <w:r>
        <w:rPr>
          <w:rFonts w:ascii="Nirmala UI" w:hAnsi="Nirmala UI" w:eastAsia="Nirmala UI" w:cs="Nirmala UI"/>
        </w:rPr>
        <w:t>ఎవరిమీద</w:t>
      </w:r>
      <w:r>
        <w:rPr>
          <w:rFonts w:ascii="Times New Roman" w:hAnsi="Times New Roman" w:eastAsia="Times New Roman" w:cs="Times New Roman"/>
        </w:rPr>
        <w:t xml:space="preserve"> </w:t>
      </w:r>
      <w:r>
        <w:rPr>
          <w:rFonts w:ascii="Nirmala UI" w:hAnsi="Nirmala UI" w:eastAsia="Nirmala UI" w:cs="Nirmala UI"/>
        </w:rPr>
        <w:t>కనికరించుదునో</w:t>
      </w:r>
      <w:r>
        <w:rPr>
          <w:rFonts w:ascii="Times New Roman" w:hAnsi="Times New Roman" w:eastAsia="Times New Roman" w:cs="Times New Roman"/>
        </w:rPr>
        <w:t xml:space="preserve"> </w:t>
      </w:r>
      <w:r>
        <w:rPr>
          <w:rFonts w:ascii="Nirmala UI" w:hAnsi="Nirmala UI" w:eastAsia="Nirmala UI" w:cs="Nirmala UI"/>
        </w:rPr>
        <w:t>వారిమీద</w:t>
      </w:r>
      <w:r>
        <w:rPr>
          <w:rFonts w:ascii="Times New Roman" w:hAnsi="Times New Roman" w:eastAsia="Times New Roman" w:cs="Times New Roman"/>
        </w:rPr>
        <w:t xml:space="preserve"> </w:t>
      </w:r>
      <w:r>
        <w:rPr>
          <w:rFonts w:ascii="Nirmala UI" w:hAnsi="Nirmala UI" w:eastAsia="Nirmala UI" w:cs="Nirmala UI"/>
        </w:rPr>
        <w:t>కనికరించుదును</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ముఖమును</w:t>
      </w:r>
      <w:r>
        <w:rPr>
          <w:rFonts w:ascii="Times New Roman" w:hAnsi="Times New Roman" w:eastAsia="Times New Roman" w:cs="Times New Roman"/>
        </w:rPr>
        <w:t xml:space="preserve"> </w:t>
      </w:r>
      <w:r>
        <w:rPr>
          <w:rFonts w:ascii="Nirmala UI" w:hAnsi="Nirmala UI" w:eastAsia="Nirmala UI" w:cs="Nirmala UI"/>
        </w:rPr>
        <w:t>చూడలేవు</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చూచి</w:t>
      </w:r>
      <w:r>
        <w:rPr>
          <w:rFonts w:ascii="Times New Roman" w:hAnsi="Times New Roman" w:eastAsia="Times New Roman" w:cs="Times New Roman"/>
        </w:rPr>
        <w:t xml:space="preserve"> </w:t>
      </w:r>
      <w:r>
        <w:rPr>
          <w:rFonts w:ascii="Nirmala UI" w:hAnsi="Nirmala UI" w:eastAsia="Nirmala UI" w:cs="Nirmala UI"/>
        </w:rPr>
        <w:t>బ్రదకడు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సమీపమున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స్థలముంది</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బండమీద</w:t>
      </w:r>
      <w:r>
        <w:rPr>
          <w:rFonts w:ascii="Times New Roman" w:hAnsi="Times New Roman" w:eastAsia="Times New Roman" w:cs="Times New Roman"/>
        </w:rPr>
        <w:t xml:space="preserve"> </w:t>
      </w:r>
      <w:r>
        <w:rPr>
          <w:rFonts w:ascii="Nirmala UI" w:hAnsi="Nirmala UI" w:eastAsia="Nirmala UI" w:cs="Nirmala UI"/>
        </w:rPr>
        <w:t>నిలుచుండవలెను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మహిమ</w:t>
      </w:r>
      <w:r>
        <w:rPr>
          <w:rFonts w:ascii="Times New Roman" w:hAnsi="Times New Roman" w:eastAsia="Times New Roman" w:cs="Times New Roman"/>
        </w:rPr>
        <w:t xml:space="preserve"> </w:t>
      </w:r>
      <w:r>
        <w:rPr>
          <w:rFonts w:ascii="Nirmala UI" w:hAnsi="Nirmala UI" w:eastAsia="Nirmala UI" w:cs="Nirmala UI"/>
        </w:rPr>
        <w:t>గడచుచుండగా</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బండ</w:t>
      </w:r>
      <w:r>
        <w:rPr>
          <w:rFonts w:ascii="Times New Roman" w:hAnsi="Times New Roman" w:eastAsia="Times New Roman" w:cs="Times New Roman"/>
        </w:rPr>
        <w:t xml:space="preserve"> </w:t>
      </w:r>
      <w:r>
        <w:rPr>
          <w:rFonts w:ascii="Nirmala UI" w:hAnsi="Nirmala UI" w:eastAsia="Nirmala UI" w:cs="Nirmala UI"/>
        </w:rPr>
        <w:t>చీలికలో</w:t>
      </w:r>
      <w:r>
        <w:rPr>
          <w:rFonts w:ascii="Times New Roman" w:hAnsi="Times New Roman" w:eastAsia="Times New Roman" w:cs="Times New Roman"/>
        </w:rPr>
        <w:t xml:space="preserve"> </w:t>
      </w:r>
      <w:r>
        <w:rPr>
          <w:rFonts w:ascii="Nirmala UI" w:hAnsi="Nirmala UI" w:eastAsia="Nirmala UI" w:cs="Nirmala UI"/>
        </w:rPr>
        <w:t>ఉంచి</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గడచిపోయేంతవరకు</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చేతితో</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కప్పెదను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చెయ్యి</w:t>
      </w:r>
      <w:r>
        <w:rPr>
          <w:rFonts w:ascii="Times New Roman" w:hAnsi="Times New Roman" w:eastAsia="Times New Roman" w:cs="Times New Roman"/>
        </w:rPr>
        <w:t xml:space="preserve"> </w:t>
      </w:r>
      <w:r>
        <w:rPr>
          <w:rFonts w:ascii="Nirmala UI" w:hAnsi="Nirmala UI" w:eastAsia="Nirmala UI" w:cs="Nirmala UI"/>
        </w:rPr>
        <w:t>తొలగించెదను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వెనుక</w:t>
      </w:r>
      <w:r>
        <w:rPr>
          <w:rFonts w:ascii="Times New Roman" w:hAnsi="Times New Roman" w:eastAsia="Times New Roman" w:cs="Times New Roman"/>
        </w:rPr>
        <w:t xml:space="preserve"> </w:t>
      </w:r>
      <w:r>
        <w:rPr>
          <w:rFonts w:ascii="Nirmala UI" w:hAnsi="Nirmala UI" w:eastAsia="Nirmala UI" w:cs="Nirmala UI"/>
        </w:rPr>
        <w:t>వైపును</w:t>
      </w:r>
      <w:r>
        <w:rPr>
          <w:rFonts w:ascii="Times New Roman" w:hAnsi="Times New Roman" w:eastAsia="Times New Roman" w:cs="Times New Roman"/>
        </w:rPr>
        <w:t xml:space="preserve"> </w:t>
      </w:r>
      <w:r>
        <w:rPr>
          <w:rFonts w:ascii="Nirmala UI" w:hAnsi="Nirmala UI" w:eastAsia="Nirmala UI" w:cs="Nirmala UI"/>
        </w:rPr>
        <w:t>చూచెదవు</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ముఖము</w:t>
      </w:r>
      <w:r>
        <w:rPr>
          <w:rFonts w:ascii="Times New Roman" w:hAnsi="Times New Roman" w:eastAsia="Times New Roman" w:cs="Times New Roman"/>
        </w:rPr>
        <w:t xml:space="preserve"> </w:t>
      </w:r>
      <w:r>
        <w:rPr>
          <w:rFonts w:ascii="Nirmala UI" w:hAnsi="Nirmala UI" w:eastAsia="Nirmala UI" w:cs="Nirmala UI"/>
        </w:rPr>
        <w:t>కనబడదు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మోషేతో</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పలకలవంటివిగా</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రాతిపలకలను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చెక్కుకొనుము</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పగులగొట్టిన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పలకలపై</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మాటలను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పలకలపై</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వ్రాయుదును</w:t>
      </w:r>
      <w:r>
        <w:rPr>
          <w:rFonts w:ascii="Times New Roman" w:hAnsi="Times New Roman" w:eastAsia="Times New Roman" w:cs="Times New Roman"/>
        </w:rPr>
        <w:t xml:space="preserve">. </w:t>
      </w:r>
      <w:r>
        <w:rPr>
          <w:rFonts w:ascii="Nirmala UI" w:hAnsi="Nirmala UI" w:eastAsia="Nirmala UI" w:cs="Nirmala UI"/>
        </w:rPr>
        <w:t>ఉదయమునకు</w:t>
      </w:r>
      <w:r>
        <w:rPr>
          <w:rFonts w:ascii="Times New Roman" w:hAnsi="Times New Roman" w:eastAsia="Times New Roman" w:cs="Times New Roman"/>
        </w:rPr>
        <w:t xml:space="preserve"> </w:t>
      </w:r>
      <w:r>
        <w:rPr>
          <w:rFonts w:ascii="Nirmala UI" w:hAnsi="Nirmala UI" w:eastAsia="Nirmala UI" w:cs="Nirmala UI"/>
        </w:rPr>
        <w:t>సిద్ధముగా</w:t>
      </w:r>
      <w:r>
        <w:rPr>
          <w:rFonts w:ascii="Times New Roman" w:hAnsi="Times New Roman" w:eastAsia="Times New Roman" w:cs="Times New Roman"/>
        </w:rPr>
        <w:t xml:space="preserve"> </w:t>
      </w:r>
      <w:r>
        <w:rPr>
          <w:rFonts w:ascii="Nirmala UI" w:hAnsi="Nirmala UI" w:eastAsia="Nirmala UI" w:cs="Nirmala UI"/>
        </w:rPr>
        <w:t>నుండుము</w:t>
      </w:r>
      <w:r>
        <w:rPr>
          <w:rFonts w:ascii="Times New Roman" w:hAnsi="Times New Roman" w:eastAsia="Times New Roman" w:cs="Times New Roman"/>
        </w:rPr>
        <w:t xml:space="preserve">; </w:t>
      </w:r>
      <w:r>
        <w:rPr>
          <w:rFonts w:ascii="Nirmala UI" w:hAnsi="Nirmala UI" w:eastAsia="Nirmala UI" w:cs="Nirmala UI"/>
        </w:rPr>
        <w:t>ఉదయముననే</w:t>
      </w:r>
      <w:r>
        <w:rPr>
          <w:rFonts w:ascii="Times New Roman" w:hAnsi="Times New Roman" w:eastAsia="Times New Roman" w:cs="Times New Roman"/>
        </w:rPr>
        <w:t xml:space="preserve"> </w:t>
      </w:r>
      <w:r>
        <w:rPr>
          <w:rFonts w:ascii="Nirmala UI" w:hAnsi="Nirmala UI" w:eastAsia="Nirmala UI" w:cs="Nirmala UI"/>
        </w:rPr>
        <w:t>సినాయి</w:t>
      </w:r>
      <w:r>
        <w:rPr>
          <w:rFonts w:ascii="Times New Roman" w:hAnsi="Times New Roman" w:eastAsia="Times New Roman" w:cs="Times New Roman"/>
        </w:rPr>
        <w:t xml:space="preserve"> </w:t>
      </w:r>
      <w:r>
        <w:rPr>
          <w:rFonts w:ascii="Nirmala UI" w:hAnsi="Nirmala UI" w:eastAsia="Nirmala UI" w:cs="Nirmala UI"/>
        </w:rPr>
        <w:t>పర్వతముమీదకు</w:t>
      </w:r>
      <w:r>
        <w:rPr>
          <w:rFonts w:ascii="Times New Roman" w:hAnsi="Times New Roman" w:eastAsia="Times New Roman" w:cs="Times New Roman"/>
        </w:rPr>
        <w:t xml:space="preserve"> </w:t>
      </w:r>
      <w:r>
        <w:rPr>
          <w:rFonts w:ascii="Nirmala UI" w:hAnsi="Nirmala UI" w:eastAsia="Nirmala UI" w:cs="Nirmala UI"/>
        </w:rPr>
        <w:t>ఎక్కి</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పర్వత</w:t>
      </w:r>
      <w:r>
        <w:rPr>
          <w:rFonts w:ascii="Times New Roman" w:hAnsi="Times New Roman" w:eastAsia="Times New Roman" w:cs="Times New Roman"/>
        </w:rPr>
        <w:t xml:space="preserve"> </w:t>
      </w:r>
      <w:r>
        <w:rPr>
          <w:rFonts w:ascii="Nirmala UI" w:hAnsi="Nirmala UI" w:eastAsia="Nirmala UI" w:cs="Nirmala UI"/>
        </w:rPr>
        <w:t>శిఖరమందు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సన్నిధిలో</w:t>
      </w:r>
      <w:r>
        <w:rPr>
          <w:rFonts w:ascii="Times New Roman" w:hAnsi="Times New Roman" w:eastAsia="Times New Roman" w:cs="Times New Roman"/>
        </w:rPr>
        <w:t xml:space="preserve"> </w:t>
      </w:r>
      <w:r>
        <w:rPr>
          <w:rFonts w:ascii="Nirmala UI" w:hAnsi="Nirmala UI" w:eastAsia="Nirmala UI" w:cs="Nirmala UI"/>
        </w:rPr>
        <w:t>ప్రత్యక్షమవుము</w:t>
      </w:r>
      <w:r>
        <w:rPr>
          <w:rFonts w:ascii="Times New Roman" w:hAnsi="Times New Roman" w:eastAsia="Times New Roman" w:cs="Times New Roman"/>
        </w:rPr>
        <w:t xml:space="preserve">. </w:t>
      </w:r>
      <w:r>
        <w:rPr>
          <w:rFonts w:ascii="Nirmala UI" w:hAnsi="Nirmala UI" w:eastAsia="Nirmala UI" w:cs="Nirmala UI"/>
        </w:rPr>
        <w:t>ఎవడును</w:t>
      </w:r>
      <w:r>
        <w:rPr>
          <w:rFonts w:ascii="Times New Roman" w:hAnsi="Times New Roman" w:eastAsia="Times New Roman" w:cs="Times New Roman"/>
        </w:rPr>
        <w:t xml:space="preserve"> </w:t>
      </w:r>
      <w:r>
        <w:rPr>
          <w:rFonts w:ascii="Nirmala UI" w:hAnsi="Nirmala UI" w:eastAsia="Nirmala UI" w:cs="Nirmala UI"/>
        </w:rPr>
        <w:t>నీతోకూడ</w:t>
      </w:r>
      <w:r>
        <w:rPr>
          <w:rFonts w:ascii="Times New Roman" w:hAnsi="Times New Roman" w:eastAsia="Times New Roman" w:cs="Times New Roman"/>
        </w:rPr>
        <w:t xml:space="preserve"> </w:t>
      </w:r>
      <w:r>
        <w:rPr>
          <w:rFonts w:ascii="Nirmala UI" w:hAnsi="Nirmala UI" w:eastAsia="Nirmala UI" w:cs="Nirmala UI"/>
        </w:rPr>
        <w:t>ఎక్కకూడదు</w:t>
      </w:r>
      <w:r>
        <w:rPr>
          <w:rFonts w:ascii="Times New Roman" w:hAnsi="Times New Roman" w:eastAsia="Times New Roman" w:cs="Times New Roman"/>
        </w:rPr>
        <w:t xml:space="preserve">; </w:t>
      </w:r>
      <w:r>
        <w:rPr>
          <w:rFonts w:ascii="Nirmala UI" w:hAnsi="Nirmala UI" w:eastAsia="Nirmala UI" w:cs="Nirmala UI"/>
        </w:rPr>
        <w:t>పర్వతమంతట</w:t>
      </w:r>
      <w:r>
        <w:rPr>
          <w:rFonts w:ascii="Times New Roman" w:hAnsi="Times New Roman" w:eastAsia="Times New Roman" w:cs="Times New Roman"/>
        </w:rPr>
        <w:t xml:space="preserve"> </w:t>
      </w:r>
      <w:r>
        <w:rPr>
          <w:rFonts w:ascii="Nirmala UI" w:hAnsi="Nirmala UI" w:eastAsia="Nirmala UI" w:cs="Nirmala UI"/>
        </w:rPr>
        <w:t>ఎవడును</w:t>
      </w:r>
      <w:r>
        <w:rPr>
          <w:rFonts w:ascii="Times New Roman" w:hAnsi="Times New Roman" w:eastAsia="Times New Roman" w:cs="Times New Roman"/>
        </w:rPr>
        <w:t xml:space="preserve"> </w:t>
      </w:r>
      <w:r>
        <w:rPr>
          <w:rFonts w:ascii="Nirmala UI" w:hAnsi="Nirmala UI" w:eastAsia="Nirmala UI" w:cs="Nirmala UI"/>
        </w:rPr>
        <w:t>కనబడకూడదు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పర్వతమునకు</w:t>
      </w:r>
      <w:r>
        <w:rPr>
          <w:rFonts w:ascii="Times New Roman" w:hAnsi="Times New Roman" w:eastAsia="Times New Roman" w:cs="Times New Roman"/>
        </w:rPr>
        <w:t xml:space="preserve"> </w:t>
      </w:r>
      <w:r>
        <w:rPr>
          <w:rFonts w:ascii="Nirmala UI" w:hAnsi="Nirmala UI" w:eastAsia="Nirmala UI" w:cs="Nirmala UI"/>
        </w:rPr>
        <w:t>ఎదుట</w:t>
      </w:r>
      <w:r>
        <w:rPr>
          <w:rFonts w:ascii="Times New Roman" w:hAnsi="Times New Roman" w:eastAsia="Times New Roman" w:cs="Times New Roman"/>
        </w:rPr>
        <w:t xml:space="preserve"> </w:t>
      </w:r>
      <w:r>
        <w:rPr>
          <w:rFonts w:ascii="Nirmala UI" w:hAnsi="Nirmala UI" w:eastAsia="Nirmala UI" w:cs="Nirmala UI"/>
        </w:rPr>
        <w:t>గొఱ్ఱెలు</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పశువులు</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మేయకూడదు</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వాటివలె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రాతిపలకలను</w:t>
      </w:r>
      <w:r>
        <w:rPr>
          <w:rFonts w:ascii="Times New Roman" w:hAnsi="Times New Roman" w:eastAsia="Times New Roman" w:cs="Times New Roman"/>
        </w:rPr>
        <w:t xml:space="preserve"> </w:t>
      </w:r>
      <w:r>
        <w:rPr>
          <w:rFonts w:ascii="Nirmala UI" w:hAnsi="Nirmala UI" w:eastAsia="Nirmala UI" w:cs="Nirmala UI"/>
        </w:rPr>
        <w:t>చెక్కెను</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ప్రాతఃకాలముననే</w:t>
      </w:r>
      <w:r>
        <w:rPr>
          <w:rFonts w:ascii="Times New Roman" w:hAnsi="Times New Roman" w:eastAsia="Times New Roman" w:cs="Times New Roman"/>
        </w:rPr>
        <w:t xml:space="preserve"> </w:t>
      </w:r>
      <w:r>
        <w:rPr>
          <w:rFonts w:ascii="Nirmala UI" w:hAnsi="Nirmala UI" w:eastAsia="Nirmala UI" w:cs="Nirmala UI"/>
        </w:rPr>
        <w:t>లేచి</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తనకు</w:t>
      </w:r>
      <w:r>
        <w:rPr>
          <w:rFonts w:ascii="Times New Roman" w:hAnsi="Times New Roman" w:eastAsia="Times New Roman" w:cs="Times New Roman"/>
        </w:rPr>
        <w:t xml:space="preserve"> </w:t>
      </w:r>
      <w:r>
        <w:rPr>
          <w:rFonts w:ascii="Nirmala UI" w:hAnsi="Nirmala UI" w:eastAsia="Nirmala UI" w:cs="Nirmala UI"/>
        </w:rPr>
        <w:t>ఆజ్ఞాపించిన</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w:t>
      </w:r>
      <w:r>
        <w:rPr>
          <w:rFonts w:ascii="Nirmala UI" w:hAnsi="Nirmala UI" w:eastAsia="Nirmala UI" w:cs="Nirmala UI"/>
        </w:rPr>
        <w:t>సినాయి</w:t>
      </w:r>
      <w:r>
        <w:rPr>
          <w:rFonts w:ascii="Times New Roman" w:hAnsi="Times New Roman" w:eastAsia="Times New Roman" w:cs="Times New Roman"/>
        </w:rPr>
        <w:t xml:space="preserve"> </w:t>
      </w:r>
      <w:r>
        <w:rPr>
          <w:rFonts w:ascii="Nirmala UI" w:hAnsi="Nirmala UI" w:eastAsia="Nirmala UI" w:cs="Nirmala UI"/>
        </w:rPr>
        <w:t>పర్వతముమీదకు</w:t>
      </w:r>
      <w:r>
        <w:rPr>
          <w:rFonts w:ascii="Times New Roman" w:hAnsi="Times New Roman" w:eastAsia="Times New Roman" w:cs="Times New Roman"/>
        </w:rPr>
        <w:t xml:space="preserve"> </w:t>
      </w:r>
      <w:r>
        <w:rPr>
          <w:rFonts w:ascii="Nirmala UI" w:hAnsi="Nirmala UI" w:eastAsia="Nirmala UI" w:cs="Nirmala UI"/>
        </w:rPr>
        <w:t>ఎక్కి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రాతిపలకలను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తీసికొనిపోయెను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మేఘమందు</w:t>
      </w:r>
      <w:r>
        <w:rPr>
          <w:rFonts w:ascii="Times New Roman" w:hAnsi="Times New Roman" w:eastAsia="Times New Roman" w:cs="Times New Roman"/>
        </w:rPr>
        <w:t xml:space="preserve"> </w:t>
      </w:r>
      <w:r>
        <w:rPr>
          <w:rFonts w:ascii="Nirmala UI" w:hAnsi="Nirmala UI" w:eastAsia="Nirmala UI" w:cs="Nirmala UI"/>
        </w:rPr>
        <w:t>దిగివచ్చి</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అతనితోకూడ</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గడచుచు</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కరుణగలవాడును</w:t>
      </w:r>
      <w:r>
        <w:rPr>
          <w:rFonts w:ascii="Times New Roman" w:hAnsi="Times New Roman" w:eastAsia="Times New Roman" w:cs="Times New Roman"/>
        </w:rPr>
        <w:t xml:space="preserve">, </w:t>
      </w:r>
      <w:r>
        <w:rPr>
          <w:rFonts w:ascii="Nirmala UI" w:hAnsi="Nirmala UI" w:eastAsia="Nirmala UI" w:cs="Nirmala UI"/>
        </w:rPr>
        <w:t>కృపగలవాడును</w:t>
      </w:r>
      <w:r>
        <w:rPr>
          <w:rFonts w:ascii="Times New Roman" w:hAnsi="Times New Roman" w:eastAsia="Times New Roman" w:cs="Times New Roman"/>
        </w:rPr>
        <w:t xml:space="preserve">, </w:t>
      </w:r>
      <w:r>
        <w:rPr>
          <w:rFonts w:ascii="Nirmala UI" w:hAnsi="Nirmala UI" w:eastAsia="Nirmala UI" w:cs="Nirmala UI"/>
        </w:rPr>
        <w:t>దీర్ఘశాంతియుతుడును</w:t>
      </w:r>
      <w:r>
        <w:rPr>
          <w:rFonts w:ascii="Times New Roman" w:hAnsi="Times New Roman" w:eastAsia="Times New Roman" w:cs="Times New Roman"/>
        </w:rPr>
        <w:t xml:space="preserve">, </w:t>
      </w:r>
      <w:r>
        <w:rPr>
          <w:rFonts w:ascii="Nirmala UI" w:hAnsi="Nirmala UI" w:eastAsia="Nirmala UI" w:cs="Nirmala UI"/>
        </w:rPr>
        <w:t>మేలులోను</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సమృద్ధిగలవాడును</w:t>
      </w:r>
      <w:r>
        <w:rPr>
          <w:rFonts w:ascii="Times New Roman" w:hAnsi="Times New Roman" w:eastAsia="Times New Roman" w:cs="Times New Roman"/>
        </w:rPr>
        <w:t xml:space="preserve">; </w:t>
      </w:r>
      <w:r>
        <w:rPr>
          <w:rFonts w:ascii="Nirmala UI" w:hAnsi="Nirmala UI" w:eastAsia="Nirmala UI" w:cs="Nirmala UI"/>
        </w:rPr>
        <w:t>వేలమందికి</w:t>
      </w:r>
      <w:r>
        <w:rPr>
          <w:rFonts w:ascii="Times New Roman" w:hAnsi="Times New Roman" w:eastAsia="Times New Roman" w:cs="Times New Roman"/>
        </w:rPr>
        <w:t xml:space="preserve"> </w:t>
      </w:r>
      <w:r>
        <w:rPr>
          <w:rFonts w:ascii="Nirmala UI" w:hAnsi="Nirmala UI" w:eastAsia="Nirmala UI" w:cs="Nirmala UI"/>
        </w:rPr>
        <w:t>కృపను</w:t>
      </w:r>
      <w:r>
        <w:rPr>
          <w:rFonts w:ascii="Times New Roman" w:hAnsi="Times New Roman" w:eastAsia="Times New Roman" w:cs="Times New Roman"/>
        </w:rPr>
        <w:t xml:space="preserve"> </w:t>
      </w:r>
      <w:r>
        <w:rPr>
          <w:rFonts w:ascii="Nirmala UI" w:hAnsi="Nirmala UI" w:eastAsia="Nirmala UI" w:cs="Nirmala UI"/>
        </w:rPr>
        <w:t>నిలుపువాడును</w:t>
      </w:r>
      <w:r>
        <w:rPr>
          <w:rFonts w:ascii="Times New Roman" w:hAnsi="Times New Roman" w:eastAsia="Times New Roman" w:cs="Times New Roman"/>
        </w:rPr>
        <w:t xml:space="preserve">; </w:t>
      </w:r>
      <w:r>
        <w:rPr>
          <w:rFonts w:ascii="Nirmala UI" w:hAnsi="Nirmala UI" w:eastAsia="Nirmala UI" w:cs="Nirmala UI"/>
        </w:rPr>
        <w:t>దోషమును</w:t>
      </w:r>
      <w:r>
        <w:rPr>
          <w:rFonts w:ascii="Times New Roman" w:hAnsi="Times New Roman" w:eastAsia="Times New Roman" w:cs="Times New Roman"/>
        </w:rPr>
        <w:t xml:space="preserve">, </w:t>
      </w:r>
      <w:r>
        <w:rPr>
          <w:rFonts w:ascii="Nirmala UI" w:hAnsi="Nirmala UI" w:eastAsia="Nirmala UI" w:cs="Nirmala UI"/>
        </w:rPr>
        <w:t>అతిక్రమమును</w:t>
      </w:r>
      <w:r>
        <w:rPr>
          <w:rFonts w:ascii="Times New Roman" w:hAnsi="Times New Roman" w:eastAsia="Times New Roman" w:cs="Times New Roman"/>
        </w:rPr>
        <w:t xml:space="preserve">, </w:t>
      </w:r>
      <w:r>
        <w:rPr>
          <w:rFonts w:ascii="Nirmala UI" w:hAnsi="Nirmala UI" w:eastAsia="Nirmala UI" w:cs="Nirmala UI"/>
        </w:rPr>
        <w:t>పాపమును</w:t>
      </w:r>
      <w:r>
        <w:rPr>
          <w:rFonts w:ascii="Times New Roman" w:hAnsi="Times New Roman" w:eastAsia="Times New Roman" w:cs="Times New Roman"/>
        </w:rPr>
        <w:t xml:space="preserve"> </w:t>
      </w:r>
      <w:r>
        <w:rPr>
          <w:rFonts w:ascii="Nirmala UI" w:hAnsi="Nirmala UI" w:eastAsia="Nirmala UI" w:cs="Nirmala UI"/>
        </w:rPr>
        <w:t>క్షమించువాడును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దోషిని</w:t>
      </w:r>
      <w:r>
        <w:rPr>
          <w:rFonts w:ascii="Times New Roman" w:hAnsi="Times New Roman" w:eastAsia="Times New Roman" w:cs="Times New Roman"/>
        </w:rPr>
        <w:t xml:space="preserve"> </w:t>
      </w:r>
      <w:r>
        <w:rPr>
          <w:rFonts w:ascii="Nirmala UI" w:hAnsi="Nirmala UI" w:eastAsia="Nirmala UI" w:cs="Nirmala UI"/>
        </w:rPr>
        <w:t>ఎట్టి</w:t>
      </w:r>
      <w:r>
        <w:rPr>
          <w:rFonts w:ascii="Times New Roman" w:hAnsi="Times New Roman" w:eastAsia="Times New Roman" w:cs="Times New Roman"/>
        </w:rPr>
        <w:t xml:space="preserve"> </w:t>
      </w:r>
      <w:r>
        <w:rPr>
          <w:rFonts w:ascii="Nirmala UI" w:hAnsi="Nirmala UI" w:eastAsia="Nirmala UI" w:cs="Nirmala UI"/>
        </w:rPr>
        <w:t>పరిస్థితిలోనును</w:t>
      </w:r>
      <w:r>
        <w:rPr>
          <w:rFonts w:ascii="Times New Roman" w:hAnsi="Times New Roman" w:eastAsia="Times New Roman" w:cs="Times New Roman"/>
        </w:rPr>
        <w:t xml:space="preserve"> </w:t>
      </w:r>
      <w:r>
        <w:rPr>
          <w:rFonts w:ascii="Nirmala UI" w:hAnsi="Nirmala UI" w:eastAsia="Nirmala UI" w:cs="Nirmala UI"/>
        </w:rPr>
        <w:t>నిర్దోషిగా</w:t>
      </w:r>
      <w:r>
        <w:rPr>
          <w:rFonts w:ascii="Times New Roman" w:hAnsi="Times New Roman" w:eastAsia="Times New Roman" w:cs="Times New Roman"/>
        </w:rPr>
        <w:t xml:space="preserve"> </w:t>
      </w:r>
      <w:r>
        <w:rPr>
          <w:rFonts w:ascii="Nirmala UI" w:hAnsi="Nirmala UI" w:eastAsia="Nirmala UI" w:cs="Nirmala UI"/>
        </w:rPr>
        <w:t>ఎంచనివాడును</w:t>
      </w:r>
      <w:r>
        <w:rPr>
          <w:rFonts w:ascii="Times New Roman" w:hAnsi="Times New Roman" w:eastAsia="Times New Roman" w:cs="Times New Roman"/>
        </w:rPr>
        <w:t xml:space="preserve">; </w:t>
      </w:r>
      <w:r>
        <w:rPr>
          <w:rFonts w:ascii="Nirmala UI" w:hAnsi="Nirmala UI" w:eastAsia="Nirmala UI" w:cs="Nirmala UI"/>
        </w:rPr>
        <w:t>తండ్రుల</w:t>
      </w:r>
      <w:r>
        <w:rPr>
          <w:rFonts w:ascii="Times New Roman" w:hAnsi="Times New Roman" w:eastAsia="Times New Roman" w:cs="Times New Roman"/>
        </w:rPr>
        <w:t xml:space="preserve"> </w:t>
      </w:r>
      <w:r>
        <w:rPr>
          <w:rFonts w:ascii="Nirmala UI" w:hAnsi="Nirmala UI" w:eastAsia="Nirmala UI" w:cs="Nirmala UI"/>
        </w:rPr>
        <w:t>దోషమును</w:t>
      </w:r>
      <w:r>
        <w:rPr>
          <w:rFonts w:ascii="Times New Roman" w:hAnsi="Times New Roman" w:eastAsia="Times New Roman" w:cs="Times New Roman"/>
        </w:rPr>
        <w:t xml:space="preserve"> </w:t>
      </w:r>
      <w:r>
        <w:rPr>
          <w:rFonts w:ascii="Nirmala UI" w:hAnsi="Nirmala UI" w:eastAsia="Nirmala UI" w:cs="Nirmala UI"/>
        </w:rPr>
        <w:t>కుమారులమీదను</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కుమారులమీదను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తరమువరకు</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తరమువరకు</w:t>
      </w:r>
      <w:r>
        <w:rPr>
          <w:rFonts w:ascii="Times New Roman" w:hAnsi="Times New Roman" w:eastAsia="Times New Roman" w:cs="Times New Roman"/>
        </w:rPr>
        <w:t xml:space="preserve"> </w:t>
      </w:r>
      <w:r>
        <w:rPr>
          <w:rFonts w:ascii="Nirmala UI" w:hAnsi="Nirmala UI" w:eastAsia="Nirmala UI" w:cs="Nirmala UI"/>
        </w:rPr>
        <w:t>విచారించువాడును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త్వరపడి</w:t>
      </w:r>
      <w:r>
        <w:rPr>
          <w:rFonts w:ascii="Times New Roman" w:hAnsi="Times New Roman" w:eastAsia="Times New Roman" w:cs="Times New Roman"/>
        </w:rPr>
        <w:t xml:space="preserve"> </w:t>
      </w:r>
      <w:r>
        <w:rPr>
          <w:rFonts w:ascii="Nirmala UI" w:hAnsi="Nirmala UI" w:eastAsia="Nirmala UI" w:cs="Nirmala UI"/>
        </w:rPr>
        <w:t>భూమివైపు</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వంచి</w:t>
      </w:r>
      <w:r>
        <w:rPr>
          <w:rFonts w:ascii="Times New Roman" w:hAnsi="Times New Roman" w:eastAsia="Times New Roman" w:cs="Times New Roman"/>
        </w:rPr>
        <w:t xml:space="preserve"> </w:t>
      </w:r>
      <w:r>
        <w:rPr>
          <w:rFonts w:ascii="Nirmala UI" w:hAnsi="Nirmala UI" w:eastAsia="Nirmala UI" w:cs="Nirmala UI"/>
        </w:rPr>
        <w:t>ఆరాధించెను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కృప</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వాడనైతే</w:t>
      </w:r>
      <w:r>
        <w:rPr>
          <w:rFonts w:ascii="Times New Roman" w:hAnsi="Times New Roman" w:eastAsia="Times New Roman" w:cs="Times New Roman"/>
        </w:rPr>
        <w:t xml:space="preserve">, </w:t>
      </w:r>
      <w:r>
        <w:rPr>
          <w:rFonts w:ascii="Nirmala UI" w:hAnsi="Nirmala UI" w:eastAsia="Nirmala UI" w:cs="Nirmala UI"/>
        </w:rPr>
        <w:t>ఓ</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దయచేసి</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మధ్యలో</w:t>
      </w:r>
      <w:r>
        <w:rPr>
          <w:rFonts w:ascii="Times New Roman" w:hAnsi="Times New Roman" w:eastAsia="Times New Roman" w:cs="Times New Roman"/>
        </w:rPr>
        <w:t xml:space="preserve"> </w:t>
      </w:r>
      <w:r>
        <w:rPr>
          <w:rFonts w:ascii="Nirmala UI" w:hAnsi="Nirmala UI" w:eastAsia="Nirmala UI" w:cs="Nirmala UI"/>
        </w:rPr>
        <w:t>నడచుచు</w:t>
      </w:r>
      <w:r>
        <w:rPr>
          <w:rFonts w:ascii="Times New Roman" w:hAnsi="Times New Roman" w:eastAsia="Times New Roman" w:cs="Times New Roman"/>
        </w:rPr>
        <w:t xml:space="preserve"> </w:t>
      </w:r>
      <w:r>
        <w:rPr>
          <w:rFonts w:ascii="Nirmala UI" w:hAnsi="Nirmala UI" w:eastAsia="Nirmala UI" w:cs="Nirmala UI"/>
        </w:rPr>
        <w:t>ఉండుము</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దృఢకంఠులైన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దోషమును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పాపమును</w:t>
      </w:r>
      <w:r>
        <w:rPr>
          <w:rFonts w:ascii="Times New Roman" w:hAnsi="Times New Roman" w:eastAsia="Times New Roman" w:cs="Times New Roman"/>
        </w:rPr>
        <w:t xml:space="preserve"> </w:t>
      </w:r>
      <w:r>
        <w:rPr>
          <w:rFonts w:ascii="Nirmala UI" w:hAnsi="Nirmala UI" w:eastAsia="Nirmala UI" w:cs="Nirmala UI"/>
        </w:rPr>
        <w:t>క్షమించి</w:t>
      </w:r>
      <w:r>
        <w:rPr>
          <w:rFonts w:ascii="Times New Roman" w:hAnsi="Times New Roman" w:eastAsia="Times New Roman" w:cs="Times New Roman"/>
        </w:rPr>
        <w:t xml:space="preserve">, </w:t>
      </w:r>
      <w:r>
        <w:rPr>
          <w:rFonts w:ascii="Nirmala UI" w:hAnsi="Nirmala UI" w:eastAsia="Nirmala UI" w:cs="Nirmala UI"/>
        </w:rPr>
        <w:t>మమ్మును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స్వాస్థ్యముగా</w:t>
      </w:r>
      <w:r>
        <w:rPr>
          <w:rFonts w:ascii="Times New Roman" w:hAnsi="Times New Roman" w:eastAsia="Times New Roman" w:cs="Times New Roman"/>
        </w:rPr>
        <w:t xml:space="preserve"> </w:t>
      </w:r>
      <w:r>
        <w:rPr>
          <w:rFonts w:ascii="Nirmala UI" w:hAnsi="Nirmala UI" w:eastAsia="Nirmala UI" w:cs="Nirmala UI"/>
        </w:rPr>
        <w:t>స్వీకరించుము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చేయుచున్నాను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ఎదుట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ఆశ్చర్యకార్యములను</w:t>
      </w:r>
      <w:r>
        <w:rPr>
          <w:rFonts w:ascii="Times New Roman" w:hAnsi="Times New Roman" w:eastAsia="Times New Roman" w:cs="Times New Roman"/>
        </w:rPr>
        <w:t xml:space="preserve"> </w:t>
      </w:r>
      <w:r>
        <w:rPr>
          <w:rFonts w:ascii="Nirmala UI" w:hAnsi="Nirmala UI" w:eastAsia="Nirmala UI" w:cs="Nirmala UI"/>
        </w:rPr>
        <w:t>చేయుదును</w:t>
      </w:r>
      <w:r>
        <w:rPr>
          <w:rFonts w:ascii="Times New Roman" w:hAnsi="Times New Roman" w:eastAsia="Times New Roman" w:cs="Times New Roman"/>
        </w:rPr>
        <w:t xml:space="preserve">; </w:t>
      </w:r>
      <w:r>
        <w:rPr>
          <w:rFonts w:ascii="Nirmala UI" w:hAnsi="Nirmala UI" w:eastAsia="Nirmala UI" w:cs="Nirmala UI"/>
        </w:rPr>
        <w:t>అట్టి</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xml:space="preserve"> </w:t>
      </w:r>
      <w:r>
        <w:rPr>
          <w:rFonts w:ascii="Nirmala UI" w:hAnsi="Nirmala UI" w:eastAsia="Nirmala UI" w:cs="Nirmala UI"/>
        </w:rPr>
        <w:t>భూమియందంతటయు</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జనమందును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ఎప్పుడును</w:t>
      </w:r>
      <w:r>
        <w:rPr>
          <w:rFonts w:ascii="Times New Roman" w:hAnsi="Times New Roman" w:eastAsia="Times New Roman" w:cs="Times New Roman"/>
        </w:rPr>
        <w:t xml:space="preserve"> </w:t>
      </w:r>
      <w:r>
        <w:rPr>
          <w:rFonts w:ascii="Nirmala UI" w:hAnsi="Nirmala UI" w:eastAsia="Nirmala UI" w:cs="Nirmala UI"/>
        </w:rPr>
        <w:t>చేయబడలేదు</w:t>
      </w:r>
      <w:r>
        <w:rPr>
          <w:rFonts w:ascii="Times New Roman" w:hAnsi="Times New Roman" w:eastAsia="Times New Roman" w:cs="Times New Roman"/>
        </w:rPr>
        <w:t xml:space="preserve">. </w:t>
      </w:r>
      <w:r>
        <w:rPr>
          <w:rFonts w:ascii="Nirmala UI" w:hAnsi="Nirmala UI" w:eastAsia="Nirmala UI" w:cs="Nirmala UI"/>
        </w:rPr>
        <w:t>నీవున్న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చూచెదరు</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చేయబోవు</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భయంకరమైనది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నిర్గమకాండము</w:t>
      </w:r>
      <w:r>
        <w:rPr>
          <w:rFonts w:ascii="Times New Roman" w:hAnsi="Times New Roman" w:eastAsia="Times New Roman" w:cs="Times New Roman"/>
        </w:rPr>
        <w:t xml:space="preserve"> 33:12–34:10.</w:t>
      </w:r>
    </w:p>
    <w:p>
      <w:pPr>
        <w:pStyle w:val="ArticleBody"/>
        <w:jc w:val="left"/>
      </w:pPr>
      <w:r>
        <w:rPr>
          <w:rFonts w:ascii="Times New Roman" w:hAnsi="Times New Roman" w:eastAsia="Times New Roman" w:cs="Times New Roman"/>
        </w:rPr>
        <w:t>Mose stellt Gottes Volk am Ende der Welt dar. Es sind jene, die in den „letzten Tagen“ des Untersuchungsgerichts Gott bitten, ihnen Seinen „Weg“ zu zeigen, damit sie Gott „erkennen“; und daraufhin empfangen sie von Gott eine Antwort, die die Verheißung einschließt, dass Seine „Gegenwart“ mit ihnen „gehen“ werde und dass Gott diesem Volk „Ruhe“ geben werde.</w:t>
      </w:r>
    </w:p>
    <w:p>
      <w:pPr>
        <w:pStyle w:val="ArticleScripture"/>
        <w:jc w:val="left"/>
      </w:pPr>
      <w:r>
        <w:rPr>
          <w:rFonts w:ascii="Times New Roman" w:hAnsi="Times New Roman" w:eastAsia="Times New Roman" w:cs="Times New Roman"/>
        </w:rPr>
        <w:t>Ainsi parle le Seigneur : Tenez-vous sur les chemins, regardez, et demandez quels sont les anciens sentiers, quelle est la bonne voie, et marchez-y, et vous trouverez le repos pour vos âmes. Mais ils ont dit : Nous n’y marcherons pas. J’ai aussi établi sur vous des sentinelles, disant : Soyez attentifs au son de la trompette. Mais ils ont dit : Nous n’y prêterons pas l’oreille. Jérémie 6:16, 17.</w:t>
      </w:r>
    </w:p>
    <w:p>
      <w:pPr>
        <w:pStyle w:val="ArticleBody"/>
        <w:jc w:val="left"/>
      </w:pPr>
      <w:r>
        <w:rPr>
          <w:rFonts w:ascii="Times New Roman" w:hAnsi="Times New Roman" w:eastAsia="Times New Roman" w:cs="Times New Roman"/>
        </w:rPr>
        <w:t>Yeremia mengidentifikasikan suatu golongan yang menolak untuk “melihat” dan “mendengarkan,” dan karena itu tidak menerima “perhentian” yang dijanjikan kepada mereka yang mencari “jalan yang baik” dan “berjalan di dalamnya.” Perhentian itu diidentifikasikan sebagai “penyegaran” oleh Yesaya.</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सिखाएगा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कराएगा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हकलाते</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28:9–13.</w:t>
      </w:r>
    </w:p>
    <w:p>
      <w:pPr>
        <w:pStyle w:val="ArticleBody"/>
        <w:jc w:val="left"/>
      </w:pPr>
      <w:r>
        <w:rPr>
          <w:rFonts w:ascii="Times New Roman" w:hAnsi="Times New Roman" w:eastAsia="Times New Roman" w:cs="Times New Roman"/>
        </w:rPr>
        <w:t>“Лаҳзат” ва “тароват” борони охиринро ифода мекунанд, ки ҳангоми эълони паёми ниҳоии ҳушдор рехта мешавад.</w:t>
      </w:r>
    </w:p>
    <w:p>
      <w:pPr>
        <w:pStyle w:val="ArticleScripture"/>
        <w:jc w:val="left"/>
      </w:pPr>
      <w:r>
        <w:rPr>
          <w:rFonts w:ascii="Times New Roman" w:hAnsi="Times New Roman" w:eastAsia="Times New Roman" w:cs="Times New Roman"/>
        </w:rPr>
        <w:t>« Men te fè m wè tan kote mesaj twazyèm zanj lan t ap rive nan bout li. Pwisans Bondye te repoze sou pèp Li a; yo te akonpli travay yo e yo te pare pou lè eprèv ki te devan yo. Yo te resevwa lapli dènye a, oswa rafrechisman ki soti nan prezans Senyè a, epi temwayaj vivan an te repran fòs li. Dènye gwo avètisman an te sonnen toupatou, e li te soulve epi fè moun ki rete sou latè yo anraje, yo menm ki pa t vle resevwa mesaj la. » Early Writings, 279.</w:t>
      </w:r>
    </w:p>
    <w:p>
      <w:pPr>
        <w:pStyle w:val="ArticleBody"/>
        <w:jc w:val="left"/>
      </w:pPr>
      <w:r>
        <w:rPr>
          <w:rFonts w:ascii="Times New Roman" w:hAnsi="Times New Roman" w:eastAsia="Times New Roman" w:cs="Times New Roman"/>
        </w:rPr>
        <w:t>Ndahiro y’“ikiruhuko” canke y’“ugusubirwamwo inkomezi” ari yo “imvura y’itumba,” irimwo n’isezerano ryahawe Mose mu buvumo yuko “ukubaho” kw’Imana kuzogendana n’ubwoko bwayo.</w:t>
      </w:r>
    </w:p>
    <w:p>
      <w:pPr>
        <w:pStyle w:val="ArticleScripture"/>
        <w:jc w:val="left"/>
      </w:pPr>
      <w:r>
        <w:rPr>
          <w:rFonts w:ascii="Times New Roman" w:hAnsi="Times New Roman" w:eastAsia="Times New Roman" w:cs="Times New Roman"/>
        </w:rPr>
        <w:t>L’opera sarà simile a quella del giorno della Pentecoste. Come la «pioggia della prima stagione» fu data, mediante l’effusione dello Spirito Santo all’apertura dell’evangelo, per far germogliare il prezioso seme, così la «pioggia dell’ultima stagione» sarà data alla sua conclusione, per la maturazione della mietitura. «Conosceremo il Signore, e ci studieremo di conoscerlo; il suo levarsi è certo, come quello dell’aurora; egli verrà a noi come la pioggia, come la pioggia della prima e dell’ultima stagione che annaffia la terra». (Osea 6:3.) «O figli di Sion, rallegratevi, e gioite nell’Eterno, il vostro Dio, perché egli vi dà la pioggia della prima stagione in giusta misura, e farà scendere per voi la pioggia, la pioggia della prima e dell’ultima stagione, come prima». (Gioele 2:23.) «Negli ultimi giorni, dice Dio, io spanderò del mio Spirito sopra ogni carne». «E avverrà che chiunque avrà invocato il nome del Signore sarà salvato». (Atti 2:17, 21.) La grande opera dell’evangelo non deve concludersi con una manifestazione della potenza di Dio minore di quella che ne segnò l’inizio. Le profezie che si adempirono nell’effusione della pioggia della prima stagione all’apertura dell’evangelo, devono adempiersi di nuovo nella pioggia dell’ultima stagione alla sua conclusione. Qui sono «i tempi di refrigerio» ai quali l’apostolo Pietro volgeva lo sguardo quando disse: «Ravvedetevi dunque e convertitevi, affinché i vostri peccati siano cancellati [nel giudizio investigativo], quando verranno i tempi di refrigerio dalla presenza del Signore, ed egli mandi il Cristo che vi è stato destinato, cioè Gesù». (Atti 3:19–20.)</w:t>
      </w:r>
    </w:p>
    <w:p>
      <w:pPr>
        <w:pStyle w:val="ArticleScripture"/>
        <w:jc w:val="left"/>
      </w:pPr>
      <w:r>
        <w:rPr>
          <w:rFonts w:ascii="Times New Roman" w:hAnsi="Times New Roman" w:eastAsia="Times New Roman" w:cs="Times New Roman"/>
        </w:rPr>
        <w:t>“Die Knechte Gottes, deren Angesichter von heiliger Weihe erleuchtet sind und strahlen, werden sich von Ort zu Ort eilen, um die Botschaft vom Himmel zu verkündigen. Durch Tausende von Stimmen, über die ganze Erde hin, wird die Warnung ergehen. Wunder werden gewirkt werden, die Kranken werden geheilt werden, und Zeichen und Wunder werden den Gläubigen folgen. Auch Satan wirkt mit lügenhaften Wundern und lässt sogar Feuer vom Himmel vor den Augen der Menschen herabkommen. (Offenbarung 13,13.) So werden die Bewohner der Erde dahin gebracht werden, Stellung zu beziehen.” Der große Kampf, 611, 612.</w:t>
      </w:r>
    </w:p>
    <w:p>
      <w:pPr>
        <w:pStyle w:val="ArticleBody"/>
        <w:jc w:val="left"/>
      </w:pPr>
      <w:r>
        <w:rPr>
          <w:rFonts w:ascii="Times New Roman" w:hAnsi="Times New Roman" w:eastAsia="Times New Roman" w:cs="Times New Roman"/>
        </w:rPr>
        <w:t>La effusion du Saint-Esprit dans les derniers jours a été préfigurée par l’effusion du Saint-Esprit au commencement de la proclamation de l’Évangile. La « parole de l’Éternel pour eux », adressée à ceux qui n’entendront pas ce que l’Esprit dit aux Églises, était le principe prophétique consistant à ajouter une ligne prophétique d’histoire à une autre ligne prophétique d’histoire afin d’illustrer la fin du monde. Ce n’est rien de moins que le principe selon lequel la fin d’une chose est illustrée par le commencement d’une chose. Cette règle prophétique est rejetée par le peuple insensé de Laodicée parmi les Adventistes du Septième Jour. Lorsqu’elle est acceptée, Dieu peut « enseigner la connaissance », laquelle, selon Daniel, augmente au temps de la fin, et qui est précisément la même connaissance que, selon Osée, le peuple de Dieu rejette à sa perte. La catégorie décrite dans Ésaïe et Jérémie, qui refuse d’entendre ou de voir, rejette le « rafraîchissement », lequel est le « repos » que Dieu promet d’accorder à Son peuple des « derniers jours », afin qu’il puisse traverser en sécurité la crise de la fin des temps.</w:t>
      </w:r>
    </w:p>
    <w:p>
      <w:pPr>
        <w:pStyle w:val="ArticleBody"/>
        <w:jc w:val="left"/>
      </w:pPr>
      <w:r>
        <w:rPr>
          <w:rFonts w:ascii="Times New Roman" w:hAnsi="Times New Roman" w:eastAsia="Times New Roman" w:cs="Times New Roman"/>
        </w:rPr>
        <w:t>Seigneur se “non” (karakter) ki Bondié ti proklam a Moïse, séki “le Seigneur Dieu”, sé enn Bondié “plein misérikord ek gras, pasyan, ek rich an bonté ek vérité.” So karakter sé misérikord ek vérité. Lavérité ki reprezant So karakter toultan asosie avek So misérikord, parski personn pa pou konpran So vérité, sof si Bondié avan sa egzers So misérikord anver zot, parski tou dimounn finn péché ek finn mank laglwar (karakter) Bondié. Lavérité ki Jésus-Christ sé l’Alpha ek l’Oméga, bann ki Bondié finn pardonn zot inikité ek péché rekonet ek gard sa. Sa pardon-la pran plas dan bann dèrnié sèn zizman ankèt la. Bann ki Li egzers So misérikord anver zot, ek par sa Li pardonn zot péché, Li pran zot kouma So eritaj ek rant dan enn lalians avek zot.</w:t>
      </w:r>
    </w:p>
    <w:p>
      <w:pPr>
        <w:pStyle w:val="ArticleScripture"/>
        <w:jc w:val="left"/>
      </w:pPr>
      <w:r>
        <w:rPr>
          <w:rFonts w:ascii="Times New Roman" w:hAnsi="Times New Roman" w:eastAsia="Times New Roman" w:cs="Times New Roman"/>
        </w:rPr>
        <w:t>“Lu ni xas yi qxan nuu ini ndyii ñuu yaa, sa’an nisa’a Dios xi ña’a ndatu’u maa teji ndi kuu ñayivi iyo ini ley nda’a ra, vaa ndakuiñi tuku.” Review and Herald, 26 de febrero de 1914.</w:t>
      </w:r>
    </w:p>
    <w:p>
      <w:pPr>
        <w:pStyle w:val="ArticleBody"/>
        <w:jc w:val="left"/>
      </w:pPr>
      <w:r>
        <w:rPr>
          <w:rFonts w:ascii="Times New Roman" w:hAnsi="Times New Roman" w:eastAsia="Times New Roman" w:cs="Times New Roman"/>
        </w:rPr>
        <w:t>Baprofeta bohle, kubandakanya noMoses, babonakalisa izinsuku zokugcina zokwahlulela okuphenyayo, lapho uNkulunkulu evuselela isivumelwano saKhe nalabo ababonakaliswe njengabayi-khulu namashumi amane nane ezinkulungwane. Futhi lapho leso sivumelwano sesimisiwe, uNkulunkulu “uyakwenza izimangaliso ezingakaze zenziwe emhlabeni wonke, nasizweni sonke; nabantu bonke ophakathi kwabo ukhona bayakubona umsebenzi kaJehova, ngokuba kuyinto eyesabekayo engiyakuyenza ngawe.”</w:t>
      </w:r>
    </w:p>
    <w:p>
      <w:pPr>
        <w:pStyle w:val="ArticleBody"/>
        <w:jc w:val="left"/>
      </w:pPr>
      <w:r>
        <w:rPr>
          <w:rFonts w:ascii="Times New Roman" w:hAnsi="Times New Roman" w:eastAsia="Times New Roman" w:cs="Times New Roman"/>
        </w:rPr>
        <w:t>La caverne où Moïse fit son expérience sur le mont Horeb, également appelé mont Sinaï, fut située dans le contexte de la lutte de Moïse avec le peuple de Dieu. Sa lutte consistait à accomplir la tâche que Dieu lui avait confiée. Moïse était engagé dans une lutte au sujet du message de Dieu pour le monde. Juste avant que le Seigneur ne montre sa gloire à Moïse, nous trouvons Moïse recourant à la logique devant le Seigneur, suggérant que, si le Seigneur détruisait les rebelles qui venaient de danser autour du veau d’or d’Aaron, la destruction de ces rebelles détruirait le message qui manifestait la puissance de Dieu.</w:t>
      </w:r>
    </w:p>
    <w:p>
      <w:pPr>
        <w:pStyle w:val="ArticleScripture"/>
        <w:jc w:val="left"/>
      </w:pPr>
      <w:r>
        <w:rPr>
          <w:rFonts w:ascii="Times New Roman" w:hAnsi="Times New Roman" w:eastAsia="Times New Roman" w:cs="Times New Roman"/>
        </w:rPr>
        <w:t>Og Herren sade till Mose: Jag har sett detta folk, och se, det är ett hårdnackat folk. Låt mig nu vara, så att min vrede upptänds mot dem och jag förgör dem; men av dig skall jag göra ett stort folk. Då bad Mose till Herren, sin Gud, och sade: Herre, varför skulle din vrede upptändas mot ditt folk, som du har fört ut ur Egyptens land med stor kraft och med stark hand? Varför skulle egyptierna få säga: Till deras olycka förde han dem ut, för att dräpa dem bland bergen och utrota dem från jordens yta? Vänd dig från din brinnande vrede och ångra detta onda mot ditt folk. Tänk på Abraham, Isak och Israel, dina tjänare, åt vilka du svor vid dig själv och sade till dem: Jag skall föröka er säd såsom himlens stjärnor, och hela detta land som jag har talat om skall jag ge åt er säd, och de skall besitta det för evig tid. Och Herren ångrade det onda som han hade sagt att han skulle göra mot sitt folk. 2 Moseboken 32:9–14.</w:t>
      </w:r>
    </w:p>
    <w:p>
      <w:pPr>
        <w:pStyle w:val="ArticleBody"/>
        <w:jc w:val="left"/>
      </w:pPr>
      <w:r>
        <w:rPr>
          <w:rFonts w:ascii="Times New Roman" w:hAnsi="Times New Roman" w:eastAsia="Times New Roman" w:cs="Times New Roman"/>
        </w:rPr>
        <w:t>L’expérience de Moïse dans la caverne comprend le message que Moïse fut ordonné à présenter au monde. Le témoignage du Seigneur passant devant Moïse et proclamant son caractère est placé dans le contexte d’un message interne concernant le peuple rebelle (laodicéen) de Dieu, et le contexte de l’expérience d’Élie dans la caverne fut placé au sein de sa lutte contre Jézabel, ou l’union tripartite des États-Unis, de la Papauté et des Nations unies. L’un représente le message interne destiné à l’Église, l’autre le message externe destiné au monde, mais les deux témoins, Moïse et Élie, se trouvent dans la même caverne de Horeb, et tous deux sont représentés dans la caverne à la fin du monde.</w:t>
      </w:r>
    </w:p>
    <w:p>
      <w:pPr>
        <w:pStyle w:val="ArticleScripture"/>
        <w:jc w:val="left"/>
      </w:pPr>
      <w:r>
        <w:rPr>
          <w:rFonts w:ascii="Times New Roman" w:hAnsi="Times New Roman" w:eastAsia="Times New Roman" w:cs="Times New Roman"/>
        </w:rPr>
        <w:t>Sillim Ahab gite da Jezebel duk abin da Iliya ya yi, da kuma yadda ya kashe dukan annabawan da takobi. Sai Jezebel ta aika wani ɗan aike zuwa wurin Iliya, tana cewa, Haka gumaka su yi mini, har ma fiye da haka, in ban mai da ranka kamar ran ɗayansu ba gobe kamar wannan lokaci. Da ya ga haka, sai ya tashi, ya tafi domin ceton ransa, ya kuma isa Beyersheba, wadda take ta Yahuza, ya bar bawansa a can. Amma shi kansa ya shiga jeji, tafiyar yini ɗaya, ya zo ya zauna a ƙarƙashin itacen al’ul na jeji; sai ya roƙi wa kansa mutuwa, ya ce, Ya isa; yanzu, ya Ubangiji, ka ɗauke raina; gama ni ban fi ubannina ba. Yayin da yake kwance yana barci a ƙarƙashin itacen al’ul na jeji, sai ga wani mala’ika ya taɓa shi, ya ce masa, Tashi ka ci. Sai ya duba, ga kuwa, akwai waina da aka gasa a kan garwashi, da tulun ruwa a gefen kansa. Sai ya ci, ya sha, ya kuma sake kwanciya. Mala’ikan Ubangiji kuwa ya sāke zuwa karo na biyu, ya taɓa shi, ya ce, Tashi ka ci; gama tafiyar ta yi maka nisa ƙwarai. Sai ya tashi, ya ci ya sha, ya yi tafiya da ƙarfin wannan abinci kwana arba’in da dare arba’in har zuwa Horeb, dutsen Allah. Sai ya isa can zuwa wani kogo, ya sauka a can; sai ga maganar Ubangiji ta zo gare shi, ta ce masa, Me kake yi a nan, Iliya? Sai ya ce, Na yi kishi ƙwarai domin Ubangiji Allah Mai Runduna: gama Isra’ilawa sun yashe alkawarinka, sun rushe bagadanka, sun kuma kashe annabawanka da takobi; ni kaɗai ne kuwa na rage, suna kuma neman raina domin su ɗauke shi. Sai ya ce, Fita, ka tsaya a kan dutsen a gaban Ubangiji. Sai ga shi, Ubangiji ya ratsa, kuma wata iska mai girma da ƙarfi ta tsattsage duwatsu, ta farfashe duwatsu a gaban Ubangiji; amma Ubangiji ba ya cikin iskar. Bayan iskar kuma sai girgizar ƙasa; amma Ubangiji ba ya cikin girgizar ƙasar. Bayan girgizar ƙasar kuma sai wuta; amma Ubangiji ba ya cikin wutar. Bayan wutar kuma sai murya marar amo, mai laushi. Da Iliya ya ji ta, sai ya rufe fuskarsa da mayafinsa, ya fita, ya tsaya a bakin kogon. Sai ga wata murya ta zo gare shi, ta ce, Me kake yi a nan, Iliya? Sai ya ce, Na yi kishi ƙwarai domin Ubangiji Allah Mai Runduna: domin Isra’ilawa sun yashe alkawarinka, sun rushe bagadanka, sun kuma kashe annabawanka da takobi; ni kaɗai ne kuwa na rage, suna kuma neman raina domin su ɗauke shi. Sai Ubangiji ya ce masa, Tafi, ka koma ta hanyarka zuwa jejin Damaskus: sa’ad da ka isa, ka shafe Hazayel ya zama sarki bisa Suriya. Jehu ɗan Nimshi kuma za ka shafe shi ya zama sarki bisa Isra’ila. Elisha ɗan Shafat na Abelmehola kuwa za ka shafe shi ya zama annabi a madadinka. Zai faru kuwa, wanda ya tsira daga takobin Hazayel, Jehu zai kashe shi; wanda kuma ya tsira daga takobin Jehu, Elisha zai kashe shi. Duk da haka na bar wa kaina mutum dubu bakwai a Isra’ila, dukan gwiwoyin da ba su durƙusa wa Ba’al ba, da kowane baki da bai sumbace shi ba. 1 Sarakuna 19:1–18.</w:t>
      </w:r>
    </w:p>
    <w:p>
      <w:pPr>
        <w:pStyle w:val="ArticleBody"/>
        <w:jc w:val="left"/>
      </w:pPr>
      <w:r>
        <w:rPr>
          <w:rFonts w:ascii="Times New Roman" w:hAnsi="Times New Roman" w:eastAsia="Times New Roman" w:cs="Times New Roman"/>
        </w:rPr>
        <w:t>L’expérience d’Élie dans la caverne représente le découragement du prophète à l’égard du message, ainsi que l’effet qu’il attribuait à son message et à son œuvre. Moïse défendait le message déclaré de Dieu, tandis qu’Élie avait renoncé au message. C’est le même message, à ceci près que l’un est intérieur à l’Église et l’autre extérieur à l’Église. Pourtant, prophétiquement, ensemble, ils illustrent tous deux le message double d’Apocalypse dix-huit. Ce que je dois souligner au sujet de toutes les vérités liées à la caverne, c’est que, dans les « derniers jours », le découragement qui s’exprime dans l’un ou l’autre cas porte sur le message et sur son effet.</w:t>
      </w:r>
    </w:p>
    <w:p>
      <w:pPr>
        <w:pStyle w:val="ArticleBody"/>
        <w:jc w:val="left"/>
      </w:pPr>
      <w:r>
        <w:rPr>
          <w:rFonts w:ascii="Times New Roman" w:hAnsi="Times New Roman" w:eastAsia="Times New Roman" w:cs="Times New Roman"/>
        </w:rPr>
        <w:t>Mose og Elia representerer begge dem som «hører» og «ser» «røsten», som er «Herrens ord». Dette «ordet» representerer hans karakter av miskunn og sannhet. Salmisten ber også om å få se Guds miskunn, som er hans karakter. For å se hans «miskunn» lover salmisten å «høre» hva Ånden sier til menighetene.</w:t>
      </w:r>
    </w:p>
    <w:p>
      <w:pPr>
        <w:pStyle w:val="ArticleScripture"/>
        <w:jc w:val="left"/>
      </w:pPr>
      <w:r>
        <w:rPr>
          <w:rFonts w:ascii="Nirmala UI" w:hAnsi="Nirmala UI" w:eastAsia="Nirmala UI" w:cs="Nirmala UI"/>
        </w:rPr>
        <w:t>অনুবাদক</w:t>
      </w:r>
      <w:r>
        <w:rPr>
          <w:rFonts w:ascii="Times New Roman" w:hAnsi="Times New Roman" w:eastAsia="Times New Roman" w:cs="Times New Roman"/>
        </w:rPr>
        <w:t>-</w:t>
      </w:r>
      <w:r>
        <w:rPr>
          <w:rFonts w:ascii="Nirmala UI" w:hAnsi="Nirmala UI" w:eastAsia="Nirmala UI" w:cs="Nirmala UI"/>
        </w:rPr>
        <w:t>প্রধানের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কোরহ</w:t>
      </w:r>
      <w:r>
        <w:rPr>
          <w:rFonts w:ascii="Times New Roman" w:hAnsi="Times New Roman" w:eastAsia="Times New Roman" w:cs="Times New Roman"/>
        </w:rPr>
        <w:t>-</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গীতসংহিতা।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প্রদর্শন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ফিরাইয়া</w:t>
      </w:r>
      <w:r>
        <w:rPr>
          <w:rFonts w:ascii="Times New Roman" w:hAnsi="Times New Roman" w:eastAsia="Times New Roman" w:cs="Times New Roman"/>
        </w:rPr>
        <w:t xml:space="preserve"> </w:t>
      </w:r>
      <w:r>
        <w:rPr>
          <w:rFonts w:ascii="Nirmala UI" w:hAnsi="Nirmala UI" w:eastAsia="Nirmala UI" w:cs="Nirmala UI"/>
        </w:rPr>
        <w:t>আনিয়াছ</w:t>
      </w:r>
      <w:r>
        <w:rPr>
          <w:rFonts w:ascii="Times New Roman" w:hAnsi="Times New Roman" w:eastAsia="Times New Roman" w:cs="Times New Roman"/>
        </w:rPr>
        <w:t xml:space="preserve"> [</w:t>
      </w:r>
      <w:r>
        <w:rPr>
          <w:rFonts w:ascii="Nirmala UI" w:hAnsi="Nirmala UI" w:eastAsia="Nirmala UI" w:cs="Nirmala UI"/>
        </w:rPr>
        <w:t>উলটাইয়া</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ক্ষমা</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আচ্ছাদিত</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সরাইয়া</w:t>
      </w:r>
      <w:r>
        <w:rPr>
          <w:rFonts w:ascii="Times New Roman" w:hAnsi="Times New Roman" w:eastAsia="Times New Roman" w:cs="Times New Roman"/>
        </w:rPr>
        <w:t xml:space="preserve"> </w:t>
      </w:r>
      <w:r>
        <w:rPr>
          <w:rFonts w:ascii="Nirmala UI" w:hAnsi="Nirmala UI" w:eastAsia="Nirmala UI" w:cs="Nirmala UI"/>
        </w:rPr>
        <w:t>লইয়াছ</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প্রজ্বলিত</w:t>
      </w:r>
      <w:r>
        <w:rPr>
          <w:rFonts w:ascii="Times New Roman" w:hAnsi="Times New Roman" w:eastAsia="Times New Roman" w:cs="Times New Roman"/>
        </w:rPr>
        <w:t xml:space="preserve"> </w:t>
      </w:r>
      <w:r>
        <w:rPr>
          <w:rFonts w:ascii="Nirmala UI" w:hAnsi="Nirmala UI" w:eastAsia="Nirmala UI" w:cs="Nirmala UI"/>
        </w:rPr>
        <w:t>রোষ</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আসিয়াছ।</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পরিত্রাণের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ফিরাইয়া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নিবৃত্ত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অনন্তকাল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ক্রুদ্ধ</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বংশপরম্পরার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দীর্ঘায়িত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প্রজারা</w:t>
      </w:r>
      <w:r>
        <w:rPr>
          <w:rFonts w:ascii="Times New Roman" w:hAnsi="Times New Roman" w:eastAsia="Times New Roman" w:cs="Times New Roman"/>
        </w:rPr>
        <w:t xml:space="preserve"> </w:t>
      </w:r>
      <w:r>
        <w:rPr>
          <w:rFonts w:ascii="Nirmala UI" w:hAnsi="Nirmala UI" w:eastAsia="Nirmala UI" w:cs="Nirmala UI"/>
        </w:rPr>
        <w:t>তোমাতেই</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প্রদর্শন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বলিবেন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সাধুগণের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শান্তির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বলিবেন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মূর্খতার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নিশ্চয়ই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অধিষ্ঠান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 xml:space="preserve"> </w:t>
      </w:r>
      <w:r>
        <w:rPr>
          <w:rFonts w:ascii="Nirmala UI" w:hAnsi="Nirmala UI" w:eastAsia="Nirmala UI" w:cs="Nirmala UI"/>
        </w:rPr>
        <w:t>মিলিত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 xml:space="preserve"> </w:t>
      </w:r>
      <w:r>
        <w:rPr>
          <w:rFonts w:ascii="Nirmala UI" w:hAnsi="Nirmala UI" w:eastAsia="Nirmala UI" w:cs="Nirmala UI"/>
        </w:rPr>
        <w:t>চুম্বন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উদগত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দৃষ্টিপাত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উত্তম</w:t>
      </w:r>
      <w:r>
        <w:rPr>
          <w:rFonts w:ascii="Times New Roman" w:hAnsi="Times New Roman" w:eastAsia="Times New Roman" w:cs="Times New Roman"/>
        </w:rPr>
        <w:t xml:space="preserve">, </w:t>
      </w:r>
      <w:r>
        <w:rPr>
          <w:rFonts w:ascii="Nirmala UI" w:hAnsi="Nirmala UI" w:eastAsia="Nirmala UI" w:cs="Nirmala UI"/>
        </w:rPr>
        <w:t>তাহাই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পদচিহ্নের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গীতসংহিতা</w:t>
      </w:r>
      <w:r>
        <w:rPr>
          <w:rFonts w:ascii="Times New Roman" w:hAnsi="Times New Roman" w:eastAsia="Times New Roman" w:cs="Times New Roman"/>
        </w:rPr>
        <w:t xml:space="preserve"> </w:t>
      </w:r>
      <w:r>
        <w:rPr>
          <w:rFonts w:ascii="Nirmala UI" w:hAnsi="Nirmala UI" w:eastAsia="Nirmala UI" w:cs="Nirmala UI"/>
        </w:rPr>
        <w:t>৮৫</w:t>
      </w:r>
      <w:r>
        <w:rPr>
          <w:rFonts w:ascii="Times New Roman" w:hAnsi="Times New Roman" w:eastAsia="Times New Roman" w:cs="Times New Roman"/>
        </w:rPr>
        <w:t>:</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১৩।</w:t>
      </w:r>
    </w:p>
    <w:p>
      <w:pPr>
        <w:pStyle w:val="ArticleBody"/>
        <w:jc w:val="left"/>
      </w:pPr>
      <w:r>
        <w:rPr>
          <w:rFonts w:ascii="Times New Roman" w:hAnsi="Times New Roman" w:eastAsia="Times New Roman" w:cs="Times New Roman"/>
        </w:rPr>
        <w:t>Observez que la « miséricorde et la vérité » (et « vérité » est le mot hébreu ‘emet’ auquel nous avons fait référence), qui produisent la justice et la paix, « se sont embrassées ». Elles sont unies. Le Psalmiste situe son cantique dans les derniers jours du jugement investigatif, lorsque Dieu a « pardonné l’iniquité de » Son « peuple ». La requête est que le Seigneur « ranime » son peuple.</w:t>
      </w:r>
    </w:p>
    <w:p>
      <w:pPr>
        <w:pStyle w:val="ArticleScripture"/>
        <w:jc w:val="left"/>
      </w:pPr>
      <w:r>
        <w:rPr>
          <w:rFonts w:ascii="Times New Roman" w:hAnsi="Times New Roman" w:eastAsia="Times New Roman" w:cs="Times New Roman"/>
        </w:rPr>
        <w:t>“Rfank aḍebbal d useggem yessefk ad d-yeḍru, ddaw n umeslay n Unfas Aẓidan. Arfank d useggem d sin n tɣawsiwin yemgaraden. Arfank yeskan-d asnulfu n tudert taruḥanit, asnerni n tezmar n wallaɣ d wul, tanekra seg lmut aruḥani. Aseggem yeskan-d asuddes n tikkelt-nniḍen, abeddel deg tiktiwin d tiẓriyin, deg yiɛdawen d tigawin. Aseggem ur d-yettawi ara afru iselhan n tṣeḍqit ma yella ur yeqqin ara akked urfank n Unfas. Arfank d useggem ilaq ad xedmen amahil-nsen yettusebden, u deg uxeddim-a ilaq ad mmesten.” Selected Messages, book 1, 128.</w:t>
      </w:r>
    </w:p>
    <w:p>
      <w:pPr>
        <w:pStyle w:val="ArticleBody"/>
        <w:jc w:val="left"/>
      </w:pPr>
      <w:r>
        <w:rPr>
          <w:rFonts w:ascii="Times New Roman" w:hAnsi="Times New Roman" w:eastAsia="Times New Roman" w:cs="Times New Roman"/>
        </w:rPr>
        <w:t>Le « réveil » que demande le Psalmiste révèle la supplication de quelqu’un qui sait qu’il est mort. Le réveil que demande le Psalmiste est une requête très difficile à formuler pour un Laodicéen, car un Laodicéen ne sait pas qu’il est spirituellement mort; mais s’il ne l’était pas, il n’aurait pas besoin d’être ramené à la vie. Le réveil s’accomplit en consentant à « entendre ce que Dieu, l’Éternel, dira », et aucune autre œuvre ne devrait précéder l’obtention assurée de ce réveil qui vient lorsque le Saint-Esprit demeure en nous.</w:t>
      </w:r>
    </w:p>
    <w:p>
      <w:pPr>
        <w:pStyle w:val="ArticleScripture"/>
        <w:jc w:val="left"/>
      </w:pPr>
      <w:r>
        <w:rPr>
          <w:rFonts w:ascii="Times New Roman" w:hAnsi="Times New Roman" w:eastAsia="Times New Roman" w:cs="Times New Roman"/>
        </w:rPr>
        <w:t>“Ɓeydital goonga e hulɓe Alla hakkunde amen woni ɓurɗo wonde mawɗo e ɓurɗo hurgɗo e kala coe men. Nyaagol ɗum foti waɗde golle amen arande.” Selected Messages, book 1, 121.</w:t>
      </w:r>
    </w:p>
    <w:p>
      <w:pPr>
        <w:pStyle w:val="ArticleBody"/>
        <w:jc w:val="left"/>
      </w:pPr>
      <w:r>
        <w:rPr>
          <w:rFonts w:ascii="Times New Roman" w:hAnsi="Times New Roman" w:eastAsia="Times New Roman" w:cs="Times New Roman"/>
        </w:rPr>
        <w:t>Apokalips liv tokbaot, sista Hwaet i talem olsem.</w:t>
      </w:r>
    </w:p>
    <w:p>
      <w:pPr>
        <w:pStyle w:val="ArticleScripture"/>
        <w:jc w:val="left"/>
      </w:pPr>
      <w:r>
        <w:rPr>
          <w:rFonts w:ascii="Times New Roman" w:hAnsi="Times New Roman" w:eastAsia="Times New Roman" w:cs="Times New Roman"/>
        </w:rPr>
        <w:t>«Lorsque nous, en tant que peuple, comprendrons ce que ce livre signifie pour nous, on verra parmi nous un grand réveil.» Testimonies to Ministers, 113.</w:t>
      </w:r>
    </w:p>
    <w:p>
      <w:pPr>
        <w:pStyle w:val="ArticleBody"/>
        <w:jc w:val="left"/>
      </w:pPr>
      <w:r>
        <w:rPr>
          <w:rFonts w:ascii="Times New Roman" w:hAnsi="Times New Roman" w:eastAsia="Times New Roman" w:cs="Times New Roman"/>
        </w:rPr>
        <w:t>Le mot « revival » se définit comme le fait de ramener à la vie. Ceux qui sont choisis pour être du nombre des cent quarante-quatre mille doivent d’abord reconnaître qu’ils sont morts et qu’ils ont besoin d’un réveil. Le fait que les cent quarante-quatre mille soient morts constitue un élément important du message qui est descellé juste avant la clôture du temps de grâce. Nous avons beaucoup plus à dire au sujet de cette vérité. Ce qui les ranime, c’est la « miséricorde » que Dieu leur accorde lorsqu’Il les « ranime » et leur donne Sa justice. Ce qui les ranime, c’est la vérité que Jésus est l’Alpha et l’Oméga, et cette compréhension produit en eux une « paix » qui surpasse toute intelligence. La promesse est que la « vérité » « germera de la terre ». Le message représenté comme la « vérité », qui est l’Alpha et l’Oméga, a son origine aux États-Unis, car il germe « de la terre ». Le message au commencement est venu des États-Unis, et le message à la fin surgit du même lieu.</w:t>
      </w:r>
    </w:p>
    <w:p>
      <w:pPr>
        <w:pStyle w:val="ArticleBody"/>
        <w:jc w:val="left"/>
      </w:pPr>
      <w:r>
        <w:rPr>
          <w:rFonts w:ascii="Times New Roman" w:hAnsi="Times New Roman" w:eastAsia="Times New Roman" w:cs="Times New Roman"/>
        </w:rPr>
        <w:t>Avèk kontèks kavèn Bondye yo kòm yon senbòl, n ap konsidere lòt pwofèt ki te nan yon kavèn senbolik. Jezi te idantifye Jan Batis kòm Eli, e Jan te nan prizon lè li te bezwen konnen si Jezi te Mesi ki gen pou vini an. Li te bezwen konnen vrè karaktè Jezi. Li te bezwen konnen si mesaj li te pwoklame a, ansanm ak mesaj Jezi te kontinye pwoklame a, se te vrè mesaj la. Li te voye disip li yo pou poze Jezi kesyon an, epi Jezi te pase sou kestyon yo a epi li te kontinye montre yo glwa Li.</w:t>
      </w:r>
    </w:p>
    <w:p>
      <w:pPr>
        <w:pStyle w:val="ArticleScripture"/>
        <w:jc w:val="left"/>
      </w:pPr>
      <w:r>
        <w:rPr>
          <w:rFonts w:ascii="Times New Roman" w:hAnsi="Times New Roman" w:eastAsia="Times New Roman" w:cs="Times New Roman"/>
        </w:rPr>
        <w:t>“</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দিনটি</w:t>
      </w:r>
      <w:r>
        <w:rPr>
          <w:rFonts w:ascii="Times New Roman" w:hAnsi="Times New Roman" w:eastAsia="Times New Roman" w:cs="Times New Roman"/>
        </w:rPr>
        <w:t xml:space="preserve"> </w:t>
      </w:r>
      <w:r>
        <w:rPr>
          <w:rFonts w:ascii="Nirmala UI" w:hAnsi="Nirmala UI" w:eastAsia="Nirmala UI" w:cs="Nirmala UI"/>
        </w:rPr>
        <w:t>কেটে</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সবই</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শুনল।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ডাকলেন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প্রত্যক্ষ</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যোহনকে</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যোগ</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w:t>
      </w:r>
      <w:r>
        <w:rPr>
          <w:rFonts w:ascii="Nirmala UI" w:hAnsi="Nirmala UI" w:eastAsia="Nirmala UI" w:cs="Nirmala UI"/>
        </w:rPr>
        <w:t>ধন্য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হোঁচট</w:t>
      </w:r>
      <w:r>
        <w:rPr>
          <w:rFonts w:ascii="Times New Roman" w:hAnsi="Times New Roman" w:eastAsia="Times New Roman" w:cs="Times New Roman"/>
        </w:rPr>
        <w:t xml:space="preserve"> </w:t>
      </w:r>
      <w:r>
        <w:rPr>
          <w:rFonts w:ascii="Nirmala UI" w:hAnsi="Nirmala UI" w:eastAsia="Nirmala UI" w:cs="Nirmala UI"/>
        </w:rPr>
        <w:t>খাওয়ার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7:23, R. V.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দৈবত্বের</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দুঃখভোগী</w:t>
      </w:r>
      <w:r>
        <w:rPr>
          <w:rFonts w:ascii="Times New Roman" w:hAnsi="Times New Roman" w:eastAsia="Times New Roman" w:cs="Times New Roman"/>
        </w:rPr>
        <w:t xml:space="preserve"> </w:t>
      </w:r>
      <w:r>
        <w:rPr>
          <w:rFonts w:ascii="Nirmala UI" w:hAnsi="Nirmala UI" w:eastAsia="Nirmala UI" w:cs="Nirmala UI"/>
        </w:rPr>
        <w:t>মানবতার</w:t>
      </w:r>
      <w:r>
        <w:rPr>
          <w:rFonts w:ascii="Times New Roman" w:hAnsi="Times New Roman" w:eastAsia="Times New Roman" w:cs="Times New Roman"/>
        </w:rPr>
        <w:t xml:space="preserve"> </w:t>
      </w:r>
      <w:r>
        <w:rPr>
          <w:rFonts w:ascii="Nirmala UI" w:hAnsi="Nirmala UI" w:eastAsia="Nirmala UI" w:cs="Nirmala UI"/>
        </w:rPr>
        <w:t>প্রয়োজনের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মানানসই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অবস্থার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অবতরণেই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mga alagad ang naghatid ng pabalita, at iyon ay sapat na. Naalaala ni Juan ang hula tungkol sa Mesiyas, ‘Pinahiran ako ng Panginoon upang ipangaral ang mabubuting balita sa maaamo; isinugo Niya ako upang magpagaling ng mga bagbag ang puso, upang magpahayag ng kalayaan sa mga bihag, at ng pagbubukas ng bilangguan sa mga nakagapos; upang ipahayag ang kalugud-lugod na taon ng Panginoon.’ Isaias 61:1, 2. Ang mga gawa ni Cristo ay hindi lamang nagpahayag na Siya nga ang Mesiyas, kundi ipinakita rin kung sa anong paraan itatatag ang Kaniyang kaharian. Kay Juan ay nahayag ang gayunding katotohanang dumating kay Elias sa ilang, nang ‘isang malaki at malakas na hangin ang humapak sa mga bundok, at nagdurog sa mga bato sa harap ng Panginoon; ngunit ang Panginoon ay wala sa hangin: at pagkatapos ng hangin ay isang lindol; ngunit ang Panginoon ay wala sa lindol: at pagkatapos ng lindol ay apoy; ngunit ang Panginoon ay wala sa apoy:’ at pagkatapos ng apoy, ang Diyos ay nangusap sa propeta sa pamamagitan ng ‘isang marahan at banayad na tinig.’ 1 Mga Hari 19:11, 12. Gayon gagawin ni Jesus ang Kaniyang gawain, hindi sa pamamagitan ng ingay ng mga sandata at ng pagbubuwal ng mga trono at mga kaharian, kundi sa pamamagitan ng pagsasalita sa mga puso ng mga tao sa pamamagitan ng isang buhay ng habag at pagsasakripisyo sa sarili.” Desire of Ages, 217.</w:t>
      </w:r>
    </w:p>
    <w:p>
      <w:pPr>
        <w:pStyle w:val="ArticleBody"/>
        <w:jc w:val="left"/>
      </w:pPr>
      <w:r>
        <w:rPr>
          <w:rFonts w:ascii="Times New Roman" w:hAnsi="Times New Roman" w:eastAsia="Times New Roman" w:cs="Times New Roman"/>
        </w:rPr>
        <w:t>Puissans Bondye transmet atraver Son Parol. I delivre ar “bann leker dimounn.” Sa ti leson “lavwa dou ek leze” la. Selman mesaz Eli li mesaz exteryer ki idantifie bann fors an deor pep Bondye. Kris ti pe dir Eli ki dan “bann dernye zour” se dan So parol mem ki pwisans trouve, me “sok bann lezarme ek ranversman bann tronn ek bann rwayom,” ki reprezant par van destriktif, tranbleman later ek dife, reprezant trwa bann fors exteryer ki dekrir dan liv Revelasyon ek ki pep Bondye pou bizin fer fas. “Van” destriktif la li enn simbol Lasanble Islam dan profesi biblik. “Tranbleman later” la se rebelyon ek lanarsi Lasanble Revolisyon Franse. “Dife” la se destriksion ki ti tonb lor Sodomm ek Gomorr. Eli ti finn sove depi pwisans papal pou ariv ziska kav la, alor Lasanble Segner ti revel ar li ki, malgre tou bann fors move ki form kriz la alafin lemonn, se dan lavwa dou ek leze mem ki bizin trouv pwisans Bondye.</w:t>
      </w:r>
    </w:p>
    <w:p>
      <w:pPr>
        <w:pStyle w:val="ArticleBody"/>
        <w:jc w:val="left"/>
      </w:pPr>
      <w:r>
        <w:rPr>
          <w:rFonts w:ascii="Times New Roman" w:hAnsi="Times New Roman" w:eastAsia="Times New Roman" w:cs="Times New Roman"/>
        </w:rPr>
        <w:t>Mose, Elija und Johannes der Täufer bezeugen allesamt, Gottes Charakter aus einer Höhle heraus geschaut zu haben. Die „Höhle“ ist das einzige Zeichen, das einem bösen und ehebrecherischen Geschlecht gegeben werden wird. Jesus sprach von dem „ehebrecherischen und bösen Geschlecht“, welches das Geschlecht der „letzten Tage“ des Untersuchungsgerichts ist. Das Zeichen für jenes Geschlecht war der Prophet Jona, der drei Tage in einer Höhle verbracht hatte – im Bauch eines Walfisches.</w:t>
      </w:r>
    </w:p>
    <w:p>
      <w:pPr>
        <w:pStyle w:val="ArticleScripture"/>
        <w:jc w:val="left"/>
      </w:pPr>
      <w:r>
        <w:rPr>
          <w:rFonts w:ascii="Times New Roman" w:hAnsi="Times New Roman" w:eastAsia="Times New Roman" w:cs="Times New Roman"/>
        </w:rPr>
        <w:t>Et quand les foules s’amassaient en grand nombre, il se mit à dire : Cette génération est une génération mauvaise ; elle demande un signe, et il ne lui sera donné d’autre signe que le signe de Jonas le prophète. Car, de même que Jonas fut un signe pour les Ninivites, de même aussi le Fils de l’homme en sera un pour cette génération. Luc 11:29, 30.</w:t>
      </w:r>
    </w:p>
    <w:p>
      <w:pPr>
        <w:pStyle w:val="ArticleBody"/>
        <w:jc w:val="left"/>
      </w:pPr>
      <w:r>
        <w:rPr>
          <w:rFonts w:ascii="Times New Roman" w:hAnsi="Times New Roman" w:eastAsia="Times New Roman" w:cs="Times New Roman"/>
        </w:rPr>
        <w:t>Jonas war drei Tage und drei Nächte im Bauch des Walfisches, wie auch Jesus drei Tage im Grab war. Jonas war ein Zeichen, und so ist es auch Jesus. Sie stellen das Zeichen der Auferstehung dar, die natürlich dem Tod folgt.</w:t>
      </w:r>
    </w:p>
    <w:p>
      <w:pPr>
        <w:pStyle w:val="ArticleScripture"/>
        <w:jc w:val="left"/>
      </w:pPr>
      <w:r>
        <w:rPr>
          <w:rFonts w:ascii="Times New Roman" w:hAnsi="Times New Roman" w:eastAsia="Times New Roman" w:cs="Times New Roman"/>
        </w:rPr>
        <w:t>Yeroo sanatti barreessitoota keessaa fi Fariisota keessaa tokko tokko deebisanii, “Yaa Barsiisaa, mallattoo si irraa arguu ni barbaanna” jedhan. Inni garuu deebisee ulfina isaanii akkana jedhe: “Dhaloonni hamaanii fi ejjitootni mallattoo barbaadu; mallattoon garuu isaaf hin kennamu, malee mallattoo Yoonaas raajichaa qofatu kennama. Akkuma Yoonaas guyyaa sadii fi halkan sadii garaa qurxummii guddaa keessa ture, Ilmi Namaas akkasuma guyyaa sadii fi halkan sadii garaa lafaa keessa ni ta’a. Namoonni Nanawwee murtiidhaan dhaloota kana wajjin ni ka’u, ni balleessus; sababni isaa isaan lallaba Yoonaasitti qalbii jijjiirratan; kunoo, kan Yoonaas caalu as jira.” Maatewos 12:38–41.</w:t>
      </w:r>
    </w:p>
    <w:p>
      <w:pPr>
        <w:pStyle w:val="ArticleBody"/>
        <w:jc w:val="left"/>
      </w:pPr>
      <w:r>
        <w:rPr>
          <w:rFonts w:ascii="Times New Roman" w:hAnsi="Times New Roman" w:eastAsia="Times New Roman" w:cs="Times New Roman"/>
        </w:rPr>
        <w:t>ئەگەر ئێمە بنەمای دووبارەبوونەوەی مێژوو تێبگەین، لەگەڵ ئەو ڕاستییەدا کە هەموو مێژووی پیرۆز کۆتایی جیهان نیشان دەدات، ئەوا مردن، ناشتن و زیندووبوونەوەی یۆنس و مەسیح «نیشانە»کەیە و هەروەها پەیامەکەشە بۆ گەلی خودا لە ئێستادا. کاتێک یۆنس لە ناو سکی ماهییە گەورەکەدا هاتە دەرەوە، ئەو پەیامەکەی ڕاگەیاند، هەروەک پەیامی زیندووبوونەوەی مەسیح دەستبەجێ ڕاگەیەنرا کاتێک فریشتەکە بەردەکەی لەسەر ئەو ئەشکەوتە لادایە کە مەسیحی تێدا بوو. ئەوانەی لەلایەن موسا، ئیلیا، یۆنس و مەسیحەوە نمایندگی دەکرێن، تەنها گەلەکەی خودا لە «ڕۆژانی دوا»دا هێما ناکەن، بەڵکو هەروەها ئەو پەیامەش هێما دەکەن کە هەر یەکێک لەوان پێشکەشی کرد.</w:t>
      </w:r>
    </w:p>
    <w:p>
      <w:pPr>
        <w:pStyle w:val="ArticleBody"/>
        <w:jc w:val="left"/>
      </w:pPr>
      <w:r>
        <w:rPr>
          <w:rFonts w:ascii="Times New Roman" w:hAnsi="Times New Roman" w:eastAsia="Times New Roman" w:cs="Times New Roman"/>
        </w:rPr>
        <w:t>Le signe de Jonas comprend l’expérience de la caverne, où se manifeste le caractère miséricordieux du Christ. La même miséricorde que Jésus a accordée à Élie fut accordée à Jonas alors qu’il fuyait la responsabilité de proclamer le message. Il y aurait beaucoup plus à dire au sujet de Jonas, mais d’autres points doivent maintenant être abordés.</w:t>
      </w:r>
    </w:p>
    <w:p>
      <w:pPr>
        <w:pStyle w:val="ArticleBody"/>
        <w:jc w:val="left"/>
      </w:pPr>
      <w:r>
        <w:rPr>
          <w:rFonts w:ascii="Times New Roman" w:hAnsi="Times New Roman" w:eastAsia="Times New Roman" w:cs="Times New Roman"/>
        </w:rPr>
        <w:t>Fð hula, millum annað, umboðar deyða og uppreisn. Sáttmálafólk Guds á hinum síðstu døgum er, á grundarlagi av mongum vitnum, eyðmerkt sum tey, ið hava verið deyð og síðani eru uppreist. Sjálvandi má ein kristin verða endurføddur fyri at síggja ríki Guds, og hetta umboðar deyðan hjá gamla holdsliga menniskjanum, men profetiskt merkir tað meir. Tað talar um ein boðskap, ið verður steðgaður á síni leið. Elia helt uppat at boða boðskapin, Jónas flýddi undan at boða boðskapin. Jóhannes varð varpaður í fongsul og tikin av døgum. Jesus varð krossfestur.</w:t>
      </w:r>
    </w:p>
    <w:p>
      <w:pPr>
        <w:pStyle w:val="ArticleBody"/>
        <w:jc w:val="left"/>
      </w:pPr>
      <w:r>
        <w:rPr>
          <w:rFonts w:ascii="Times New Roman" w:hAnsi="Times New Roman" w:eastAsia="Times New Roman" w:cs="Times New Roman"/>
        </w:rPr>
        <w:t>Jonahin merkki ei siis koske ainoastaan kuolemaa ja ylösnousemusta, vaan sanoman kuolemaa ja ylösnousemusta; ja kaikki Jumalan sanassa esikuvallisesti kuvatut sanomat edustavat sitä viimeistä varoitussanomaa, jonka Isä antoi Jeesukselle, joka sitten antoi sen Gabrielille, joka sitten antoi sen profeetalle, joka sitten kirjoitti sen ja lähetti sen seurakunnille. Jumala oli valmis lopettamaan sanoman ja aloittamaan alusta Mooseksen luolakokemuksessa. Elia päätti työnsä sanansaattajana ja pakeni luolaan. Joona pakeni Tarsiiseen. Johannes Kastaja murhattiin, samoin Jeesus. Kaikki nämä todistukset on tuotava Ilmestyskirjaan ja sovitettava keskenään yhteen. Daniel ja Ilmestyskirja ovat kaksi kirjaa, mutta ”Jeesuksen todistus” osoittaa, että ne ovat myös yksi kirja. Niillä on samat tunnusmerkit kuin Raamatulla. Kaksi kirjaa, jotka muodostavat yhden kirjan, ja kaksi kirjoittajaa, jotka edustavat kahta todistajaa.</w:t>
      </w:r>
    </w:p>
    <w:p>
      <w:pPr>
        <w:pStyle w:val="ArticleBody"/>
        <w:jc w:val="left"/>
      </w:pPr>
      <w:r>
        <w:rPr>
          <w:rFonts w:ascii="Times New Roman" w:hAnsi="Times New Roman" w:eastAsia="Times New Roman" w:cs="Times New Roman"/>
        </w:rPr>
        <w:t>دانیال، اسیرِ بابل و سپس ماد-فارس، هنگامی که به چاهِ شیران افکنده شد، به‌طور نمادین مرد. یونس هنگامی که به‌وسیلهٔ نهنگ بلعیده شد، به‌طور نمادین مرد. یوحنای مکاشفه‌کننده هنگامی که در روغنِ جوشان افکنده شد، به‌طور نمادین مرد. ویلیام میلر مرد، اما این وعده را دارد که فرشتگان در کنار قبر او برای قیامِ عادلان انتظار می‌کشند. خدمتِ Future for America در ۱۸ ژوئیهٔ ۲۰۲۰ به‌طور نمادین مرد.</w:t>
      </w:r>
    </w:p>
    <w:p>
      <w:pPr>
        <w:pStyle w:val="ArticleBody"/>
        <w:jc w:val="left"/>
      </w:pPr>
      <w:r>
        <w:rPr>
          <w:rFonts w:ascii="Times New Roman" w:hAnsi="Times New Roman" w:eastAsia="Times New Roman" w:cs="Times New Roman"/>
        </w:rPr>
        <w:t>Lağwâta tăhîrta tettetwa di s-siyâq n ufeččel n tezmert tibbabit i twelled l-jerḥa n l-mawt-is. Aseḥlu n l-jerḥa d asentel usdid n yixfawen wis kraḍ d wis mraw n Revelation. Mi tettuṣeḥla l-jerḥa n l-mawt, tibbabit i d-yennekran ad tili d tagelda tam n tmettelt deg yixef wis mraw n Revelation. Tettwassemgared d tam, yebɣa ad yini seg seven. Tam d azamul n tnekra, acku taǧǧalt, d asekkil n wassaɣ n lɛehd, tella tettwaselkam deg wass wis tam anda d-ilul aqcic amalay. Amsiḍen-agi yettwabeddel s lmaɛmudiyya deg l-izliḥ akristyan, yerna lmaɛmudiyya tettwasegza tamsalt n lmawt, anẓar, d tnekra n l-Mesiḥ. L-Mesiḥ yenekra deg wass i d-iteddun deffir n wass wis sa. Ihi, deg tneccabin n nnubuwa, yenekra deg wass wis tam. Deffir n wacḥal n iseggasen n usgunfu, tamurt i yettwaxedmen d tazegzawt tettuṣekker-d deg millennium wis tam.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Avenir pour l’Amérique et le 18 juillet 2020 - Numéro Un</dc:title>
  <dc:subject>غارنشینانِ عهد: موسیٰ اور ایلیاہ دنیا کے اختتام پر</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