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L’avenir de l’Amérique et le 18 juillet 2020 - Numéro deux</w:t>
      </w:r>
    </w:p>
    <w:p>
      <w:pPr>
        <w:pStyle w:val="ArticleSubtitle"/>
        <w:jc w:val="left"/>
      </w:pPr>
      <w:r>
        <w:rPr>
          <w:rFonts w:ascii="Arial" w:hAnsi="Arial" w:eastAsia="Arial" w:cs="Arial"/>
        </w:rPr>
        <w:t>Manger le message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Cháu kám hmang loh hian, “He lehkhabu hrilhlâwk thu sawina te hi seal suh” tih thupêk chu pe a ni.</w:t>
      </w:r>
    </w:p>
    <w:p>
      <w:pPr>
        <w:pStyle w:val="ArticleScripture"/>
        <w:jc w:val="left"/>
      </w:pPr>
      <w:r>
        <w:rPr>
          <w:rFonts w:ascii="Times New Roman" w:hAnsi="Times New Roman" w:eastAsia="Times New Roman" w:cs="Times New Roman"/>
        </w:rPr>
        <w:t>Kai saith unto mi, “No sealim olketa sayings bilong disfala prophecy bilong disfala buk: for taem hem klosap finis. Hem wea no just, letem hem remain no just yet: and hem wea hem filthy, letem hem remain filthy yet: and hem wea hem righteous, letem hem remain righteous yet: and hem wea hem holy, letem hem remain holy yet.” Revelation 22:10, 11.</w:t>
      </w:r>
    </w:p>
    <w:p>
      <w:pPr>
        <w:pStyle w:val="ArticleBody"/>
        <w:jc w:val="left"/>
      </w:pPr>
      <w:r>
        <w:rPr>
          <w:rFonts w:ascii="Times New Roman" w:hAnsi="Times New Roman" w:eastAsia="Times New Roman" w:cs="Times New Roman"/>
        </w:rPr>
        <w:t>Mu ntangiriro ya gatanu y’Ibyahishuwe, Imana Data yicaye ku ntebe yayo y’ubwami kandi mu kuboko kwayo ifite igitabo gifatanyishijwe ibimenyetso birindwi.</w:t>
      </w:r>
    </w:p>
    <w:p>
      <w:pPr>
        <w:pStyle w:val="ArticleScripture"/>
        <w:jc w:val="left"/>
      </w:pPr>
      <w:r>
        <w:rPr>
          <w:rFonts w:ascii="Times New Roman" w:hAnsi="Times New Roman" w:eastAsia="Times New Roman" w:cs="Times New Roman"/>
        </w:rPr>
        <w:t>Na mbona katika mkono wa kuume wake yeye aliyeketi juu ya kiti cha enzi kitabu kilichoandikwa ndani na nyuma, kilichotiwa muhuri kwa mihuri saba. Ufunuo 5:1.</w:t>
      </w:r>
    </w:p>
    <w:p>
      <w:pPr>
        <w:pStyle w:val="ArticleBody"/>
        <w:jc w:val="left"/>
      </w:pPr>
      <w:r>
        <w:rPr>
          <w:rFonts w:ascii="Times New Roman" w:hAnsi="Times New Roman" w:eastAsia="Times New Roman" w:cs="Times New Roman"/>
        </w:rPr>
        <w:t>Puisque le récit, à partir du verset un, se poursuit jusqu’au chapitre sept, nous constatons que Jésus, représenté comme le Lion de la tribu de Juda, est Celui qui prend le livre de la main de son Père et commence à en ouvrir progressivement les sceaux. Lorsqu’Il ouvre le sixième sceau et présente le message représenté par ce sceau, le chapitre six prend fin. Il s’achève par une question qui mène au chapitre sept, où nous trouvons la réponse à la question soulevée dans le dernier verset du chapitre six.</w:t>
      </w:r>
    </w:p>
    <w:p>
      <w:pPr>
        <w:pStyle w:val="ArticleScripture"/>
        <w:jc w:val="left"/>
      </w:pPr>
      <w:r>
        <w:rPr>
          <w:rFonts w:ascii="Times New Roman" w:hAnsi="Times New Roman" w:eastAsia="Times New Roman" w:cs="Times New Roman"/>
        </w:rPr>
        <w:t>Car le grand jour de sa colère est venu; et qui pourra subsister? Apocalypse 6:17.</w:t>
      </w:r>
    </w:p>
    <w:p>
      <w:pPr>
        <w:pStyle w:val="ArticleBody"/>
        <w:jc w:val="left"/>
      </w:pPr>
      <w:r>
        <w:rPr>
          <w:rFonts w:ascii="Times New Roman" w:hAnsi="Times New Roman" w:eastAsia="Times New Roman" w:cs="Times New Roman"/>
        </w:rPr>
        <w:t>Le chapitre sept présente les cent quarante-quatre mille et la « grande multitude ». Après que le peuple de Dieu est présenté au chapitre sept, nous voyons ensuite le septième et dernier des sceaux être ôté. La seule autre prophétie, dans le livre de l’Apocalypse, qui ait été scellée, est celle des sept tonnerres du chapitre dix. Le point essentiel est simple : la seule prophétie du livre de l’Apocalypse qui soit scellée et qui puisse être descellée avant la fin du temps de grâce, c’est celle des « sept tonnerres ».</w:t>
      </w:r>
    </w:p>
    <w:p>
      <w:pPr>
        <w:pStyle w:val="ArticleBody"/>
        <w:jc w:val="left"/>
      </w:pPr>
      <w:r>
        <w:rPr>
          <w:rFonts w:ascii="Times New Roman" w:hAnsi="Times New Roman" w:eastAsia="Times New Roman" w:cs="Times New Roman"/>
        </w:rPr>
        <w:t>Pendant des années, voire des décennies, Future for America a identifié ce que représentent les « sept tonnerres ». Les « sept tonnerres » représentent l’histoire du mouvement millérite depuis le 11 août 1840 jusqu’au 22 octobre 1844. Sœur White confirme ce fait et ajoute que les « sept tonnerres » représentent également des « événements futurs qui seront révélés dans leur ordre ». Une présentation détaillée de ces faits se trouve dans Habakkuk’s Tables, pour tous ceux qui ne sont pas familiers avec ces réalités prophétiques.</w:t>
      </w:r>
    </w:p>
    <w:p>
      <w:pPr>
        <w:pStyle w:val="ArticleBody"/>
        <w:jc w:val="left"/>
      </w:pPr>
      <w:r>
        <w:rPr>
          <w:rFonts w:ascii="Times New Roman" w:hAnsi="Times New Roman" w:eastAsia="Times New Roman" w:cs="Times New Roman"/>
        </w:rPr>
        <w:t>La vérité concernant les sept tonnerres qui a été présentée dans le passé demeure la vérité, mais depuis le mois d’août de cette année, le Seigneur a retiré Sa main de ces sujets, et une compréhension plus grande a été révélée. Nous commencerons par le chapitre dix de l’Apocalypse, puis nous considérerons le commentaire de Sœur White sur ce chapitre. Avant de le faire, nous devons identifier deux points sans rapport avec l’examen des sept tonnerres.</w:t>
      </w:r>
    </w:p>
    <w:p>
      <w:pPr>
        <w:pStyle w:val="ArticleBody"/>
        <w:jc w:val="left"/>
      </w:pPr>
      <w:r>
        <w:rPr>
          <w:rFonts w:ascii="Times New Roman" w:hAnsi="Times New Roman" w:eastAsia="Times New Roman" w:cs="Times New Roman"/>
        </w:rPr>
        <w:t>Premye pwen an se ke idantifikasyon verite sèt loraj yo, ki kounye a vin devwale, mande plizyè liy verite pou mete tout sa sèt loraj yo reprezante an plas. Isit la, mwen lapriyè, se pasyans sen yo. Dezyèm pwen ki lye ak sa a se ke pwogram ki pwodui prezantasyon odyo atik sa yo genyen yon limit sou kantite tan li ka li ak pale. Chak atik dwe antre andedan peryòd tan sa a. Depi nan kòmansman etid sa a, m ap fè nou konnen ke li pral mande kèk atik pou tabli verite sèt loraj yo reprezante a. Kounye a, ann ale nan chapit dis la.</w:t>
      </w:r>
    </w:p>
    <w:p>
      <w:pPr>
        <w:pStyle w:val="ArticleScripture"/>
        <w:jc w:val="left"/>
      </w:pPr>
      <w:r>
        <w:rPr>
          <w:rFonts w:ascii="Times New Roman" w:hAnsi="Times New Roman" w:eastAsia="Times New Roman" w:cs="Times New Roman"/>
        </w:rPr>
        <w:t>Et je vis un autre ange puissant descendre du ciel, enveloppé d’une nuée ; un arc-en-ciel était sur sa tête, et son visage était comme le soleil, et ses pieds comme des colonnes de feu. Il tenait dans sa main un petit livre ouvert ; et il posa son pied droit sur la mer, et son pied gauche sur la terre, et il cria d’une voix forte, comme rugit un lion ; et quand il eut crié, les sept tonnerres firent entendre leurs voix. Et lorsque les sept tonnerres eurent fait entendre leurs voix, j’allais écrire ; mais j’entendis du ciel une voix qui me disait : Scelle ce qu’ont dit les sept tonnerres, et ne l’écris pas. Et l’ange que j’avais vu se tenir sur la mer et sur la terre leva sa main vers le ciel, et jura par Celui qui vit aux siècles des siècles, qui a créé le ciel et les choses qui y sont, et la terre et les choses qui y sont, et la mer et les choses qui y sont, qu’il n’y aurait plus de délai ; mais qu’aux jours de la voix du septième ange, quand il sonnerait de la trompette, le mystère de Dieu s’accomplirait, comme il l’a annoncé à ses serviteurs, les prophètes. Et la voix que j’avais entendue du ciel me parla de nouveau, et dit : Va, prends le petit livre ouvert dans la main de l’ange qui se tient sur la mer et sur la terre. J’allai donc vers l’ange, en lui disant : Donne-moi le petit livre. Et il me dit : Prends-le, et dévore-le ; il remplira d’amertume tes entrailles, mais dans ta bouche il sera doux comme du miel. Je pris le petit livre de la main de l’ange, et je le dévorai ; il fut dans ma bouche doux comme du miel ; mais quand je l’eus mangé, mes entrailles furent remplies d’amertume. Puis il me dit : Il faut que tu prophétises de nouveau au sujet de beaucoup de peuples, de nations, de langues et de rois. Apocalypse 10:1–11.</w:t>
      </w:r>
    </w:p>
    <w:p>
      <w:pPr>
        <w:pStyle w:val="ArticleBody"/>
        <w:jc w:val="left"/>
      </w:pPr>
      <w:r>
        <w:rPr>
          <w:rFonts w:ascii="Times New Roman" w:hAnsi="Times New Roman" w:eastAsia="Times New Roman" w:cs="Times New Roman"/>
        </w:rPr>
        <w:t>Fit la mhini un commentaire zournal, Sœur White déclare :</w:t>
      </w:r>
    </w:p>
    <w:p>
      <w:pPr>
        <w:pStyle w:val="ArticleScripture"/>
        <w:jc w:val="left"/>
      </w:pPr>
      <w:r>
        <w:rPr>
          <w:rFonts w:ascii="Times New Roman" w:hAnsi="Times New Roman" w:eastAsia="Times New Roman" w:cs="Times New Roman"/>
        </w:rPr>
        <w:t>«Malakhotla ea matla ea ileng a laela Johanne e ne e se e mong ha e se Jesu Kreste. Ho beha leoto la Hae le letona holim’a leoatle, le la Hae le letšehali holim’a naha e ommeng, ho bontša karolo eo A e phethang liketsahalong tsa ho qetela tsa ntoa e kholo le Satane. Boemo bona bo supa matla le borena ba Hae bo phahameng ka ho fetisisa holim’a lefatše lohle. Ntoa ena e ’nile ea eketseha ka matla le ka tieo ho tloha mehleng e meng ho ea ho e meng, ’me e tla tsoela pele ho etsa joalo, ho isa liketsahalong tsa ho qetela, ha tšebetso e bohlale ea matla a lefifi e tla fihla tlhōrōng ea eona. Satane, a kopane le batho ba khopo, o tla thetsa lefatše lohle le likereke tse sa amoheleng lerato la ’nete. Empa malakhotla eo ea matla o batla hore ho eloe hloko. O hoeletsa ka lentsoe le phahameng. O tshwanetse ho bontša matla le borena ba lentsoe la Hae ho bao ba ikopantseng le Satane ho hanyetsa ’nete.»</w:t>
      </w:r>
    </w:p>
    <w:p>
      <w:pPr>
        <w:pStyle w:val="ArticleScripture"/>
        <w:jc w:val="left"/>
      </w:pP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भावी</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यथोचित</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 livre de Daniel et l’Apocalypse ne font qu’un. L’un est une prophétie, l’autre une révélation; l’un est un livre scellé, l’autre un livre ouvert. Jean entendit les mystères que les tonnerres firent entendre, mais il lui fut ordonné de ne pas les écrire.</w:t>
      </w:r>
    </w:p>
    <w:p>
      <w:pPr>
        <w:pStyle w:val="ArticleScripture"/>
        <w:jc w:val="left"/>
      </w:pPr>
      <w:r>
        <w:rPr>
          <w:rFonts w:ascii="Times New Roman" w:hAnsi="Times New Roman" w:eastAsia="Times New Roman" w:cs="Times New Roman"/>
        </w:rPr>
        <w:t>جان کو دیا گیا وہ خاص نور، جو سات گرجوں میں ظاہر کیا گیا تھا، اُن واقعات کی نقشہ کشی تھا جو پہلے اور دوسرے فرشتے کے پیغامات کے تحت وقوع پذیر ہونے والے تھے۔ لوگوں کے لیے اِن باتوں کو جاننا بہتر نہ تھا، کیونکہ اُن کے ایمان کا لازماً امتحان ہونا تھا۔ خدا کے انتظام میں نہایت عجیب اور اعلیٰ درجے کی سچائیاں منادی کی جانے والی تھیں۔ پہلے اور دوسرے فرشتے کے پیغامات کی منادی ہونی تھی، لیکن اِن پیغامات کے اپنے مخصوص کام کو پورا کر لینے سے پہلے مزید کوئی نور ظاہر نہ کیا جانا تھا۔ اسی کی نمائندگی اُس فرشتے سے ہوتی ہے جو ایک پاؤں سمندر پر رکھے کھڑا ہے اور نہایت پُرسنجیدہ قسم کے ساتھ یہ اعلان کرتا ہے کہ اب وقت نہ رہے گا۔” The Seventh-day Adventist Bible Commentary, volume 7, 971.</w:t>
      </w:r>
    </w:p>
    <w:p>
      <w:pPr>
        <w:pStyle w:val="ArticleBody"/>
        <w:jc w:val="left"/>
      </w:pPr>
      <w:r>
        <w:rPr>
          <w:rFonts w:ascii="Nirmala UI" w:hAnsi="Nirmala UI" w:eastAsia="Nirmala UI" w:cs="Nirmala UI"/>
        </w:rPr>
        <w:t>देववाणी</w:t>
      </w:r>
      <w:r>
        <w:rPr>
          <w:rFonts w:ascii="Times New Roman" w:hAnsi="Times New Roman" w:eastAsia="Times New Roman" w:cs="Times New Roman"/>
        </w:rPr>
        <w:t xml:space="preserve"> </w:t>
      </w:r>
      <w:r>
        <w:rPr>
          <w:rFonts w:ascii="Nirmala UI" w:hAnsi="Nirmala UI" w:eastAsia="Nirmala UI" w:cs="Nirmala UI"/>
        </w:rPr>
        <w:t>करणारा</w:t>
      </w:r>
      <w:r>
        <w:rPr>
          <w:rFonts w:ascii="Times New Roman" w:hAnsi="Times New Roman" w:eastAsia="Times New Roman" w:cs="Times New Roman"/>
        </w:rPr>
        <w:t xml:space="preserve"> “</w:t>
      </w:r>
      <w:r>
        <w:rPr>
          <w:rFonts w:ascii="Nirmala UI" w:hAnsi="Nirmala UI" w:eastAsia="Nirmala UI" w:cs="Nirmala UI"/>
        </w:rPr>
        <w:t>सामर्थ्यवान</w:t>
      </w:r>
      <w:r>
        <w:rPr>
          <w:rFonts w:ascii="Times New Roman" w:hAnsi="Times New Roman" w:eastAsia="Times New Roman" w:cs="Times New Roman"/>
        </w:rPr>
        <w:t xml:space="preserve"> </w:t>
      </w:r>
      <w:r>
        <w:rPr>
          <w:rFonts w:ascii="Nirmala UI" w:hAnsi="Nirmala UI" w:eastAsia="Nirmala UI" w:cs="Nirmala UI"/>
        </w:rPr>
        <w:t>देवदूत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11 </w:t>
      </w:r>
      <w:r>
        <w:rPr>
          <w:rFonts w:ascii="Nirmala UI" w:hAnsi="Nirmala UI" w:eastAsia="Nirmala UI" w:cs="Nirmala UI"/>
        </w:rPr>
        <w:t>ऑगस्ट</w:t>
      </w:r>
      <w:r>
        <w:rPr>
          <w:rFonts w:ascii="Times New Roman" w:hAnsi="Times New Roman" w:eastAsia="Times New Roman" w:cs="Times New Roman"/>
        </w:rPr>
        <w:t xml:space="preserve">, 1840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उतरला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ख्रिस्त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हातात</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योहानाला</w:t>
      </w:r>
      <w:r>
        <w:rPr>
          <w:rFonts w:ascii="Times New Roman" w:hAnsi="Times New Roman" w:eastAsia="Times New Roman" w:cs="Times New Roman"/>
        </w:rPr>
        <w:t xml:space="preserve"> </w:t>
      </w:r>
      <w:r>
        <w:rPr>
          <w:rFonts w:ascii="Nirmala UI" w:hAnsi="Nirmala UI" w:eastAsia="Nirmala UI" w:cs="Nirmala UI"/>
        </w:rPr>
        <w:t>खाण्यास</w:t>
      </w:r>
      <w:r>
        <w:rPr>
          <w:rFonts w:ascii="Times New Roman" w:hAnsi="Times New Roman" w:eastAsia="Times New Roman" w:cs="Times New Roman"/>
        </w:rPr>
        <w:t xml:space="preserve"> </w:t>
      </w:r>
      <w:r>
        <w:rPr>
          <w:rFonts w:ascii="Nirmala UI" w:hAnsi="Nirmala UI" w:eastAsia="Nirmala UI" w:cs="Nirmala UI"/>
        </w:rPr>
        <w:t>सांगण्यात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खाल्ले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स्पष्टपणे</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लोकांकडे</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जाणार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जगाकडे</w:t>
      </w:r>
      <w:r>
        <w:rPr>
          <w:rFonts w:ascii="Times New Roman" w:hAnsi="Times New Roman" w:eastAsia="Times New Roman" w:cs="Times New Roman"/>
        </w:rPr>
        <w:t xml:space="preserve"> </w:t>
      </w:r>
      <w:r>
        <w:rPr>
          <w:rFonts w:ascii="Nirmala UI" w:hAnsi="Nirmala UI" w:eastAsia="Nirmala UI" w:cs="Nirmala UI"/>
        </w:rPr>
        <w:t>नव्हे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उताऱ्यात</w:t>
      </w:r>
      <w:r>
        <w:rPr>
          <w:rFonts w:ascii="Times New Roman" w:hAnsi="Times New Roman" w:eastAsia="Times New Roman" w:cs="Times New Roman"/>
        </w:rPr>
        <w:t xml:space="preserve"> </w:t>
      </w:r>
      <w:r>
        <w:rPr>
          <w:rFonts w:ascii="Nirmala UI" w:hAnsi="Nirmala UI" w:eastAsia="Nirmala UI" w:cs="Nirmala UI"/>
        </w:rPr>
        <w:t>लक्ष्यित</w:t>
      </w:r>
      <w:r>
        <w:rPr>
          <w:rFonts w:ascii="Times New Roman" w:hAnsi="Times New Roman" w:eastAsia="Times New Roman" w:cs="Times New Roman"/>
        </w:rPr>
        <w:t xml:space="preserve"> </w:t>
      </w:r>
      <w:r>
        <w:rPr>
          <w:rFonts w:ascii="Nirmala UI" w:hAnsi="Nirmala UI" w:eastAsia="Nirmala UI" w:cs="Nirmala UI"/>
        </w:rPr>
        <w:t>श्रोते</w:t>
      </w:r>
      <w:r>
        <w:rPr>
          <w:rFonts w:ascii="Times New Roman" w:hAnsi="Times New Roman" w:eastAsia="Times New Roman" w:cs="Times New Roman"/>
        </w:rPr>
        <w:t xml:space="preserve"> </w:t>
      </w:r>
      <w:r>
        <w:rPr>
          <w:rFonts w:ascii="Nirmala UI" w:hAnsi="Nirmala UI" w:eastAsia="Nirmala UI" w:cs="Nirmala UI"/>
        </w:rPr>
        <w:t>कोण</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ओळखणे</w:t>
      </w:r>
      <w:r>
        <w:rPr>
          <w:rFonts w:ascii="Times New Roman" w:hAnsi="Times New Roman" w:eastAsia="Times New Roman" w:cs="Times New Roman"/>
        </w:rPr>
        <w:t xml:space="preserve"> </w:t>
      </w:r>
      <w:r>
        <w:rPr>
          <w:rFonts w:ascii="Nirmala UI" w:hAnsi="Nirmala UI" w:eastAsia="Nirmala UI" w:cs="Nirmala UI"/>
        </w:rPr>
        <w:t>महत्त्वाचे</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ख्रिस्त</w:t>
      </w:r>
      <w:r>
        <w:rPr>
          <w:rFonts w:ascii="Times New Roman" w:hAnsi="Times New Roman" w:eastAsia="Times New Roman" w:cs="Times New Roman"/>
        </w:rPr>
        <w:t xml:space="preserve"> 11 </w:t>
      </w:r>
      <w:r>
        <w:rPr>
          <w:rFonts w:ascii="Nirmala UI" w:hAnsi="Nirmala UI" w:eastAsia="Nirmala UI" w:cs="Nirmala UI"/>
        </w:rPr>
        <w:t>ऑगस्ट</w:t>
      </w:r>
      <w:r>
        <w:rPr>
          <w:rFonts w:ascii="Times New Roman" w:hAnsi="Times New Roman" w:eastAsia="Times New Roman" w:cs="Times New Roman"/>
        </w:rPr>
        <w:t xml:space="preserve">, 1840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उतरला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त्यामुळे</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देवदूताच्या</w:t>
      </w:r>
      <w:r>
        <w:rPr>
          <w:rFonts w:ascii="Times New Roman" w:hAnsi="Times New Roman" w:eastAsia="Times New Roman" w:cs="Times New Roman"/>
        </w:rPr>
        <w:t xml:space="preserve"> </w:t>
      </w:r>
      <w:r>
        <w:rPr>
          <w:rFonts w:ascii="Nirmala UI" w:hAnsi="Nirmala UI" w:eastAsia="Nirmala UI" w:cs="Nirmala UI"/>
        </w:rPr>
        <w:t>संदेशाच्या</w:t>
      </w:r>
      <w:r>
        <w:rPr>
          <w:rFonts w:ascii="Times New Roman" w:hAnsi="Times New Roman" w:eastAsia="Times New Roman" w:cs="Times New Roman"/>
        </w:rPr>
        <w:t xml:space="preserve"> </w:t>
      </w:r>
      <w:r>
        <w:rPr>
          <w:rFonts w:ascii="Nirmala UI" w:hAnsi="Nirmala UI" w:eastAsia="Nirmala UI" w:cs="Nirmala UI"/>
        </w:rPr>
        <w:t>सामर्थ्यप्राप्तीची</w:t>
      </w:r>
      <w:r>
        <w:rPr>
          <w:rFonts w:ascii="Times New Roman" w:hAnsi="Times New Roman" w:eastAsia="Times New Roman" w:cs="Times New Roman"/>
        </w:rPr>
        <w:t xml:space="preserve"> </w:t>
      </w:r>
      <w:r>
        <w:rPr>
          <w:rFonts w:ascii="Nirmala UI" w:hAnsi="Nirmala UI" w:eastAsia="Nirmala UI" w:cs="Nirmala UI"/>
        </w:rPr>
        <w:t>खूण</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देवदूताचा</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संपूर्ण</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केव्हा</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जाईल</w:t>
      </w:r>
      <w:r>
        <w:rPr>
          <w:rFonts w:ascii="Times New Roman" w:hAnsi="Times New Roman" w:eastAsia="Times New Roman" w:cs="Times New Roman"/>
        </w:rPr>
        <w:t xml:space="preserve">, </w:t>
      </w:r>
      <w:r>
        <w:rPr>
          <w:rFonts w:ascii="Nirmala UI" w:hAnsi="Nirmala UI" w:eastAsia="Nirmala UI" w:cs="Nirmala UI"/>
        </w:rPr>
        <w:t>हेही</w:t>
      </w:r>
      <w:r>
        <w:rPr>
          <w:rFonts w:ascii="Times New Roman" w:hAnsi="Times New Roman" w:eastAsia="Times New Roman" w:cs="Times New Roman"/>
        </w:rPr>
        <w:t xml:space="preserve"> </w:t>
      </w:r>
      <w:r>
        <w:rPr>
          <w:rFonts w:ascii="Nirmala UI" w:hAnsi="Nirmala UI" w:eastAsia="Nirmala UI" w:cs="Nirmala UI"/>
        </w:rPr>
        <w:t>त्यातून</w:t>
      </w:r>
      <w:r>
        <w:rPr>
          <w:rFonts w:ascii="Times New Roman" w:hAnsi="Times New Roman" w:eastAsia="Times New Roman" w:cs="Times New Roman"/>
        </w:rPr>
        <w:t xml:space="preserve"> </w:t>
      </w:r>
      <w:r>
        <w:rPr>
          <w:rFonts w:ascii="Nirmala UI" w:hAnsi="Nirmala UI" w:eastAsia="Nirmala UI" w:cs="Nirmala UI"/>
        </w:rPr>
        <w:t>ओळखले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खाण्यासाठी</w:t>
      </w:r>
      <w:r>
        <w:rPr>
          <w:rFonts w:ascii="Times New Roman" w:hAnsi="Times New Roman" w:eastAsia="Times New Roman" w:cs="Times New Roman"/>
        </w:rPr>
        <w:t xml:space="preserve"> </w:t>
      </w:r>
      <w:r>
        <w:rPr>
          <w:rFonts w:ascii="Nirmala UI" w:hAnsi="Nirmala UI" w:eastAsia="Nirmala UI" w:cs="Nirmala UI"/>
        </w:rPr>
        <w:t>असलेले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दर्शविते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प्रोटेस्टंटवादाने</w:t>
      </w:r>
      <w:r>
        <w:rPr>
          <w:rFonts w:ascii="Times New Roman" w:hAnsi="Times New Roman" w:eastAsia="Times New Roman" w:cs="Times New Roman"/>
        </w:rPr>
        <w:t xml:space="preserve"> </w:t>
      </w:r>
      <w:r>
        <w:rPr>
          <w:rFonts w:ascii="Nirmala UI" w:hAnsi="Nirmala UI" w:eastAsia="Nirmala UI" w:cs="Nirmala UI"/>
        </w:rPr>
        <w:t>प्रोटेस्टंटवादाची</w:t>
      </w:r>
      <w:r>
        <w:rPr>
          <w:rFonts w:ascii="Times New Roman" w:hAnsi="Times New Roman" w:eastAsia="Times New Roman" w:cs="Times New Roman"/>
        </w:rPr>
        <w:t xml:space="preserve"> </w:t>
      </w:r>
      <w:r>
        <w:rPr>
          <w:rFonts w:ascii="Nirmala UI" w:hAnsi="Nirmala UI" w:eastAsia="Nirmala UI" w:cs="Nirmala UI"/>
        </w:rPr>
        <w:t>जबाबदारी</w:t>
      </w:r>
      <w:r>
        <w:rPr>
          <w:rFonts w:ascii="Times New Roman" w:hAnsi="Times New Roman" w:eastAsia="Times New Roman" w:cs="Times New Roman"/>
        </w:rPr>
        <w:t xml:space="preserve"> </w:t>
      </w:r>
      <w:r>
        <w:rPr>
          <w:rFonts w:ascii="Nirmala UI" w:hAnsi="Nirmala UI" w:eastAsia="Nirmala UI" w:cs="Nirmala UI"/>
        </w:rPr>
        <w:t>मिलराइटांना</w:t>
      </w:r>
      <w:r>
        <w:rPr>
          <w:rFonts w:ascii="Times New Roman" w:hAnsi="Times New Roman" w:eastAsia="Times New Roman" w:cs="Times New Roman"/>
        </w:rPr>
        <w:t xml:space="preserve"> </w:t>
      </w:r>
      <w:r>
        <w:rPr>
          <w:rFonts w:ascii="Nirmala UI" w:hAnsi="Nirmala UI" w:eastAsia="Nirmala UI" w:cs="Nirmala UI"/>
        </w:rPr>
        <w:t>केव्हा</w:t>
      </w:r>
      <w:r>
        <w:rPr>
          <w:rFonts w:ascii="Times New Roman" w:hAnsi="Times New Roman" w:eastAsia="Times New Roman" w:cs="Times New Roman"/>
        </w:rPr>
        <w:t xml:space="preserve"> </w:t>
      </w:r>
      <w:r>
        <w:rPr>
          <w:rFonts w:ascii="Nirmala UI" w:hAnsi="Nirmala UI" w:eastAsia="Nirmala UI" w:cs="Nirmala UI"/>
        </w:rPr>
        <w:t>समर्पित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ख्रिस्त</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छोट्या</w:t>
      </w:r>
      <w:r>
        <w:rPr>
          <w:rFonts w:ascii="Times New Roman" w:hAnsi="Times New Roman" w:eastAsia="Times New Roman" w:cs="Times New Roman"/>
        </w:rPr>
        <w:t xml:space="preserve"> </w:t>
      </w:r>
      <w:r>
        <w:rPr>
          <w:rFonts w:ascii="Nirmala UI" w:hAnsi="Nirmala UI" w:eastAsia="Nirmala UI" w:cs="Nirmala UI"/>
        </w:rPr>
        <w:t>पुस्तकासह</w:t>
      </w:r>
      <w:r>
        <w:rPr>
          <w:rFonts w:ascii="Times New Roman" w:hAnsi="Times New Roman" w:eastAsia="Times New Roman" w:cs="Times New Roman"/>
        </w:rPr>
        <w:t xml:space="preserve"> </w:t>
      </w:r>
      <w:r>
        <w:rPr>
          <w:rFonts w:ascii="Nirmala UI" w:hAnsi="Nirmala UI" w:eastAsia="Nirmala UI" w:cs="Nirmala UI"/>
        </w:rPr>
        <w:t>उतरला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अरण्यातील</w:t>
      </w:r>
      <w:r>
        <w:rPr>
          <w:rFonts w:ascii="Times New Roman" w:hAnsi="Times New Roman" w:eastAsia="Times New Roman" w:cs="Times New Roman"/>
        </w:rPr>
        <w:t xml:space="preserve"> </w:t>
      </w:r>
      <w:r>
        <w:rPr>
          <w:rFonts w:ascii="Nirmala UI" w:hAnsi="Nirmala UI" w:eastAsia="Nirmala UI" w:cs="Nirmala UI"/>
        </w:rPr>
        <w:t>मंडळीशी</w:t>
      </w:r>
      <w:r>
        <w:rPr>
          <w:rFonts w:ascii="Times New Roman" w:hAnsi="Times New Roman" w:eastAsia="Times New Roman" w:cs="Times New Roman"/>
        </w:rPr>
        <w:t xml:space="preserve"> </w:t>
      </w:r>
      <w:r>
        <w:rPr>
          <w:rFonts w:ascii="Nirmala UI" w:hAnsi="Nirmala UI" w:eastAsia="Nirmala UI" w:cs="Nirmala UI"/>
        </w:rPr>
        <w:t>असलेला</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करारसंबंध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निवडलेले</w:t>
      </w:r>
      <w:r>
        <w:rPr>
          <w:rFonts w:ascii="Times New Roman" w:hAnsi="Times New Roman" w:eastAsia="Times New Roman" w:cs="Times New Roman"/>
        </w:rPr>
        <w:t xml:space="preserve"> </w:t>
      </w:r>
      <w:r>
        <w:rPr>
          <w:rFonts w:ascii="Nirmala UI" w:hAnsi="Nirmala UI" w:eastAsia="Nirmala UI" w:cs="Nirmala UI"/>
        </w:rPr>
        <w:t>करारबद्ध</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दर्शवीत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नव्हते</w:t>
      </w:r>
      <w:r>
        <w:rPr>
          <w:rFonts w:ascii="Times New Roman" w:hAnsi="Times New Roman" w:eastAsia="Times New Roman" w:cs="Times New Roman"/>
        </w:rPr>
        <w:t xml:space="preserve">. </w:t>
      </w:r>
      <w:r>
        <w:rPr>
          <w:rFonts w:ascii="Nirmala UI" w:hAnsi="Nirmala UI" w:eastAsia="Nirmala UI" w:cs="Nirmala UI"/>
        </w:rPr>
        <w:t>संदेष्टे</w:t>
      </w:r>
      <w:r>
        <w:rPr>
          <w:rFonts w:ascii="Times New Roman" w:hAnsi="Times New Roman" w:eastAsia="Times New Roman" w:cs="Times New Roman"/>
        </w:rPr>
        <w:t xml:space="preserve"> </w:t>
      </w:r>
      <w:r>
        <w:rPr>
          <w:rFonts w:ascii="Nirmala UI" w:hAnsi="Nirmala UI" w:eastAsia="Nirmala UI" w:cs="Nirmala UI"/>
        </w:rPr>
        <w:t>कधीही</w:t>
      </w:r>
      <w:r>
        <w:rPr>
          <w:rFonts w:ascii="Times New Roman" w:hAnsi="Times New Roman" w:eastAsia="Times New Roman" w:cs="Times New Roman"/>
        </w:rPr>
        <w:t xml:space="preserve"> </w:t>
      </w:r>
      <w:r>
        <w:rPr>
          <w:rFonts w:ascii="Nirmala UI" w:hAnsi="Nirmala UI" w:eastAsia="Nirmala UI" w:cs="Nirmala UI"/>
        </w:rPr>
        <w:t>एकमेकांशी</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وقال لي: يا ابنَ آدم، قِفْ على قدميك فأكلِّمك. فدخل فيَّ الروحُ حين تكلَّم معي، وأقامني على قدميَّ، فسمعتُ الذي كان يكلِّمني. وقال لي: يا ابنَ آدم، إني مُرسِلُك إلى بني إسرائيل، إلى أمَّةٍ متمرِّدةٍ قد تمرَّدت عليَّ؛ هم وآباؤهم قد تعدَّوا عليَّ إلى هذا اليوم بعينه. فهُم بنون وقحون وقُساةُ القلوب. أنا مُرسِلُك إليهم، فتقول لهم: هكذا قال السيد الرب. وهم، إن سمعوا أو امتنعوا، لأنهم بيتٌ متمرِّد، فإنهم يعلمون أن نبيًّا كان بينهم. وأنت يا ابنَ آدم، فلا تخفْ منهم، ولا تخفْ من كلامهم، وإن كانت معك شوكٌ وحسكٌ، وأنت ساكنٌ بين العقارب؛ فلا تخفْ من كلامهم، ولا ترتعبْ من وجوههم، لأنهم بيتٌ متمرِّد. وتكلِّمهم بكلامي، إن سمعوا أو امتنعوا، لأنهم شديدو التمرُّد. وأما أنت يا ابنَ آدم، فاسمعْ ما أنا مكلِّمُك به؛ لا تكنْ متمرِّدًا مثل ذلك البيت المتمرِّد. افتحْ فمك وكُلْ ما أنا مُعطيك. فنظرتُ، وإذا بيدٍ قد مُدَّت إليَّ، وإذا فيها درجُ سفرٍ. فنشره أمامي، وكان مكتوبًا من داخلٍ ومن خارجٍ، وكُتب فيه مراثٍ ونحيبٌ وويل. ثم قال لي: يا ابنَ آدم، كُلْ ما تجده؛ كُلْ هذا الدرج، واذهبْ كلِّم بيتَ إسرائيل. ففتحتُ فمي، فأطعمني ذلك الدرج. وقال لي: يا ابنَ آدم، أطعِمْ بطنك واملأْ أحشاءك بهذا الدرج الذي أنا مُعطيك. فأكلتُه، فكان في فمي كالعسل حلاوةً. وقال لي: يا ابنَ آدم، اذهبْ، ادخلْ إلى بيت إسرائيل، وكلِّمهم بكلامي. لأنك لستَ مُرسَلًا إلى شعبٍ غامضِ اللسان وثقيلِ اللغة، بل إلى بيت إسرائيل؛ ليس إلى شعوبٍ كثيرةٍ غامضةِ اللسان وثقيلةِ اللغة، لا تستطيع أن تفهم كلامهم. حقًّا، لو أرسلتُك إليهم لسمعوا لك. أما بيتُ إسرائيل فلا يشاء أن يسمع لك، لأنهم لا يشاءون أن يسمعوا لي؛ لأن كلَّ بيت إسرائيل وقحو الوجوه وقُساةُ القلوب. هأنذا قد جعلتُ وجهك صلبًا تجاه وجوههم، وجبهتَك صلبةً تجاه جباههم. كالألماس أصلبَ من الصوَّان جعلتُ جبهتَك؛ فلا تخفْ منهم، ولا ترتعبْ من وجوههم، لأنهم بيتٌ متمرِّد. ثم قال لي: يا ابنَ آدم، كلَّ كلامي الذي أُكلِّمك به تلقَّه في قلبك، واسمعه بأذنيك. حزقيال 2:1–3:10.</w:t>
      </w:r>
    </w:p>
    <w:p>
      <w:pPr>
        <w:pStyle w:val="ArticleBody"/>
        <w:jc w:val="left"/>
      </w:pPr>
      <w:r>
        <w:rPr>
          <w:rFonts w:ascii="Times New Roman" w:hAnsi="Times New Roman" w:eastAsia="Times New Roman" w:cs="Times New Roman"/>
        </w:rPr>
        <w:t>ווען משיח איז אַראָפּגעקומען מיטן קליינעם בוך, וואָס יוחנן האָט גענומען און געגעסן, איז עס געווען אין זײַן „מויל זיס ווי האָניק.“ יוחנן דער מגלה און יחזקאל נעמען ביידע אַ בשׂורה פֿון משיחס „האַנט.“ יחזקאל, און דערפֿאַר אויך יוחנן, האָבן געהאַט אַ בשׂורה איבערצוגעבן „דעם הויז פֿון ישׂראל,“ נישט צו יענע וואָס זײַנען אַרויס פֿון ישׂראל. ווען די אַרויס פֿון ישׂראל וואָלטן געהערט די בשׂורה, וואָלטן זיי זי אָנגענומען, אָבער נישט ישׂראל, ווײַל „דאָס גאַנצע הויז“ פֿון ישׂראל „זײַנען חוצפּהדיק און האַרץ־האַרט.“ דאָס שלימותדיקע הויז פֿון ישׂראל (דאָס גאַנצע הויז) איז געווען גאָר אָפּשפּעניק. ישׂראל אין 1840 איז פאָרגעשטעלט געוואָרן אין התגלות, קאַפּיטל צען, ווי די קהילה אין דער מדבר. זיי האָבן אָנגעפֿילט דעם כּוס פֿון זייער צײַט פֿון פּרוּב.</w:t>
      </w:r>
    </w:p>
    <w:p>
      <w:pPr>
        <w:pStyle w:val="ArticleBody"/>
        <w:jc w:val="left"/>
      </w:pPr>
      <w:r>
        <w:rPr>
          <w:rFonts w:ascii="Times New Roman" w:hAnsi="Times New Roman" w:eastAsia="Times New Roman" w:cs="Times New Roman"/>
        </w:rPr>
        <w:t>Тим не менш, хоча Ізраїль і не почув би цієї звістки, пророкові все ж було наказано понести їм звістку маленької книжки, щоб вони були відповідальні за відкинення світла першого ангела. У книгах суду на них мала бути покладена відповідальність за відмову слухати звістку «пророка», який був «серед них». Відкинути пророка — означає відкинути звістку, яку було дано пророкові ангелом Гавриїлом, а він сам одержав її від Христа, Який одержав її від Отця. Коли Христос зійшов із звісткою маленької книжки у Своїй руці, це відповідало тому, як Святий Дух зійшов під час Його хрещення. Це було прообразно показане в Мойсеї при палаючому кущі, і це є тим самим орієнтиром, який існує в кожному реформаторському русі.</w:t>
      </w:r>
    </w:p>
    <w:p>
      <w:pPr>
        <w:pStyle w:val="ArticleScripture"/>
        <w:jc w:val="left"/>
      </w:pPr>
      <w:r>
        <w:rPr>
          <w:rFonts w:ascii="Times New Roman" w:hAnsi="Times New Roman" w:eastAsia="Times New Roman" w:cs="Times New Roman"/>
        </w:rPr>
        <w:t>« L’œuvre de Dieu sur la terre présente, d’âge en âge, une ressemblance frappante dans chaque grande réforme ou dans tout mouvement religieux. Les principes selon lesquels Dieu agit envers les hommes demeurent toujours les mêmes. Les mouvements importants du temps présent ont leur parallèle dans ceux du passé, et l’expérience de l’Église aux siècles précédents renferme pour notre époque des leçons d’une grande valeur. » The Great Controversy, 343.</w:t>
      </w:r>
    </w:p>
    <w:p>
      <w:pPr>
        <w:pStyle w:val="ArticleBody"/>
        <w:jc w:val="left"/>
      </w:pPr>
      <w:r>
        <w:rPr>
          <w:rFonts w:ascii="Times New Roman" w:hAnsi="Times New Roman" w:eastAsia="Times New Roman" w:cs="Times New Roman"/>
        </w:rPr>
        <w:t xml:space="preserve">11 </w:t>
      </w:r>
      <w:r>
        <w:rPr>
          <w:rFonts w:ascii="Nirmala UI" w:hAnsi="Nirmala UI" w:eastAsia="Nirmala UI" w:cs="Nirmala UI"/>
        </w:rPr>
        <w:t>अगस्त</w:t>
      </w:r>
      <w:r>
        <w:rPr>
          <w:rFonts w:ascii="Times New Roman" w:hAnsi="Times New Roman" w:eastAsia="Times New Roman" w:cs="Times New Roman"/>
        </w:rPr>
        <w:t xml:space="preserve">, 1840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उस्मानी</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खाया</w:t>
      </w:r>
      <w:r>
        <w:rPr>
          <w:rFonts w:ascii="Times New Roman" w:hAnsi="Times New Roman" w:eastAsia="Times New Roman" w:cs="Times New Roman"/>
        </w:rPr>
        <w:t>)—</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मिलरवादियों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सिद्धान्त</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w:t>
      </w:r>
      <w:r>
        <w:rPr>
          <w:rFonts w:ascii="Nirmala UI" w:hAnsi="Nirmala UI" w:eastAsia="Nirmala UI" w:cs="Nirmala UI"/>
        </w:rPr>
        <w:t>ফফ</w:t>
      </w:r>
      <w:r>
        <w:rPr>
          <w:rFonts w:ascii="Times New Roman" w:hAnsi="Times New Roman" w:eastAsia="Times New Roman" w:cs="Times New Roman"/>
        </w:rPr>
        <w:t xml:space="preserve">” </w:t>
      </w:r>
      <w:r>
        <w:rPr>
          <w:rFonts w:ascii="Nirmala UI" w:hAnsi="Nirmala UI" w:eastAsia="Nirmala UI" w:cs="Nirmala UI"/>
        </w:rPr>
        <w:t>ভাষায়</w:t>
      </w:r>
      <w:r>
        <w:rPr>
          <w:rFonts w:ascii="Times New Roman" w:hAnsi="Times New Roman" w:eastAsia="Times New Roman" w:cs="Times New Roman"/>
        </w:rPr>
        <w:t xml:space="preserve"> </w:t>
      </w:r>
      <w:r>
        <w:rPr>
          <w:rFonts w:ascii="Nirmala UI" w:hAnsi="Nirmala UI" w:eastAsia="Nirmala UI" w:cs="Nirmala UI"/>
        </w:rPr>
        <w:t>অনুবাদ</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লক্ষ্যভাষাটি</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“ff” </w:t>
      </w:r>
      <w:r>
        <w:rPr>
          <w:rFonts w:ascii="Nirmala UI" w:hAnsi="Nirmala UI" w:eastAsia="Nirmala UI" w:cs="Nirmala UI"/>
        </w:rPr>
        <w:t>বলতে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ভাষাকে</w:t>
      </w:r>
      <w:r>
        <w:rPr>
          <w:rFonts w:ascii="Times New Roman" w:hAnsi="Times New Roman" w:eastAsia="Times New Roman" w:cs="Times New Roman"/>
        </w:rPr>
        <w:t xml:space="preserve"> </w:t>
      </w:r>
      <w:r>
        <w:rPr>
          <w:rFonts w:ascii="Nirmala UI" w:hAnsi="Nirmala UI" w:eastAsia="Nirmala UI" w:cs="Nirmala UI"/>
        </w:rPr>
        <w:t>বোঝাচ্ছেন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দিন।</w:t>
      </w:r>
    </w:p>
    <w:p>
      <w:pPr>
        <w:pStyle w:val="ArticleScripture"/>
        <w:jc w:val="left"/>
      </w:pPr>
      <w:r>
        <w:rPr>
          <w:rFonts w:ascii="Times New Roman" w:hAnsi="Times New Roman" w:eastAsia="Times New Roman" w:cs="Times New Roman"/>
        </w:rPr>
        <w:t>«En estos primeros discípulos, el fundamento de la iglesia cristiana se iba colocando mediante el esfuerzo individual. Juan dirigió primero a dos de sus discípulos a Cristo. Luego, uno de ellos halla a un hermano y lo lleva a Cristo. Después él llama a Felipe para que le siga, y este fue en busca de Natanael». Spirit of Prophecy, tomo 2, 66.</w:t>
      </w:r>
    </w:p>
    <w:p>
      <w:pPr>
        <w:pStyle w:val="ArticleBody"/>
        <w:jc w:val="left"/>
      </w:pPr>
      <w:r>
        <w:rPr>
          <w:rFonts w:ascii="Times New Roman" w:hAnsi="Times New Roman" w:eastAsia="Times New Roman" w:cs="Times New Roman"/>
        </w:rPr>
        <w:t>عندما نزل المسيح في 11 أغسطس 1840 والسِّفْر الصغير مفتوحٌ في يده، كان ذلك قد سُبِق تصويرُه في حركة الإصلاح من تاريخ المسيح الأرضي، لأن كل حركة إصلاح تمتلك المعالم نفسها بعينها. وكان لموسى وللحركة الإصلاحية التي قادها إلى الخارج المعلمُ نفسه. إن اختبار موسى عند العُلَّيقة المتقدة كان رمزًا لنزول الروح القدس عند معمودية المسيح، الذي كان بدوره رمزًا لعام 1840، والذي يرمز بدوره إلى 11 سبتمبر 2001 حين نزل الملاك القوي المذكور في رؤيا ثمانية عشر.</w:t>
      </w:r>
    </w:p>
    <w:p>
      <w:pPr>
        <w:pStyle w:val="ArticleBody"/>
        <w:jc w:val="left"/>
      </w:pPr>
      <w:r>
        <w:rPr>
          <w:rFonts w:ascii="Times New Roman" w:hAnsi="Times New Roman" w:eastAsia="Times New Roman" w:cs="Times New Roman"/>
        </w:rPr>
        <w:t>“Ɔbɛba” a ɔbɔfo a edi kan no nkrasɛm no, ne “ɔbɛba” a ɔbɔfo a ɔtɔ so abien no nkrasɛm no, ne “ɔbɛba” a ɔbɔfo a ɔtɔ so abiɛsa no nkrasɛm no nyinaa gyina hɔ ma abɔfo. Ɔbɔfo a odi kan no kura nhoma ketewa bi wɔ ne nsam; nea ɔtɔ so abien no kura atwerɛ bi wɔ ne nsam; na nea ɔtɔ so abiɛsa no kura nwoma mmobɔwee bi wɔ ne nsam. Adansefo baanu anaa baasa ano na wɔde si nokware bi so dua. Saa abɔfo abiɛsa no nyinaa, sɛ ebia bere a wɔbae anaa bere a wɔmaa wɔn tumi no, wokura nkrasɛm bi wɔ wɔn nsa mu.</w:t>
      </w:r>
    </w:p>
    <w:p>
      <w:pPr>
        <w:pStyle w:val="ArticleBody"/>
        <w:jc w:val="left"/>
      </w:pPr>
      <w:r>
        <w:rPr>
          <w:rFonts w:ascii="Times New Roman" w:hAnsi="Times New Roman" w:eastAsia="Times New Roman" w:cs="Times New Roman"/>
        </w:rPr>
        <w:t>Jean et Ézéchiel représentent ceux qui ont mangé le message lorsque le message du premier ange fut « revêtu de puissance », ce qui constitue un repère historique différent de celui où le message du premier ange « arriva » en 1798.</w:t>
      </w:r>
    </w:p>
    <w:p>
      <w:pPr>
        <w:pStyle w:val="ArticleBody"/>
        <w:jc w:val="left"/>
      </w:pPr>
      <w:r>
        <w:rPr>
          <w:rFonts w:ascii="Times New Roman" w:hAnsi="Times New Roman" w:eastAsia="Times New Roman" w:cs="Times New Roman"/>
        </w:rPr>
        <w:t>La différence entre la « venue » d’un message et son « habilitation » est une distinction extrêmement importante qu’il faut remarquer. En considérant le passage suivant, notez que le but du premier ange est identique à celui de l’ange d’Apocalypse dix-huit, qui illumine la terre de sa gloire. Remarquez aussi que chaque message provoque une séparation, produisant deux classes d’adorateurs.</w:t>
      </w:r>
    </w:p>
    <w:p>
      <w:pPr>
        <w:pStyle w:val="ArticleScripture"/>
        <w:jc w:val="left"/>
      </w:pPr>
      <w:r>
        <w:rPr>
          <w:rFonts w:ascii="Times New Roman" w:hAnsi="Times New Roman" w:eastAsia="Times New Roman" w:cs="Times New Roman"/>
        </w:rPr>
        <w:t>“Mi è stato mostrato l’interesse che tutto il cielo nutriva per l’opera che si svolgeva sulla terra. Gesù incaricò un potente angelo [il primo angelo] di discendere e di avvertire gli abitanti della terra di prepararsi per la Sua seconda apparizione. Quando l’angelo lasciò la presenza di Gesù in cielo, una luce straordinariamente fulgida e gloriosa lo precedeva. Mi fu detto che la sua missione consisteva nell’illuminare la terra con la sua gloria e nell’avvertire gli uomini dell’imminente ira di Dio. Moltitudini ricevettero la luce. Alcuni di essi apparivano molto solenni, mentre altri erano gioiosi e rapiti. Tutti coloro che ricevettero la luce rivolsero il volto verso il cielo e glorificarono Dio. Benché fosse diffusa su tutti, alcuni ne subirono soltanto l’influenza, senza però accoglierla di cuore. Molti furono pieni di grande ira. Ministri e popolo si unirono ai vili e resistettero con fermezza alla luce diffusa dal potente angelo. Ma tutti coloro che la ricevettero si separarono dal mondo e furono strettamente uniti gli uni agli altri.</w:t>
      </w:r>
    </w:p>
    <w:p>
      <w:pPr>
        <w:pStyle w:val="ArticleScripture"/>
        <w:jc w:val="left"/>
      </w:pPr>
      <w:r>
        <w:rPr>
          <w:rFonts w:ascii="Times New Roman" w:hAnsi="Times New Roman" w:eastAsia="Times New Roman" w:cs="Times New Roman"/>
        </w:rPr>
        <w:t>“</w:t>
      </w:r>
      <w:r>
        <w:rPr>
          <w:rFonts w:ascii="Nirmala UI" w:hAnsi="Nirmala UI" w:eastAsia="Nirmala UI" w:cs="Nirmala UI"/>
        </w:rPr>
        <w:t>সয়তান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দূতবিলাকে</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সম্ভৱ</w:t>
      </w:r>
      <w:r>
        <w:rPr>
          <w:rFonts w:ascii="Times New Roman" w:hAnsi="Times New Roman" w:eastAsia="Times New Roman" w:cs="Times New Roman"/>
        </w:rPr>
        <w:t xml:space="preserve"> </w:t>
      </w:r>
      <w:r>
        <w:rPr>
          <w:rFonts w:ascii="Nirmala UI" w:hAnsi="Nirmala UI" w:eastAsia="Nirmala UI" w:cs="Nirmala UI"/>
        </w:rPr>
        <w:t>সিমান</w:t>
      </w:r>
      <w:r>
        <w:rPr>
          <w:rFonts w:ascii="Times New Roman" w:hAnsi="Times New Roman" w:eastAsia="Times New Roman" w:cs="Times New Roman"/>
        </w:rPr>
        <w:t xml:space="preserve"> </w:t>
      </w:r>
      <w:r>
        <w:rPr>
          <w:rFonts w:ascii="Nirmala UI" w:hAnsi="Nirmala UI" w:eastAsia="Nirmala UI" w:cs="Nirmala UI"/>
        </w:rPr>
        <w:t>লোকৰ</w:t>
      </w:r>
      <w:r>
        <w:rPr>
          <w:rFonts w:ascii="Times New Roman" w:hAnsi="Times New Roman" w:eastAsia="Times New Roman" w:cs="Times New Roman"/>
        </w:rPr>
        <w:t xml:space="preserve"> </w:t>
      </w:r>
      <w:r>
        <w:rPr>
          <w:rFonts w:ascii="Nirmala UI" w:hAnsi="Nirmala UI" w:eastAsia="Nirmala UI" w:cs="Nirmala UI"/>
        </w:rPr>
        <w:t>মনক</w:t>
      </w:r>
      <w:r>
        <w:rPr>
          <w:rFonts w:ascii="Times New Roman" w:hAnsi="Times New Roman" w:eastAsia="Times New Roman" w:cs="Times New Roman"/>
        </w:rPr>
        <w:t xml:space="preserve"> </w:t>
      </w:r>
      <w:r>
        <w:rPr>
          <w:rFonts w:ascii="Nirmala UI" w:hAnsi="Nirmala UI" w:eastAsia="Nirmala UI" w:cs="Nirmala UI"/>
        </w:rPr>
        <w:t>পোহৰৰ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আঁতৰাই</w:t>
      </w:r>
      <w:r>
        <w:rPr>
          <w:rFonts w:ascii="Times New Roman" w:hAnsi="Times New Roman" w:eastAsia="Times New Roman" w:cs="Times New Roman"/>
        </w:rPr>
        <w:t xml:space="preserve"> </w:t>
      </w:r>
      <w:r>
        <w:rPr>
          <w:rFonts w:ascii="Nirmala UI" w:hAnsi="Nirmala UI" w:eastAsia="Nirmala UI" w:cs="Nirmala UI"/>
        </w:rPr>
        <w:t>আনিবলৈ</w:t>
      </w:r>
      <w:r>
        <w:rPr>
          <w:rFonts w:ascii="Times New Roman" w:hAnsi="Times New Roman" w:eastAsia="Times New Roman" w:cs="Times New Roman"/>
        </w:rPr>
        <w:t xml:space="preserve"> </w:t>
      </w:r>
      <w:r>
        <w:rPr>
          <w:rFonts w:ascii="Nirmala UI" w:hAnsi="Nirmala UI" w:eastAsia="Nirmala UI" w:cs="Nirmala UI"/>
        </w:rPr>
        <w:t>ব্যস্তভাৱে</w:t>
      </w:r>
      <w:r>
        <w:rPr>
          <w:rFonts w:ascii="Times New Roman" w:hAnsi="Times New Roman" w:eastAsia="Times New Roman" w:cs="Times New Roman"/>
        </w:rPr>
        <w:t xml:space="preserve"> </w:t>
      </w:r>
      <w:r>
        <w:rPr>
          <w:rFonts w:ascii="Nirmala UI" w:hAnsi="Nirmala UI" w:eastAsia="Nirmala UI" w:cs="Nirmala UI"/>
        </w:rPr>
        <w:t>চেষ্টা</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দলটোৱে</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অস্বীকাৰ</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অন্ধকাৰত</w:t>
      </w:r>
      <w:r>
        <w:rPr>
          <w:rFonts w:ascii="Times New Roman" w:hAnsi="Times New Roman" w:eastAsia="Times New Roman" w:cs="Times New Roman"/>
        </w:rPr>
        <w:t xml:space="preserve"> </w:t>
      </w:r>
      <w:r>
        <w:rPr>
          <w:rFonts w:ascii="Nirmala UI" w:hAnsi="Nirmala UI" w:eastAsia="Nirmala UI" w:cs="Nirmala UI"/>
        </w:rPr>
        <w:t>এৰি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দেখিলোঁ</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দূতজনে</w:t>
      </w:r>
      <w:r>
        <w:rPr>
          <w:rFonts w:ascii="Times New Roman" w:hAnsi="Times New Roman" w:eastAsia="Times New Roman" w:cs="Times New Roman"/>
        </w:rPr>
        <w:t xml:space="preserve"> </w:t>
      </w:r>
      <w:r>
        <w:rPr>
          <w:rFonts w:ascii="Nirmala UI" w:hAnsi="Nirmala UI" w:eastAsia="Nirmala UI" w:cs="Nirmala UI"/>
        </w:rPr>
        <w:t>গভীৰতম</w:t>
      </w:r>
      <w:r>
        <w:rPr>
          <w:rFonts w:ascii="Times New Roman" w:hAnsi="Times New Roman" w:eastAsia="Times New Roman" w:cs="Times New Roman"/>
        </w:rPr>
        <w:t xml:space="preserve"> </w:t>
      </w:r>
      <w:r>
        <w:rPr>
          <w:rFonts w:ascii="Nirmala UI" w:hAnsi="Nirmala UI" w:eastAsia="Nirmala UI" w:cs="Nirmala UI"/>
        </w:rPr>
        <w:t>আগ্ৰহেৰে</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নামত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লোকসকলক</w:t>
      </w:r>
      <w:r>
        <w:rPr>
          <w:rFonts w:ascii="Times New Roman" w:hAnsi="Times New Roman" w:eastAsia="Times New Roman" w:cs="Times New Roman"/>
        </w:rPr>
        <w:t xml:space="preserve"> </w:t>
      </w:r>
      <w:r>
        <w:rPr>
          <w:rFonts w:ascii="Nirmala UI" w:hAnsi="Nirmala UI" w:eastAsia="Nirmala UI" w:cs="Nirmala UI"/>
        </w:rPr>
        <w:t>লক্ষ্য</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স্বৰ্গীয়</w:t>
      </w:r>
      <w:r>
        <w:rPr>
          <w:rFonts w:ascii="Times New Roman" w:hAnsi="Times New Roman" w:eastAsia="Times New Roman" w:cs="Times New Roman"/>
        </w:rPr>
        <w:t xml:space="preserve"> </w:t>
      </w:r>
      <w:r>
        <w:rPr>
          <w:rFonts w:ascii="Nirmala UI" w:hAnsi="Nirmala UI" w:eastAsia="Nirmala UI" w:cs="Nirmala UI"/>
        </w:rPr>
        <w:t>উৎসৰ</w:t>
      </w:r>
      <w:r>
        <w:rPr>
          <w:rFonts w:ascii="Times New Roman" w:hAnsi="Times New Roman" w:eastAsia="Times New Roman" w:cs="Times New Roman"/>
        </w:rPr>
        <w:t xml:space="preserve"> </w:t>
      </w:r>
      <w:r>
        <w:rPr>
          <w:rFonts w:ascii="Nirmala UI" w:hAnsi="Nirmala UI" w:eastAsia="Nirmala UI" w:cs="Nirmala UI"/>
        </w:rPr>
        <w:t>বাৰ্তাখন</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ওচৰত</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হোৱাৰ</w:t>
      </w:r>
      <w:r>
        <w:rPr>
          <w:rFonts w:ascii="Times New Roman" w:hAnsi="Times New Roman" w:eastAsia="Times New Roman" w:cs="Times New Roman"/>
        </w:rPr>
        <w:t xml:space="preserve"> </w:t>
      </w:r>
      <w:r>
        <w:rPr>
          <w:rFonts w:ascii="Nirmala UI" w:hAnsi="Nirmala UI" w:eastAsia="Nirmala UI" w:cs="Nirmala UI"/>
        </w:rPr>
        <w:t>সময়ত</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বিকশিত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চৰিত্ৰ</w:t>
      </w:r>
      <w:r>
        <w:rPr>
          <w:rFonts w:ascii="Times New Roman" w:hAnsi="Times New Roman" w:eastAsia="Times New Roman" w:cs="Times New Roman"/>
        </w:rPr>
        <w:t xml:space="preserve"> </w:t>
      </w:r>
      <w:r>
        <w:rPr>
          <w:rFonts w:ascii="Nirmala UI" w:hAnsi="Nirmala UI" w:eastAsia="Nirmala UI" w:cs="Nirmala UI"/>
        </w:rPr>
        <w:t>লিপিবদ্ধ</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যীচুৰ</w:t>
      </w:r>
      <w:r>
        <w:rPr>
          <w:rFonts w:ascii="Times New Roman" w:hAnsi="Times New Roman" w:eastAsia="Times New Roman" w:cs="Times New Roman"/>
        </w:rPr>
        <w:t xml:space="preserve"> </w:t>
      </w:r>
      <w:r>
        <w:rPr>
          <w:rFonts w:ascii="Nirmala UI" w:hAnsi="Nirmala UI" w:eastAsia="Nirmala UI" w:cs="Nirmala UI"/>
        </w:rPr>
        <w:t>প্ৰতি</w:t>
      </w:r>
      <w:r>
        <w:rPr>
          <w:rFonts w:ascii="Times New Roman" w:hAnsi="Times New Roman" w:eastAsia="Times New Roman" w:cs="Times New Roman"/>
        </w:rPr>
        <w:t xml:space="preserve"> </w:t>
      </w:r>
      <w:r>
        <w:rPr>
          <w:rFonts w:ascii="Nirmala UI" w:hAnsi="Nirmala UI" w:eastAsia="Nirmala UI" w:cs="Nirmala UI"/>
        </w:rPr>
        <w:t>প্ৰেম</w:t>
      </w:r>
      <w:r>
        <w:rPr>
          <w:rFonts w:ascii="Times New Roman" w:hAnsi="Times New Roman" w:eastAsia="Times New Roman" w:cs="Times New Roman"/>
        </w:rPr>
        <w:t xml:space="preserve"> </w:t>
      </w:r>
      <w:r>
        <w:rPr>
          <w:rFonts w:ascii="Nirmala UI" w:hAnsi="Nirmala UI" w:eastAsia="Nirmala UI" w:cs="Nirmala UI"/>
        </w:rPr>
        <w:t>স্বীকাৰ</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বহুতেই</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স্বৰ্গীয়</w:t>
      </w:r>
      <w:r>
        <w:rPr>
          <w:rFonts w:ascii="Times New Roman" w:hAnsi="Times New Roman" w:eastAsia="Times New Roman" w:cs="Times New Roman"/>
        </w:rPr>
        <w:t xml:space="preserve"> </w:t>
      </w:r>
      <w:r>
        <w:rPr>
          <w:rFonts w:ascii="Nirmala UI" w:hAnsi="Nirmala UI" w:eastAsia="Nirmala UI" w:cs="Nirmala UI"/>
        </w:rPr>
        <w:t>বাৰ্তাটোৰ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তুচ্ছতা</w:t>
      </w:r>
      <w:r>
        <w:rPr>
          <w:rFonts w:ascii="Times New Roman" w:hAnsi="Times New Roman" w:eastAsia="Times New Roman" w:cs="Times New Roman"/>
        </w:rPr>
        <w:t xml:space="preserve">, </w:t>
      </w:r>
      <w:r>
        <w:rPr>
          <w:rFonts w:ascii="Nirmala UI" w:hAnsi="Nirmala UI" w:eastAsia="Nirmala UI" w:cs="Nirmala UI"/>
        </w:rPr>
        <w:t>উপহাস</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ঘৃণাৰে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ঘূৰাই</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হাতত</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পাণ্ডুলিপি</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এজন</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লজ্জাজনক</w:t>
      </w:r>
      <w:r>
        <w:rPr>
          <w:rFonts w:ascii="Times New Roman" w:hAnsi="Times New Roman" w:eastAsia="Times New Roman" w:cs="Times New Roman"/>
        </w:rPr>
        <w:t xml:space="preserve"> </w:t>
      </w:r>
      <w:r>
        <w:rPr>
          <w:rFonts w:ascii="Nirmala UI" w:hAnsi="Nirmala UI" w:eastAsia="Nirmala UI" w:cs="Nirmala UI"/>
        </w:rPr>
        <w:t>নথিভুক্তি</w:t>
      </w:r>
      <w:r>
        <w:rPr>
          <w:rFonts w:ascii="Times New Roman" w:hAnsi="Times New Roman" w:eastAsia="Times New Roman" w:cs="Times New Roman"/>
        </w:rPr>
        <w:t xml:space="preserve"> </w:t>
      </w:r>
      <w:r>
        <w:rPr>
          <w:rFonts w:ascii="Nirmala UI" w:hAnsi="Nirmala UI" w:eastAsia="Nirmala UI" w:cs="Nirmala UI"/>
        </w:rPr>
        <w:t>লিপিবদ্ধ</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সমগ্ৰ</w:t>
      </w:r>
      <w:r>
        <w:rPr>
          <w:rFonts w:ascii="Times New Roman" w:hAnsi="Times New Roman" w:eastAsia="Times New Roman" w:cs="Times New Roman"/>
        </w:rPr>
        <w:t xml:space="preserve"> </w:t>
      </w:r>
      <w:r>
        <w:rPr>
          <w:rFonts w:ascii="Nirmala UI" w:hAnsi="Nirmala UI" w:eastAsia="Nirmala UI" w:cs="Nirmala UI"/>
        </w:rPr>
        <w:t>স্বৰ্গ</w:t>
      </w:r>
      <w:r>
        <w:rPr>
          <w:rFonts w:ascii="Times New Roman" w:hAnsi="Times New Roman" w:eastAsia="Times New Roman" w:cs="Times New Roman"/>
        </w:rPr>
        <w:t xml:space="preserve"> </w:t>
      </w:r>
      <w:r>
        <w:rPr>
          <w:rFonts w:ascii="Nirmala UI" w:hAnsi="Nirmala UI" w:eastAsia="Nirmala UI" w:cs="Nirmala UI"/>
        </w:rPr>
        <w:t>ক্ষোভেৰে</w:t>
      </w:r>
      <w:r>
        <w:rPr>
          <w:rFonts w:ascii="Times New Roman" w:hAnsi="Times New Roman" w:eastAsia="Times New Roman" w:cs="Times New Roman"/>
        </w:rPr>
        <w:t xml:space="preserve"> </w:t>
      </w:r>
      <w:r>
        <w:rPr>
          <w:rFonts w:ascii="Nirmala UI" w:hAnsi="Nirmala UI" w:eastAsia="Nirmala UI" w:cs="Nirmala UI"/>
        </w:rPr>
        <w:t>পূৰ্ণ</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উঠিছিল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যীচুক</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নামত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অনুসাৰীসকলৰ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এনেদৰে</w:t>
      </w:r>
      <w:r>
        <w:rPr>
          <w:rFonts w:ascii="Times New Roman" w:hAnsi="Times New Roman" w:eastAsia="Times New Roman" w:cs="Times New Roman"/>
        </w:rPr>
        <w:t xml:space="preserve"> </w:t>
      </w:r>
      <w:r>
        <w:rPr>
          <w:rFonts w:ascii="Nirmala UI" w:hAnsi="Nirmala UI" w:eastAsia="Nirmala UI" w:cs="Nirmala UI"/>
        </w:rPr>
        <w:t>অৱজ্ঞা</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«Je vis la déception de ceux qui avaient mis leur confiance, lorsqu’ils ne virent pas leur Seigneur au temps attendu. Le dessein de Dieu était de voiler l’avenir et de conduire Son peuple à un point de décision. Sans la prédication d’un temps déterminé pour la venue du Christ, l’œuvre que Dieu avait projetée n’aurait pas été accomplie. Satan en amenait un très grand nombre à porter leurs regards loin dans l’avenir, vers les grands événements liés au jugement et à la fin du temps de grâce. Il était nécessaire que le peuple fût amené à rechercher avec ardeur une préparation présente.»</w:t>
      </w:r>
    </w:p>
    <w:p>
      <w:pPr>
        <w:pStyle w:val="ArticleScripture"/>
        <w:jc w:val="left"/>
      </w:pPr>
      <w:r>
        <w:rPr>
          <w:rFonts w:ascii="Leelawadee UI" w:hAnsi="Leelawadee UI" w:eastAsia="Leelawadee UI" w:cs="Leelawadee UI"/>
        </w:rPr>
        <w:t>លុះពេលវេលាបានកន្លងផុតទៅ</w:t>
      </w:r>
      <w:r>
        <w:rPr>
          <w:rFonts w:ascii="Times New Roman" w:hAnsi="Times New Roman" w:eastAsia="Times New Roman" w:cs="Times New Roman"/>
        </w:rPr>
        <w:t xml:space="preserve"> </w:t>
      </w:r>
      <w:r>
        <w:rPr>
          <w:rFonts w:ascii="Leelawadee UI" w:hAnsi="Leelawadee UI" w:eastAsia="Leelawadee UI" w:cs="Leelawadee UI"/>
        </w:rPr>
        <w:t>អ្នកទាំងឡាយដែលមិនបានទទួលពន្លឺរបស់ទេវតានោះយ៉ាងពេញលេញ</w:t>
      </w:r>
      <w:r>
        <w:rPr>
          <w:rFonts w:ascii="Times New Roman" w:hAnsi="Times New Roman" w:eastAsia="Times New Roman" w:cs="Times New Roman"/>
        </w:rPr>
        <w:t xml:space="preserve"> </w:t>
      </w:r>
      <w:r>
        <w:rPr>
          <w:rFonts w:ascii="Leelawadee UI" w:hAnsi="Leelawadee UI" w:eastAsia="Leelawadee UI" w:cs="Leelawadee UI"/>
        </w:rPr>
        <w:t>បានរួមគ្នាជាមួយអ្នកទាំងឡាយដែលបានមើលងាយសារនោះ</w:t>
      </w:r>
      <w:r>
        <w:rPr>
          <w:rFonts w:ascii="Times New Roman" w:hAnsi="Times New Roman" w:eastAsia="Times New Roman" w:cs="Times New Roman"/>
        </w:rPr>
        <w:t xml:space="preserve"> </w:t>
      </w:r>
      <w:r>
        <w:rPr>
          <w:rFonts w:ascii="Leelawadee UI" w:hAnsi="Leelawadee UI" w:eastAsia="Leelawadee UI" w:cs="Leelawadee UI"/>
        </w:rPr>
        <w:t>ហើយពួកគេបានបែរមកចំអកដល់អ្នកទាំងឡាយដែលខកចិត្ត។</w:t>
      </w:r>
      <w:r>
        <w:rPr>
          <w:rFonts w:ascii="Times New Roman" w:hAnsi="Times New Roman" w:eastAsia="Times New Roman" w:cs="Times New Roman"/>
        </w:rPr>
        <w:t xml:space="preserve"> </w:t>
      </w:r>
      <w:r>
        <w:rPr>
          <w:rFonts w:ascii="Leelawadee UI" w:hAnsi="Leelawadee UI" w:eastAsia="Leelawadee UI" w:cs="Leelawadee UI"/>
        </w:rPr>
        <w:t>ពួកទេវតាបានកត់សម្គាល់ស្ថានភាពរបស់អ្នកដែលប្រកាសខ្លួនថាជាអ្នកដើរតាមព្រះគ្រីស្ទ។</w:t>
      </w:r>
      <w:r>
        <w:rPr>
          <w:rFonts w:ascii="Times New Roman" w:hAnsi="Times New Roman" w:eastAsia="Times New Roman" w:cs="Times New Roman"/>
        </w:rPr>
        <w:t xml:space="preserve"> </w:t>
      </w:r>
      <w:r>
        <w:rPr>
          <w:rFonts w:ascii="Leelawadee UI" w:hAnsi="Leelawadee UI" w:eastAsia="Leelawadee UI" w:cs="Leelawadee UI"/>
        </w:rPr>
        <w:t>ការកន្លងផុតទៅនៃពេលវេលាច្បាស់លាស់នោះ</w:t>
      </w:r>
      <w:r>
        <w:rPr>
          <w:rFonts w:ascii="Times New Roman" w:hAnsi="Times New Roman" w:eastAsia="Times New Roman" w:cs="Times New Roman"/>
        </w:rPr>
        <w:t xml:space="preserve"> </w:t>
      </w:r>
      <w:r>
        <w:rPr>
          <w:rFonts w:ascii="Leelawadee UI" w:hAnsi="Leelawadee UI" w:eastAsia="Leelawadee UI" w:cs="Leelawadee UI"/>
        </w:rPr>
        <w:t>បានល្បងល</w:t>
      </w:r>
      <w:r>
        <w:rPr>
          <w:rFonts w:ascii="Times New Roman" w:hAnsi="Times New Roman" w:eastAsia="Times New Roman" w:cs="Times New Roman"/>
        </w:rPr>
        <w:t xml:space="preserve"> </w:t>
      </w:r>
      <w:r>
        <w:rPr>
          <w:rFonts w:ascii="Leelawadee UI" w:hAnsi="Leelawadee UI" w:eastAsia="Leelawadee UI" w:cs="Leelawadee UI"/>
        </w:rPr>
        <w:t>និងបញ្ជាក់ពួកគេ</w:t>
      </w:r>
      <w:r>
        <w:rPr>
          <w:rFonts w:ascii="Times New Roman" w:hAnsi="Times New Roman" w:eastAsia="Times New Roman" w:cs="Times New Roman"/>
        </w:rPr>
        <w:t xml:space="preserve"> </w:t>
      </w:r>
      <w:r>
        <w:rPr>
          <w:rFonts w:ascii="Leelawadee UI" w:hAnsi="Leelawadee UI" w:eastAsia="Leelawadee UI" w:cs="Leelawadee UI"/>
        </w:rPr>
        <w:t>ហើយមានមនុស្សជាច្រើនណាស់ត្រូវបានថ្លឹងក្នុងជញ្ជីង</w:t>
      </w:r>
      <w:r>
        <w:rPr>
          <w:rFonts w:ascii="Times New Roman" w:hAnsi="Times New Roman" w:eastAsia="Times New Roman" w:cs="Times New Roman"/>
        </w:rPr>
        <w:t xml:space="preserve"> </w:t>
      </w:r>
      <w:r>
        <w:rPr>
          <w:rFonts w:ascii="Leelawadee UI" w:hAnsi="Leelawadee UI" w:eastAsia="Leelawadee UI" w:cs="Leelawadee UI"/>
        </w:rPr>
        <w:t>ហើយត្រូវបានឃើញថាខ្វះខាត។</w:t>
      </w:r>
      <w:r>
        <w:rPr>
          <w:rFonts w:ascii="Times New Roman" w:hAnsi="Times New Roman" w:eastAsia="Times New Roman" w:cs="Times New Roman"/>
        </w:rPr>
        <w:t xml:space="preserve"> </w:t>
      </w:r>
      <w:r>
        <w:rPr>
          <w:rFonts w:ascii="Leelawadee UI" w:hAnsi="Leelawadee UI" w:eastAsia="Leelawadee UI" w:cs="Leelawadee UI"/>
        </w:rPr>
        <w:t>ពួកគេបានអះអាងយ៉ាងខ្លាំងថា</w:t>
      </w:r>
      <w:r>
        <w:rPr>
          <w:rFonts w:ascii="Times New Roman" w:hAnsi="Times New Roman" w:eastAsia="Times New Roman" w:cs="Times New Roman"/>
        </w:rPr>
        <w:t xml:space="preserve"> </w:t>
      </w:r>
      <w:r>
        <w:rPr>
          <w:rFonts w:ascii="Leelawadee UI" w:hAnsi="Leelawadee UI" w:eastAsia="Leelawadee UI" w:cs="Leelawadee UI"/>
        </w:rPr>
        <w:t>ខ្លួនជាគ្រីស្ទបរិស័ទ</w:t>
      </w:r>
      <w:r>
        <w:rPr>
          <w:rFonts w:ascii="Times New Roman" w:hAnsi="Times New Roman" w:eastAsia="Times New Roman" w:cs="Times New Roman"/>
        </w:rPr>
        <w:t xml:space="preserve"> </w:t>
      </w:r>
      <w:r>
        <w:rPr>
          <w:rFonts w:ascii="Leelawadee UI" w:hAnsi="Leelawadee UI" w:eastAsia="Leelawadee UI" w:cs="Leelawadee UI"/>
        </w:rPr>
        <w:t>ប៉ុន្តែស្ទើរតែគ្រប់ចំណុចទាំងអស់</w:t>
      </w:r>
      <w:r>
        <w:rPr>
          <w:rFonts w:ascii="Times New Roman" w:hAnsi="Times New Roman" w:eastAsia="Times New Roman" w:cs="Times New Roman"/>
        </w:rPr>
        <w:t xml:space="preserve"> </w:t>
      </w:r>
      <w:r>
        <w:rPr>
          <w:rFonts w:ascii="Leelawadee UI" w:hAnsi="Leelawadee UI" w:eastAsia="Leelawadee UI" w:cs="Leelawadee UI"/>
        </w:rPr>
        <w:t>បានខកខានមិនដើរតាមព្រះគ្រីស្ទ។</w:t>
      </w:r>
      <w:r>
        <w:rPr>
          <w:rFonts w:ascii="Times New Roman" w:hAnsi="Times New Roman" w:eastAsia="Times New Roman" w:cs="Times New Roman"/>
        </w:rPr>
        <w:t xml:space="preserve"> </w:t>
      </w:r>
      <w:r>
        <w:rPr>
          <w:rFonts w:ascii="Leelawadee UI" w:hAnsi="Leelawadee UI" w:eastAsia="Leelawadee UI" w:cs="Leelawadee UI"/>
        </w:rPr>
        <w:t>សាតាំងបានអរសប្បាយចំពោះស្ថានភាពរបស់អ្នកដែលប្រកាសខ្លួនថាជាអ្នកដើរតាមព្រះយេស៊ូវ។</w:t>
      </w:r>
    </w:p>
    <w:p>
      <w:pPr>
        <w:pStyle w:val="ArticleScripture"/>
        <w:jc w:val="left"/>
      </w:pPr>
      <w:r>
        <w:rPr>
          <w:rFonts w:ascii="Times New Roman" w:hAnsi="Times New Roman" w:eastAsia="Times New Roman" w:cs="Times New Roman"/>
        </w:rPr>
        <w:t>«او ایشان را در دام خود گرفتار کرده بود. اکثریت را بر آن داشته بود که راه راست را ترک گویند، و آنان می‌کوشیدند از راهی دیگر به آسمان صعود کنند. فرشتگان دیدند که پاکان و مقدسان با گناهکاران در صهیون و با ریاکارانِ دنیاپرست درآمیخته‌اند. آنان بر شاگردان حقیقیِ عیسی دیده‌بانی کرده بودند؛ اما فاسدان بر مقدسان تأثیر می‌گذاشتند. آنان که دل‌هایشان با اشتیاقی سوزان برای دیدار عیسی می‌تپید، از سوی برادرانِ به‌ظاهر ایماندارشان از سخن گفتن دربارهٔ آمدن او منع می‌شدند. فرشتگان آن صحنه را نگریستند و با آن باقی‌مانده‌ای که ظهورِ سرور خویش را دوست می‌داشت، همدردی کردند.»</w:t>
      </w:r>
    </w:p>
    <w:p>
      <w:pPr>
        <w:pStyle w:val="ArticleScripture"/>
        <w:jc w:val="left"/>
      </w:pPr>
      <w:r>
        <w:rPr>
          <w:rFonts w:ascii="Times New Roman" w:hAnsi="Times New Roman" w:eastAsia="Times New Roman" w:cs="Times New Roman"/>
        </w:rPr>
        <w:t>«Un autre ange puissant [le second ange] reçut mission de descendre sur la terre. Jésus plaça dans sa main un écrit, et, lorsqu’il vint sur la terre, il s’écria : “Babylone est tombée, elle est tombée.” Puis je vis de nouveau ceux qui avaient été déçus lever les yeux vers le ciel, attendant avec foi et espérance l’apparition de leur Seigneur. Mais beaucoup semblaient demeurer dans un état d’hébétude, comme endormis ; pourtant, je pouvais discerner sur leurs visages la marque d’une profonde tristesse. Ceux qui avaient été déçus virent, d’après les Écritures, qu’ils étaient dans le temps du retard, et qu’ils devaient attendre patiemment l’accomplissement de la vision. Les mêmes preuves qui les avaient conduits à attendre leur Seigneur en 1843 les amenèrent à l’attendre en 1844. Cependant, je vis que la majorité ne possédait pas cette énergie qui caractérisait leur foi en 1843. Leur déception avait affaibli leur foi.»</w:t>
      </w:r>
    </w:p>
    <w:p>
      <w:pPr>
        <w:pStyle w:val="ArticleScripture"/>
        <w:jc w:val="left"/>
      </w:pPr>
      <w:r>
        <w:rPr>
          <w:rFonts w:ascii="Times New Roman" w:hAnsi="Times New Roman" w:eastAsia="Times New Roman" w:cs="Times New Roman"/>
        </w:rPr>
        <w:t>“Kun alfolah jiɓɓe Alla kawri e ngullital malayka ɗiɗaɓa, jeyaaɓe dow ngesa arda e faamde mawnde no feewi eɗennde ɓatakuru on. Ɓe ngiɗi ɗuɓɓe heewɓe ɓe ndii innde Kirista’en no njooɗi e yeyru e njelndi dow waɗɓe ɓe nannondiri. Nde boliiɗi ɗin ndilli daga hunɗuko yedduko, ‘On ngaanii haa jooni!’ malayka gooto windii ɗe. Malayka on wi’i, ‘Ɓe njeldata Alla.’ Mi hollaaɗo caggal hakke woɗnde iri maajum waɗaaɗe e jaamanuuji kaɗi. Iliyaas njaalaaɗo dow ka kammu, e limce makko jippii dow Eliisa. Caggal ɗum, sukaaɓe bonɓe, ɓe janngaaɓe daga saaraaɓe maɓɓe yo ɓe hoynu gorko Alla, tokki Eliisa, e huunduko njelndu ngo mbiyi, ‘Yah dow, an moyre ngalaa; yah dow, an moyre ngalaa.’ Nde ɓe njelndiri maccuɗo makko nihi, ɓe njelndii Alla, e ɓe heɓii kiita maɓɓe ɗon e ɗon. Nden noon, annduɓe njelndii e yeddii miijo santo’en njahdugol dow, ɗi eɓe ndillanoyte e tikkere Alla, e waɗetee ɓe nana wonde wonaa ko hoyfata hay huunde yoɗde e Jomginal maɓɓe.”</w:t>
      </w:r>
    </w:p>
    <w:p>
      <w:pPr>
        <w:pStyle w:val="ArticleScripture"/>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शीघ्रता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उड़कर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मुरझाए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शीघ्रता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उड़</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पुकारने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दूल्हा</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एकमत</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दूल्हा</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सर्वत्र</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अभिप्रेत</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धोखा</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यत्न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যীশুর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পরিচর্যার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মহাপবিত্র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ব্যবস্থা</w:t>
      </w:r>
      <w:r>
        <w:rPr>
          <w:rFonts w:ascii="Times New Roman" w:hAnsi="Times New Roman" w:eastAsia="Times New Roman" w:cs="Times New Roman"/>
        </w:rPr>
        <w:t>-</w:t>
      </w:r>
      <w:r>
        <w:rPr>
          <w:rFonts w:ascii="Nirmala UI" w:hAnsi="Nirmala UI" w:eastAsia="Nirmala UI" w:cs="Nirmala UI"/>
        </w:rPr>
        <w:t>সংবলিত</w:t>
      </w:r>
      <w:r>
        <w:rPr>
          <w:rFonts w:ascii="Times New Roman" w:hAnsi="Times New Roman" w:eastAsia="Times New Roman" w:cs="Times New Roman"/>
        </w:rPr>
        <w:t xml:space="preserve"> </w:t>
      </w:r>
      <w:r>
        <w:rPr>
          <w:rFonts w:ascii="Nirmala UI" w:hAnsi="Nirmala UI" w:eastAsia="Nirmala UI" w:cs="Nirmala UI"/>
        </w:rPr>
        <w:t>সিন্দুকের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দাঁড়ালেন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পরাক্রমশালী</w:t>
      </w:r>
      <w:r>
        <w:rPr>
          <w:rFonts w:ascii="Times New Roman" w:hAnsi="Times New Roman" w:eastAsia="Times New Roman" w:cs="Times New Roman"/>
        </w:rPr>
        <w:t xml:space="preserve"> </w:t>
      </w:r>
      <w:r>
        <w:rPr>
          <w:rFonts w:ascii="Nirmala UI" w:hAnsi="Nirmala UI" w:eastAsia="Nirmala UI" w:cs="Nirmala UI"/>
        </w:rPr>
        <w:t>দূতকে</w:t>
      </w:r>
      <w:r>
        <w:rPr>
          <w:rFonts w:ascii="Times New Roman" w:hAnsi="Times New Roman" w:eastAsia="Times New Roman" w:cs="Times New Roman"/>
        </w:rPr>
        <w:t xml:space="preserve"> </w:t>
      </w:r>
      <w:r>
        <w:rPr>
          <w:rFonts w:ascii="Nirmala UI" w:hAnsi="Nirmala UI" w:eastAsia="Nirmala UI" w:cs="Nirmala UI"/>
        </w:rPr>
        <w:t>প্রেরণ</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একখানি</w:t>
      </w:r>
      <w:r>
        <w:rPr>
          <w:rFonts w:ascii="Times New Roman" w:hAnsi="Times New Roman" w:eastAsia="Times New Roman" w:cs="Times New Roman"/>
        </w:rPr>
        <w:t xml:space="preserve"> </w:t>
      </w:r>
      <w:r>
        <w:rPr>
          <w:rFonts w:ascii="Nirmala UI" w:hAnsi="Nirmala UI" w:eastAsia="Nirmala UI" w:cs="Nirmala UI"/>
        </w:rPr>
        <w:t>পত্ররোল</w:t>
      </w:r>
      <w:r>
        <w:rPr>
          <w:rFonts w:ascii="Times New Roman" w:hAnsi="Times New Roman" w:eastAsia="Times New Roman" w:cs="Times New Roman"/>
        </w:rPr>
        <w:t xml:space="preserve"> </w:t>
      </w:r>
      <w:r>
        <w:rPr>
          <w:rFonts w:ascii="Nirmala UI" w:hAnsi="Nirmala UI" w:eastAsia="Nirmala UI" w:cs="Nirmala UI"/>
        </w:rPr>
        <w:t>অর্পিত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পরাক্রম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মহিমায়</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অবতরণ</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ভয়ঙ্কর</w:t>
      </w:r>
      <w:r>
        <w:rPr>
          <w:rFonts w:ascii="Times New Roman" w:hAnsi="Times New Roman" w:eastAsia="Times New Roman" w:cs="Times New Roman"/>
        </w:rPr>
        <w:t xml:space="preserve"> </w:t>
      </w:r>
      <w:r>
        <w:rPr>
          <w:rFonts w:ascii="Nirmala UI" w:hAnsi="Nirmala UI" w:eastAsia="Nirmala UI" w:cs="Nirmala UI"/>
        </w:rPr>
        <w:t>সতর্কবাণী</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বহিত</w:t>
      </w:r>
      <w:r>
        <w:rPr>
          <w:rFonts w:ascii="Times New Roman" w:hAnsi="Times New Roman" w:eastAsia="Times New Roman" w:cs="Times New Roman"/>
        </w:rPr>
        <w:t xml:space="preserve"> </w:t>
      </w:r>
      <w:r>
        <w:rPr>
          <w:rFonts w:ascii="Nirmala UI" w:hAnsi="Nirmala UI" w:eastAsia="Nirmala UI" w:cs="Nirmala UI"/>
        </w:rPr>
        <w:t>সর্বাধিক</w:t>
      </w:r>
      <w:r>
        <w:rPr>
          <w:rFonts w:ascii="Times New Roman" w:hAnsi="Times New Roman" w:eastAsia="Times New Roman" w:cs="Times New Roman"/>
        </w:rPr>
        <w:t xml:space="preserve"> </w:t>
      </w:r>
      <w:r>
        <w:rPr>
          <w:rFonts w:ascii="Nirmala UI" w:hAnsi="Nirmala UI" w:eastAsia="Nirmala UI" w:cs="Nirmala UI"/>
        </w:rPr>
        <w:t>ভীষণ</w:t>
      </w:r>
      <w:r>
        <w:rPr>
          <w:rFonts w:ascii="Times New Roman" w:hAnsi="Times New Roman" w:eastAsia="Times New Roman" w:cs="Times New Roman"/>
        </w:rPr>
        <w:t xml:space="preserve"> </w:t>
      </w:r>
      <w:r>
        <w:rPr>
          <w:rFonts w:ascii="Nirmala UI" w:hAnsi="Nirmala UI" w:eastAsia="Nirmala UI" w:cs="Nirmala UI"/>
        </w:rPr>
        <w:t>ভর্ত্সনা</w:t>
      </w:r>
      <w:r>
        <w:rPr>
          <w:rFonts w:ascii="Times New Roman" w:hAnsi="Times New Roman" w:eastAsia="Times New Roman" w:cs="Times New Roman"/>
        </w:rPr>
        <w:t>-</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সন্তানদের</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প্রলোভন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ক্লেশের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দেখানোর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পশু</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প্রতিমূর্তির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ঘনিষ্ঠ</w:t>
      </w:r>
      <w:r>
        <w:rPr>
          <w:rFonts w:ascii="Times New Roman" w:hAnsi="Times New Roman" w:eastAsia="Times New Roman" w:cs="Times New Roman"/>
        </w:rPr>
        <w:t xml:space="preserve"> </w:t>
      </w:r>
      <w:r>
        <w:rPr>
          <w:rFonts w:ascii="Nirmala UI" w:hAnsi="Nirmala UI" w:eastAsia="Nirmala UI" w:cs="Nirmala UI"/>
        </w:rPr>
        <w:t>সংগ্রামে</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অনন্ত</w:t>
      </w:r>
      <w:r>
        <w:rPr>
          <w:rFonts w:ascii="Times New Roman" w:hAnsi="Times New Roman" w:eastAsia="Times New Roman" w:cs="Times New Roman"/>
        </w:rPr>
        <w:t xml:space="preserve"> </w:t>
      </w:r>
      <w:r>
        <w:rPr>
          <w:rFonts w:ascii="Nirmala UI" w:hAnsi="Nirmala UI" w:eastAsia="Nirmala UI" w:cs="Nirmala UI"/>
        </w:rPr>
        <w:t>জীবনের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একমাত্র</w:t>
      </w:r>
      <w:r>
        <w:rPr>
          <w:rFonts w:ascii="Times New Roman" w:hAnsi="Times New Roman" w:eastAsia="Times New Roman" w:cs="Times New Roman"/>
        </w:rPr>
        <w:t xml:space="preserve"> </w:t>
      </w:r>
      <w:r>
        <w:rPr>
          <w:rFonts w:ascii="Nirmala UI" w:hAnsi="Nirmala UI" w:eastAsia="Nirmala UI" w:cs="Nirmala UI"/>
        </w:rPr>
        <w:t>আশা</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অবিচল</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বিপন্ন</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দৃঢ়ভাবে</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এইভাবে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সাধুগণের</w:t>
      </w:r>
      <w:r>
        <w:rPr>
          <w:rFonts w:ascii="Times New Roman" w:hAnsi="Times New Roman" w:eastAsia="Times New Roman" w:cs="Times New Roman"/>
        </w:rPr>
        <w:t xml:space="preserve"> </w:t>
      </w:r>
      <w:r>
        <w:rPr>
          <w:rFonts w:ascii="Nirmala UI" w:hAnsi="Nirmala UI" w:eastAsia="Nirmala UI" w:cs="Nirmala UI"/>
        </w:rPr>
        <w:t>ধৈর্য</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তাহারাই</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আজ্ঞাসমূহ</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যীশুর</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রক্ষা</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কথাগুলি</w:t>
      </w:r>
      <w:r>
        <w:rPr>
          <w:rFonts w:ascii="Times New Roman" w:hAnsi="Times New Roman" w:eastAsia="Times New Roman" w:cs="Times New Roman"/>
        </w:rPr>
        <w:t xml:space="preserve"> </w:t>
      </w:r>
      <w:r>
        <w:rPr>
          <w:rFonts w:ascii="Nirmala UI" w:hAnsi="Nirmala UI" w:eastAsia="Nirmala UI" w:cs="Nirmala UI"/>
        </w:rPr>
        <w:t>পুনরুক্তি</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স্বর্গীয়</w:t>
      </w:r>
      <w:r>
        <w:rPr>
          <w:rFonts w:ascii="Times New Roman" w:hAnsi="Times New Roman" w:eastAsia="Times New Roman" w:cs="Times New Roman"/>
        </w:rPr>
        <w:t xml:space="preserve"> </w:t>
      </w:r>
      <w:r>
        <w:rPr>
          <w:rFonts w:ascii="Nirmala UI" w:hAnsi="Nirmala UI" w:eastAsia="Nirmala UI" w:cs="Nirmala UI"/>
        </w:rPr>
        <w:t>পবিত্রধামের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ইঙ্গিত</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সকলের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মহাপবিত্র</w:t>
      </w:r>
      <w:r>
        <w:rPr>
          <w:rFonts w:ascii="Times New Roman" w:hAnsi="Times New Roman" w:eastAsia="Times New Roman" w:cs="Times New Roman"/>
        </w:rPr>
        <w:t xml:space="preserve"> </w:t>
      </w:r>
      <w:r>
        <w:rPr>
          <w:rFonts w:ascii="Nirmala UI" w:hAnsi="Nirmala UI" w:eastAsia="Nirmala UI" w:cs="Nirmala UI"/>
        </w:rPr>
        <w:t>স্থানের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সিন্দুকের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দাঁড়িয়ে</w:t>
      </w:r>
      <w:r>
        <w:rPr>
          <w:rFonts w:ascii="Times New Roman" w:hAnsi="Times New Roman" w:eastAsia="Times New Roman" w:cs="Times New Roman"/>
        </w:rPr>
        <w:t xml:space="preserve"> </w:t>
      </w:r>
      <w:r>
        <w:rPr>
          <w:rFonts w:ascii="Nirmala UI" w:hAnsi="Nirmala UI" w:eastAsia="Nirmala UI" w:cs="Nirmala UI"/>
        </w:rPr>
        <w:t>আছেন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এখনও</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অজ্ঞাতসারে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ব্যবস্থা</w:t>
      </w:r>
      <w:r>
        <w:rPr>
          <w:rFonts w:ascii="Times New Roman" w:hAnsi="Times New Roman" w:eastAsia="Times New Roman" w:cs="Times New Roman"/>
        </w:rPr>
        <w:t xml:space="preserve"> </w:t>
      </w:r>
      <w:r>
        <w:rPr>
          <w:rFonts w:ascii="Nirmala UI" w:hAnsi="Nirmala UI" w:eastAsia="Nirmala UI" w:cs="Nirmala UI"/>
        </w:rPr>
        <w:t>লঙ্ঘন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সকলের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মধ্যস্থতা</w:t>
      </w:r>
      <w:r>
        <w:rPr>
          <w:rFonts w:ascii="Times New Roman" w:hAnsi="Times New Roman" w:eastAsia="Times New Roman" w:cs="Times New Roman"/>
        </w:rPr>
        <w:t xml:space="preserve"> </w:t>
      </w:r>
      <w:r>
        <w:rPr>
          <w:rFonts w:ascii="Nirmala UI" w:hAnsi="Nirmala UI" w:eastAsia="Nirmala UI" w:cs="Nirmala UI"/>
        </w:rPr>
        <w:t>সম্পাদন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প্রায়শ্চিত্ত</w:t>
      </w:r>
      <w:r>
        <w:rPr>
          <w:rFonts w:ascii="Times New Roman" w:hAnsi="Times New Roman" w:eastAsia="Times New Roman" w:cs="Times New Roman"/>
        </w:rPr>
        <w:t xml:space="preserve"> </w:t>
      </w:r>
      <w:r>
        <w:rPr>
          <w:rFonts w:ascii="Nirmala UI" w:hAnsi="Nirmala UI" w:eastAsia="Nirmala UI" w:cs="Nirmala UI"/>
        </w:rPr>
        <w:t>ধার্মিক</w:t>
      </w:r>
      <w:r>
        <w:rPr>
          <w:rFonts w:ascii="Times New Roman" w:hAnsi="Times New Roman" w:eastAsia="Times New Roman" w:cs="Times New Roman"/>
        </w:rPr>
        <w:t xml:space="preserve"> </w:t>
      </w:r>
      <w:r>
        <w:rPr>
          <w:rFonts w:ascii="Nirmala UI" w:hAnsi="Nirmala UI" w:eastAsia="Nirmala UI" w:cs="Nirmala UI"/>
        </w:rPr>
        <w:t>মৃতদের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ধার্মিক</w:t>
      </w:r>
      <w:r>
        <w:rPr>
          <w:rFonts w:ascii="Times New Roman" w:hAnsi="Times New Roman" w:eastAsia="Times New Roman" w:cs="Times New Roman"/>
        </w:rPr>
        <w:t xml:space="preserve"> </w:t>
      </w:r>
      <w:r>
        <w:rPr>
          <w:rFonts w:ascii="Nirmala UI" w:hAnsi="Nirmala UI" w:eastAsia="Nirmala UI" w:cs="Nirmala UI"/>
        </w:rPr>
        <w:t>জীবিতদের</w:t>
      </w:r>
      <w:r>
        <w:rPr>
          <w:rFonts w:ascii="Times New Roman" w:hAnsi="Times New Roman" w:eastAsia="Times New Roman" w:cs="Times New Roman"/>
        </w:rPr>
        <w:t xml:space="preserve"> </w:t>
      </w:r>
      <w:r>
        <w:rPr>
          <w:rFonts w:ascii="Nirmala UI" w:hAnsi="Nirmala UI" w:eastAsia="Nirmala UI" w:cs="Nirmala UI"/>
        </w:rPr>
        <w:t>জন্যও।</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সকলেই</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নির্ভর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মৃত্যুবরণ</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আজ্ঞাসমূহ</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পাওয়ায়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বিধানসমূহ</w:t>
      </w:r>
      <w:r>
        <w:rPr>
          <w:rFonts w:ascii="Times New Roman" w:hAnsi="Times New Roman" w:eastAsia="Times New Roman" w:cs="Times New Roman"/>
        </w:rPr>
        <w:t xml:space="preserve"> </w:t>
      </w:r>
      <w:r>
        <w:rPr>
          <w:rFonts w:ascii="Nirmala UI" w:hAnsi="Nirmala UI" w:eastAsia="Nirmala UI" w:cs="Nirmala UI"/>
        </w:rPr>
        <w:t>লঙ্ঘন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অজ্ঞাতসারে</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Early Writings, 245–254.</w:t>
      </w:r>
    </w:p>
    <w:p>
      <w:pPr>
        <w:pStyle w:val="ArticleBody"/>
        <w:jc w:val="left"/>
      </w:pPr>
      <w:r>
        <w:rPr>
          <w:rFonts w:ascii="Times New Roman" w:hAnsi="Times New Roman" w:eastAsia="Times New Roman" w:cs="Times New Roman"/>
        </w:rPr>
        <w:t>په همدې کتاب کې څو مخونه وروسته، او هماغو مفاهیمو ته چې همدا اوس ورته اشاره وشوه په خطاب کې، خور وایټ څرګندوي چې د میلرایټ په تاریخ کې د دریو پیغامونو ردول د مسیح په تاریخ کې تمثیل شوي وو. هلته هغه دوه شاهدان وړاندې کوي چې یو تدریجي ازمایښتي بهیر په ګوته کوي، داسې بهیر چې له هرې ازموینې څخه بریا غوښتنه کوي، تر څو بلې ازموینې ته د تګ وړتیا پیدا شي.</w:t>
      </w:r>
    </w:p>
    <w:p>
      <w:pPr>
        <w:pStyle w:val="ArticleScripture"/>
        <w:jc w:val="left"/>
      </w:pPr>
      <w:r>
        <w:rPr>
          <w:rFonts w:ascii="Times New Roman" w:hAnsi="Times New Roman" w:eastAsia="Times New Roman" w:cs="Times New Roman"/>
        </w:rPr>
        <w:t>“Jeg så en skare, som stod vel bevogtet og fast, og som ikke gav nogen støtte til dem, der ville rokke legemets grundfæstede tro. Gud så på dem med bifald. Jeg fik vist tre trin — den første, den anden og den tredje engels budskab. Den engel, som ledsagede mig, sagde: ‘Ve den, som flytter en blok eller rører en stift i disse budskaber. Den rette forståelse af disse budskaber er af livsvigtig betydning. Sjæles skæbne afhænger af den måde, hvorpå de modtages.’ Jeg blev igen ført ned gennem disse budskaber og så, hvor dyrt Guds folk havde købt deres erfaring. Den var blevet vundet gennem megen lidelse og hård kamp. Gud havde ledet dem skridt for skridt, indtil Han havde stillet dem på en fast, urokkelig platform. Jeg så enkeltpersoner nærme sig platformen og undersøge grundvolden. Nogle trådte straks op på den med glæde. Andre begyndte at finde fejl ved grundvolden. De ønskede, at der skulle foretages forbedringer, og så ville platformen være mere fuldkommen, og folket langt lykkeligere. Nogle trådte ned fra platformen for at undersøge den og erklærede, at den var lagt forkert. Men jeg så, at næsten alle stod faste på platformen og formanede dem, som var trådt ned, til at ophøre med deres klager; for Gud var Mesterbyggeren, og de kæmpede imod Ham. De genfortalte Guds underfulde gerning, som havde ført dem til den faste platform, og i forening løftede de deres øjne mod himmelen og priste Gud med høj røst. Dette gjorde indtryk på nogle af dem, som havde klaget og forladt platformen, og de trådte atter op på den med ydmygt blik.”</w:t>
      </w:r>
    </w:p>
    <w:p>
      <w:pPr>
        <w:pStyle w:val="ArticleScripture"/>
        <w:jc w:val="left"/>
      </w:pPr>
      <w:r>
        <w:rPr>
          <w:rFonts w:ascii="Times New Roman" w:hAnsi="Times New Roman" w:eastAsia="Times New Roman" w:cs="Times New Roman"/>
        </w:rPr>
        <w:t>«On m’a ramenée à la proclamation du premier avènement de Christ. Jean fut envoyé dans l’esprit et la puissance d’Élie [préfigurant le message du premier ange] pour préparer la voie de Jésus. Ceux qui rejetèrent le témoignage de Jean ne tirèrent aucun profit des enseignements de Jésus [préfigurant le message du second ange]. Leur opposition au message qui annonçait sa venue les plaça dans une position où ils ne pouvaient recevoir aisément les preuves les plus fortes qu’il était le Messie. Satan poussa ceux qui rejetèrent le message de Jean à aller plus loin encore, jusqu’à rejeter et crucifier Christ [préfigurant le message du troisième ange]. En agissant ainsi, ils se placèrent là où ils ne pouvaient recevoir la bénédiction du jour de la Pentecôte, [préfigurant l’ange d’Apocalypse dix-huit] qui leur aurait enseigné le chemin du sanctuaire céleste. La déchirure du voile du temple montra que les sacrifices et les ordonnances juifs ne seraient plus reçus. Le grand Sacrifice avait été offert et avait été accepté, et le Saint-Esprit qui descendit au jour de la Pentecôte détourna l’esprit des disciples du sanctuaire terrestre vers le sanctuaire céleste, où Jésus était entré par son propre sang, pour répandre sur ses disciples les bienfaits de son expiation. Mais les Juifs furent laissés dans de profondes ténèbres. Ils perdirent toute la lumière qu’ils auraient pu avoir sur le plan du salut, et continuèrent à se confier dans leurs sacrifices et leurs offrandes inutiles. Le sanctuaire céleste avait pris la place du sanctuaire terrestre, pourtant ils n’avaient aucune connaissance de ce changement. Par conséquent, ils ne pouvaient recevoir aucun bénéfice de la médiation de Christ dans le lieu saint.»</w:t>
      </w:r>
    </w:p>
    <w:p>
      <w:pPr>
        <w:pStyle w:val="ArticleScripture"/>
        <w:jc w:val="left"/>
      </w:pPr>
      <w:r>
        <w:rPr>
          <w:rFonts w:ascii="Times New Roman" w:hAnsi="Times New Roman" w:eastAsia="Times New Roman" w:cs="Times New Roman"/>
        </w:rPr>
        <w:t>“</w:t>
      </w:r>
      <w:r>
        <w:rPr>
          <w:rFonts w:ascii="Nirmala UI" w:hAnsi="Nirmala UI" w:eastAsia="Nirmala UI" w:cs="Nirmala UI"/>
        </w:rPr>
        <w:t>ધણા</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યહૂદીઓએ</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નકારી</w:t>
      </w:r>
      <w:r>
        <w:rPr>
          <w:rFonts w:ascii="Times New Roman" w:hAnsi="Times New Roman" w:eastAsia="Times New Roman" w:cs="Times New Roman"/>
        </w:rPr>
        <w:t xml:space="preserve"> </w:t>
      </w:r>
      <w:r>
        <w:rPr>
          <w:rFonts w:ascii="Nirmala UI" w:hAnsi="Nirmala UI" w:eastAsia="Nirmala UI" w:cs="Nirmala UI"/>
        </w:rPr>
        <w:t>કાઢવામાં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ક્રૂસ</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ચઢાવવામાં</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અપનાવ્યો</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ભય</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જુએ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લજ્જાસ્પદ</w:t>
      </w:r>
      <w:r>
        <w:rPr>
          <w:rFonts w:ascii="Times New Roman" w:hAnsi="Times New Roman" w:eastAsia="Times New Roman" w:cs="Times New Roman"/>
        </w:rPr>
        <w:t xml:space="preserve"> </w:t>
      </w:r>
      <w:r>
        <w:rPr>
          <w:rFonts w:ascii="Nirmala UI" w:hAnsi="Nirmala UI" w:eastAsia="Nirmala UI" w:cs="Nirmala UI"/>
        </w:rPr>
        <w:t>અપમાનનો</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વાંચે</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પ્રેમ</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નકારી</w:t>
      </w:r>
      <w:r>
        <w:rPr>
          <w:rFonts w:ascii="Times New Roman" w:hAnsi="Times New Roman" w:eastAsia="Times New Roman" w:cs="Times New Roman"/>
        </w:rPr>
        <w:t xml:space="preserve"> </w:t>
      </w:r>
      <w:r>
        <w:rPr>
          <w:rFonts w:ascii="Nirmala UI" w:hAnsi="Nirmala UI" w:eastAsia="Nirmala UI" w:cs="Nirmala UI"/>
        </w:rPr>
        <w:t>કાઢ્યા</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યહૂદીઓએ</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ક્રૂસ</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ચઢાવ્યા</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કદી</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સર્વના</w:t>
      </w:r>
      <w:r>
        <w:rPr>
          <w:rFonts w:ascii="Times New Roman" w:hAnsi="Times New Roman" w:eastAsia="Times New Roman" w:cs="Times New Roman"/>
        </w:rPr>
        <w:t xml:space="preserve"> </w:t>
      </w:r>
      <w:r>
        <w:rPr>
          <w:rFonts w:ascii="Nirmala UI" w:hAnsi="Nirmala UI" w:eastAsia="Nirmala UI" w:cs="Nirmala UI"/>
        </w:rPr>
        <w:t>હૃદયો</w:t>
      </w:r>
      <w:r>
        <w:rPr>
          <w:rFonts w:ascii="Times New Roman" w:hAnsi="Times New Roman" w:eastAsia="Times New Roman" w:cs="Times New Roman"/>
        </w:rPr>
        <w:t xml:space="preserve"> </w:t>
      </w:r>
      <w:r>
        <w:rPr>
          <w:rFonts w:ascii="Nirmala UI" w:hAnsi="Nirmala UI" w:eastAsia="Nirmala UI" w:cs="Nirmala UI"/>
        </w:rPr>
        <w:t>વાંચે</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યેસુ</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તેઓએ</w:t>
      </w:r>
      <w:r>
        <w:rPr>
          <w:rFonts w:ascii="Times New Roman" w:hAnsi="Times New Roman" w:eastAsia="Times New Roman" w:cs="Times New Roman"/>
        </w:rPr>
        <w:t xml:space="preserve"> </w:t>
      </w:r>
      <w:r>
        <w:rPr>
          <w:rFonts w:ascii="Nirmala UI" w:hAnsi="Nirmala UI" w:eastAsia="Nirmala UI" w:cs="Nirmala UI"/>
        </w:rPr>
        <w:t>અનુભવી</w:t>
      </w:r>
      <w:r>
        <w:rPr>
          <w:rFonts w:ascii="Times New Roman" w:hAnsi="Times New Roman" w:eastAsia="Times New Roman" w:cs="Times New Roman"/>
        </w:rPr>
        <w:t xml:space="preserve"> </w:t>
      </w:r>
      <w:r>
        <w:rPr>
          <w:rFonts w:ascii="Nirmala UI" w:hAnsi="Nirmala UI" w:eastAsia="Nirmala UI" w:cs="Nirmala UI"/>
        </w:rPr>
        <w:t>હોવાનો</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પ્રેમને</w:t>
      </w:r>
      <w:r>
        <w:rPr>
          <w:rFonts w:ascii="Times New Roman" w:hAnsi="Times New Roman" w:eastAsia="Times New Roman" w:cs="Times New Roman"/>
        </w:rPr>
        <w:t xml:space="preserve"> </w:t>
      </w:r>
      <w:r>
        <w:rPr>
          <w:rFonts w:ascii="Nirmala UI" w:hAnsi="Nirmala UI" w:eastAsia="Nirmala UI" w:cs="Nirmala UI"/>
        </w:rPr>
        <w:t>કસોટી</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મૂક્યો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સ્વીકારને</w:t>
      </w:r>
      <w:r>
        <w:rPr>
          <w:rFonts w:ascii="Times New Roman" w:hAnsi="Times New Roman" w:eastAsia="Times New Roman" w:cs="Times New Roman"/>
        </w:rPr>
        <w:t xml:space="preserve"> </w:t>
      </w:r>
      <w:r>
        <w:rPr>
          <w:rFonts w:ascii="Nirmala UI" w:hAnsi="Nirmala UI" w:eastAsia="Nirmala UI" w:cs="Nirmala UI"/>
        </w:rPr>
        <w:t>લઈને</w:t>
      </w:r>
      <w:r>
        <w:rPr>
          <w:rFonts w:ascii="Times New Roman" w:hAnsi="Times New Roman" w:eastAsia="Times New Roman" w:cs="Times New Roman"/>
        </w:rPr>
        <w:t xml:space="preserve"> </w:t>
      </w:r>
      <w:r>
        <w:rPr>
          <w:rFonts w:ascii="Nirmala UI" w:hAnsi="Nirmala UI" w:eastAsia="Nirmala UI" w:cs="Nirmala UI"/>
        </w:rPr>
        <w:t>સમગ્ર</w:t>
      </w:r>
      <w:r>
        <w:rPr>
          <w:rFonts w:ascii="Times New Roman" w:hAnsi="Times New Roman" w:eastAsia="Times New Roman" w:cs="Times New Roman"/>
        </w:rPr>
        <w:t xml:space="preserve"> </w:t>
      </w:r>
      <w:r>
        <w:rPr>
          <w:rFonts w:ascii="Nirmala UI" w:hAnsi="Nirmala UI" w:eastAsia="Nirmala UI" w:cs="Nirmala UI"/>
        </w:rPr>
        <w:t>સ્વર્ગે</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ઊંડા</w:t>
      </w:r>
      <w:r>
        <w:rPr>
          <w:rFonts w:ascii="Times New Roman" w:hAnsi="Times New Roman" w:eastAsia="Times New Roman" w:cs="Times New Roman"/>
        </w:rPr>
        <w:t xml:space="preserve"> </w:t>
      </w:r>
      <w:r>
        <w:rPr>
          <w:rFonts w:ascii="Nirmala UI" w:hAnsi="Nirmala UI" w:eastAsia="Nirmala UI" w:cs="Nirmala UI"/>
        </w:rPr>
        <w:t>રસથી</w:t>
      </w:r>
      <w:r>
        <w:rPr>
          <w:rFonts w:ascii="Times New Roman" w:hAnsi="Times New Roman" w:eastAsia="Times New Roman" w:cs="Times New Roman"/>
        </w:rPr>
        <w:t xml:space="preserve"> </w:t>
      </w:r>
      <w:r>
        <w:rPr>
          <w:rFonts w:ascii="Nirmala UI" w:hAnsi="Nirmala UI" w:eastAsia="Nirmala UI" w:cs="Nirmala UI"/>
        </w:rPr>
        <w:t>નિહાળ્યું</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યેસુને</w:t>
      </w:r>
      <w:r>
        <w:rPr>
          <w:rFonts w:ascii="Times New Roman" w:hAnsi="Times New Roman" w:eastAsia="Times New Roman" w:cs="Times New Roman"/>
        </w:rPr>
        <w:t xml:space="preserve"> </w:t>
      </w:r>
      <w:r>
        <w:rPr>
          <w:rFonts w:ascii="Nirmala UI" w:hAnsi="Nirmala UI" w:eastAsia="Nirmala UI" w:cs="Nirmala UI"/>
        </w:rPr>
        <w:t>પ્રેમ</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હોવાનો</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ક્રોસની</w:t>
      </w:r>
      <w:r>
        <w:rPr>
          <w:rFonts w:ascii="Times New Roman" w:hAnsi="Times New Roman" w:eastAsia="Times New Roman" w:cs="Times New Roman"/>
        </w:rPr>
        <w:t xml:space="preserve"> </w:t>
      </w:r>
      <w:r>
        <w:rPr>
          <w:rFonts w:ascii="Nirmala UI" w:hAnsi="Nirmala UI" w:eastAsia="Nirmala UI" w:cs="Nirmala UI"/>
        </w:rPr>
        <w:t>વાર્તા</w:t>
      </w:r>
      <w:r>
        <w:rPr>
          <w:rFonts w:ascii="Times New Roman" w:hAnsi="Times New Roman" w:eastAsia="Times New Roman" w:cs="Times New Roman"/>
        </w:rPr>
        <w:t xml:space="preserve"> </w:t>
      </w:r>
      <w:r>
        <w:rPr>
          <w:rFonts w:ascii="Nirmala UI" w:hAnsi="Nirmala UI" w:eastAsia="Nirmala UI" w:cs="Nirmala UI"/>
        </w:rPr>
        <w:t>વાંચતાં</w:t>
      </w:r>
      <w:r>
        <w:rPr>
          <w:rFonts w:ascii="Times New Roman" w:hAnsi="Times New Roman" w:eastAsia="Times New Roman" w:cs="Times New Roman"/>
        </w:rPr>
        <w:t xml:space="preserve"> </w:t>
      </w:r>
      <w:r>
        <w:rPr>
          <w:rFonts w:ascii="Nirmala UI" w:hAnsi="Nirmala UI" w:eastAsia="Nirmala UI" w:cs="Nirmala UI"/>
        </w:rPr>
        <w:t>આંસુ</w:t>
      </w:r>
      <w:r>
        <w:rPr>
          <w:rFonts w:ascii="Times New Roman" w:hAnsi="Times New Roman" w:eastAsia="Times New Roman" w:cs="Times New Roman"/>
        </w:rPr>
        <w:t xml:space="preserve"> </w:t>
      </w:r>
      <w:r>
        <w:rPr>
          <w:rFonts w:ascii="Nirmala UI" w:hAnsi="Nirmala UI" w:eastAsia="Nirmala UI" w:cs="Nirmala UI"/>
        </w:rPr>
        <w:t>વહાવતા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તેઓએ</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આગમનની</w:t>
      </w:r>
      <w:r>
        <w:rPr>
          <w:rFonts w:ascii="Times New Roman" w:hAnsi="Times New Roman" w:eastAsia="Times New Roman" w:cs="Times New Roman"/>
        </w:rPr>
        <w:t xml:space="preserve"> </w:t>
      </w:r>
      <w:r>
        <w:rPr>
          <w:rFonts w:ascii="Nirmala UI" w:hAnsi="Nirmala UI" w:eastAsia="Nirmala UI" w:cs="Nirmala UI"/>
        </w:rPr>
        <w:t>સુસમાચારની</w:t>
      </w:r>
      <w:r>
        <w:rPr>
          <w:rFonts w:ascii="Times New Roman" w:hAnsi="Times New Roman" w:eastAsia="Times New Roman" w:cs="Times New Roman"/>
        </w:rPr>
        <w:t xml:space="preserve"> </w:t>
      </w:r>
      <w:r>
        <w:rPr>
          <w:rFonts w:ascii="Nirmala UI" w:hAnsi="Nirmala UI" w:eastAsia="Nirmala UI" w:cs="Nirmala UI"/>
        </w:rPr>
        <w:t>ઠઠ્ઠા</w:t>
      </w:r>
      <w:r>
        <w:rPr>
          <w:rFonts w:ascii="Times New Roman" w:hAnsi="Times New Roman" w:eastAsia="Times New Roman" w:cs="Times New Roman"/>
        </w:rPr>
        <w:t xml:space="preserve"> </w:t>
      </w:r>
      <w:r>
        <w:rPr>
          <w:rFonts w:ascii="Nirmala UI" w:hAnsi="Nirmala UI" w:eastAsia="Nirmala UI" w:cs="Nirmala UI"/>
        </w:rPr>
        <w:t>ઉડાવી</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આનંદથી</w:t>
      </w:r>
      <w:r>
        <w:rPr>
          <w:rFonts w:ascii="Times New Roman" w:hAnsi="Times New Roman" w:eastAsia="Times New Roman" w:cs="Times New Roman"/>
        </w:rPr>
        <w:t xml:space="preserve"> </w:t>
      </w:r>
      <w:r>
        <w:rPr>
          <w:rFonts w:ascii="Nirmala UI" w:hAnsi="Nirmala UI" w:eastAsia="Nirmala UI" w:cs="Nirmala UI"/>
        </w:rPr>
        <w:t>સ્વીકારવાને</w:t>
      </w:r>
      <w:r>
        <w:rPr>
          <w:rFonts w:ascii="Times New Roman" w:hAnsi="Times New Roman" w:eastAsia="Times New Roman" w:cs="Times New Roman"/>
        </w:rPr>
        <w:t xml:space="preserve"> </w:t>
      </w:r>
      <w:r>
        <w:rPr>
          <w:rFonts w:ascii="Nirmala UI" w:hAnsi="Nirmala UI" w:eastAsia="Nirmala UI" w:cs="Nirmala UI"/>
        </w:rPr>
        <w:t>બદલે</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ભ્રમ</w:t>
      </w:r>
      <w:r>
        <w:rPr>
          <w:rFonts w:ascii="Times New Roman" w:hAnsi="Times New Roman" w:eastAsia="Times New Roman" w:cs="Times New Roman"/>
        </w:rPr>
        <w:t xml:space="preserve"> </w:t>
      </w:r>
      <w:r>
        <w:rPr>
          <w:rFonts w:ascii="Nirmala UI" w:hAnsi="Nirmala UI" w:eastAsia="Nirmala UI" w:cs="Nirmala UI"/>
        </w:rPr>
        <w:t>જાહેર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જેમને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થવાનું</w:t>
      </w:r>
      <w:r>
        <w:rPr>
          <w:rFonts w:ascii="Times New Roman" w:hAnsi="Times New Roman" w:eastAsia="Times New Roman" w:cs="Times New Roman"/>
        </w:rPr>
        <w:t xml:space="preserve"> </w:t>
      </w:r>
      <w:r>
        <w:rPr>
          <w:rFonts w:ascii="Nirmala UI" w:hAnsi="Nirmala UI" w:eastAsia="Nirmala UI" w:cs="Nirmala UI"/>
        </w:rPr>
        <w:t>પ્રેમ</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તેઓને</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દ્વેષ</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કલીસિયાઓમાંથી</w:t>
      </w:r>
      <w:r>
        <w:rPr>
          <w:rFonts w:ascii="Times New Roman" w:hAnsi="Times New Roman" w:eastAsia="Times New Roman" w:cs="Times New Roman"/>
        </w:rPr>
        <w:t xml:space="preserve"> </w:t>
      </w:r>
      <w:r>
        <w:rPr>
          <w:rFonts w:ascii="Nirmala UI" w:hAnsi="Nirmala UI" w:eastAsia="Nirmala UI" w:cs="Nirmala UI"/>
        </w:rPr>
        <w:t>બહાર</w:t>
      </w:r>
      <w:r>
        <w:rPr>
          <w:rFonts w:ascii="Times New Roman" w:hAnsi="Times New Roman" w:eastAsia="Times New Roman" w:cs="Times New Roman"/>
        </w:rPr>
        <w:t xml:space="preserve"> </w:t>
      </w:r>
      <w:r>
        <w:rPr>
          <w:rFonts w:ascii="Nirmala UI" w:hAnsi="Nirmala UI" w:eastAsia="Nirmala UI" w:cs="Nirmala UI"/>
        </w:rPr>
        <w:t>કાઢી</w:t>
      </w:r>
      <w:r>
        <w:rPr>
          <w:rFonts w:ascii="Times New Roman" w:hAnsi="Times New Roman" w:eastAsia="Times New Roman" w:cs="Times New Roman"/>
        </w:rPr>
        <w:t xml:space="preserve"> </w:t>
      </w:r>
      <w:r>
        <w:rPr>
          <w:rFonts w:ascii="Nirmala UI" w:hAnsi="Nirmala UI" w:eastAsia="Nirmala UI" w:cs="Nirmala UI"/>
        </w:rPr>
        <w:t>મૂક્યા</w:t>
      </w:r>
      <w:r>
        <w:rPr>
          <w:rFonts w:ascii="Times New Roman" w:hAnsi="Times New Roman" w:eastAsia="Times New Roman" w:cs="Times New Roman"/>
        </w:rPr>
        <w:t xml:space="preserve">. </w:t>
      </w:r>
      <w:r>
        <w:rPr>
          <w:rFonts w:ascii="Nirmala UI" w:hAnsi="Nirmala UI" w:eastAsia="Nirmala UI" w:cs="Nirmala UI"/>
        </w:rPr>
        <w:t>જેમણે</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નકાર્યો</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લાભ</w:t>
      </w:r>
      <w:r>
        <w:rPr>
          <w:rFonts w:ascii="Times New Roman" w:hAnsi="Times New Roman" w:eastAsia="Times New Roman" w:cs="Times New Roman"/>
        </w:rPr>
        <w:t xml:space="preserve"> </w:t>
      </w:r>
      <w:r>
        <w:rPr>
          <w:rFonts w:ascii="Nirmala UI" w:hAnsi="Nirmala UI" w:eastAsia="Nirmala UI" w:cs="Nirmala UI"/>
        </w:rPr>
        <w:t>પામી</w:t>
      </w:r>
      <w:r>
        <w:rPr>
          <w:rFonts w:ascii="Times New Roman" w:hAnsi="Times New Roman" w:eastAsia="Times New Roman" w:cs="Times New Roman"/>
        </w:rPr>
        <w:t xml:space="preserve"> </w:t>
      </w:r>
      <w:r>
        <w:rPr>
          <w:rFonts w:ascii="Nirmala UI" w:hAnsi="Nirmala UI" w:eastAsia="Nirmala UI" w:cs="Nirmala UI"/>
        </w:rPr>
        <w:t>શક્યા</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મધરાત્રિના</w:t>
      </w:r>
      <w:r>
        <w:rPr>
          <w:rFonts w:ascii="Times New Roman" w:hAnsi="Times New Roman" w:eastAsia="Times New Roman" w:cs="Times New Roman"/>
        </w:rPr>
        <w:t xml:space="preserve"> </w:t>
      </w:r>
      <w:r>
        <w:rPr>
          <w:rFonts w:ascii="Nirmala UI" w:hAnsi="Nirmala UI" w:eastAsia="Nirmala UI" w:cs="Nirmala UI"/>
        </w:rPr>
        <w:t>જયઘોષથી</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તેઓને</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લાભ</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યેસુ</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સ્વર્ગીય</w:t>
      </w:r>
      <w:r>
        <w:rPr>
          <w:rFonts w:ascii="Times New Roman" w:hAnsi="Times New Roman" w:eastAsia="Times New Roman" w:cs="Times New Roman"/>
        </w:rPr>
        <w:t xml:space="preserve"> </w:t>
      </w:r>
      <w:r>
        <w:rPr>
          <w:rFonts w:ascii="Nirmala UI" w:hAnsi="Nirmala UI" w:eastAsia="Nirmala UI" w:cs="Nirmala UI"/>
        </w:rPr>
        <w:t>પવિત્રસ્થાનના</w:t>
      </w:r>
      <w:r>
        <w:rPr>
          <w:rFonts w:ascii="Times New Roman" w:hAnsi="Times New Roman" w:eastAsia="Times New Roman" w:cs="Times New Roman"/>
        </w:rPr>
        <w:t xml:space="preserve"> </w:t>
      </w:r>
      <w:r>
        <w:rPr>
          <w:rFonts w:ascii="Nirmala UI" w:hAnsi="Nirmala UI" w:eastAsia="Nirmala UI" w:cs="Nirmala UI"/>
        </w:rPr>
        <w:t>પરમપવિત્ર</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પ્રવેશ</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નકારી</w:t>
      </w:r>
      <w:r>
        <w:rPr>
          <w:rFonts w:ascii="Times New Roman" w:hAnsi="Times New Roman" w:eastAsia="Times New Roman" w:cs="Times New Roman"/>
        </w:rPr>
        <w:t xml:space="preserve"> </w:t>
      </w:r>
      <w:r>
        <w:rPr>
          <w:rFonts w:ascii="Nirmala UI" w:hAnsi="Nirmala UI" w:eastAsia="Nirmala UI" w:cs="Nirmala UI"/>
        </w:rPr>
        <w:t>કાઢવાથી</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સમજને</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અંધકારી</w:t>
      </w:r>
      <w:r>
        <w:rPr>
          <w:rFonts w:ascii="Times New Roman" w:hAnsi="Times New Roman" w:eastAsia="Times New Roman" w:cs="Times New Roman"/>
        </w:rPr>
        <w:t xml:space="preserve"> </w:t>
      </w:r>
      <w:r>
        <w:rPr>
          <w:rFonts w:ascii="Nirmala UI" w:hAnsi="Nirmala UI" w:eastAsia="Nirmala UI" w:cs="Nirmala UI"/>
        </w:rPr>
        <w:t>બનાવી</w:t>
      </w:r>
      <w:r>
        <w:rPr>
          <w:rFonts w:ascii="Times New Roman" w:hAnsi="Times New Roman" w:eastAsia="Times New Roman" w:cs="Times New Roman"/>
        </w:rPr>
        <w:t xml:space="preserve"> </w:t>
      </w:r>
      <w:r>
        <w:rPr>
          <w:rFonts w:ascii="Nirmala UI" w:hAnsi="Nirmala UI" w:eastAsia="Nirmala UI" w:cs="Nirmala UI"/>
        </w:rPr>
        <w:t>દીધી</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સંદેશમાં</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પરમપવિત્ર</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જવાનો</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દર્શાવતો</w:t>
      </w:r>
      <w:r>
        <w:rPr>
          <w:rFonts w:ascii="Times New Roman" w:hAnsi="Times New Roman" w:eastAsia="Times New Roman" w:cs="Times New Roman"/>
        </w:rPr>
        <w:t xml:space="preserve"> </w:t>
      </w:r>
      <w:r>
        <w:rPr>
          <w:rFonts w:ascii="Nirmala UI" w:hAnsi="Nirmala UI" w:eastAsia="Nirmala UI" w:cs="Nirmala UI"/>
        </w:rPr>
        <w:t>પ્રકાશ</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જોઈ</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યહૂદીઓએ</w:t>
      </w:r>
      <w:r>
        <w:rPr>
          <w:rFonts w:ascii="Times New Roman" w:hAnsi="Times New Roman" w:eastAsia="Times New Roman" w:cs="Times New Roman"/>
        </w:rPr>
        <w:t xml:space="preserve"> </w:t>
      </w:r>
      <w:r>
        <w:rPr>
          <w:rFonts w:ascii="Nirmala UI" w:hAnsi="Nirmala UI" w:eastAsia="Nirmala UI" w:cs="Nirmala UI"/>
        </w:rPr>
        <w:t>યેસુને</w:t>
      </w:r>
      <w:r>
        <w:rPr>
          <w:rFonts w:ascii="Times New Roman" w:hAnsi="Times New Roman" w:eastAsia="Times New Roman" w:cs="Times New Roman"/>
        </w:rPr>
        <w:t xml:space="preserve"> </w:t>
      </w:r>
      <w:r>
        <w:rPr>
          <w:rFonts w:ascii="Nirmala UI" w:hAnsi="Nirmala UI" w:eastAsia="Nirmala UI" w:cs="Nirmala UI"/>
        </w:rPr>
        <w:t>ક્રૂસ</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ચઢાવ્યો</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નામમાત્રની</w:t>
      </w:r>
      <w:r>
        <w:rPr>
          <w:rFonts w:ascii="Times New Roman" w:hAnsi="Times New Roman" w:eastAsia="Times New Roman" w:cs="Times New Roman"/>
        </w:rPr>
        <w:t xml:space="preserve"> </w:t>
      </w:r>
      <w:r>
        <w:rPr>
          <w:rFonts w:ascii="Nirmala UI" w:hAnsi="Nirmala UI" w:eastAsia="Nirmala UI" w:cs="Nirmala UI"/>
        </w:rPr>
        <w:t>કલીસિયાઓએ</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સંદેશાઓને</w:t>
      </w:r>
      <w:r>
        <w:rPr>
          <w:rFonts w:ascii="Times New Roman" w:hAnsi="Times New Roman" w:eastAsia="Times New Roman" w:cs="Times New Roman"/>
        </w:rPr>
        <w:t xml:space="preserve"> </w:t>
      </w:r>
      <w:r>
        <w:rPr>
          <w:rFonts w:ascii="Nirmala UI" w:hAnsi="Nirmala UI" w:eastAsia="Nirmala UI" w:cs="Nirmala UI"/>
        </w:rPr>
        <w:t>ક્રૂસ</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ચઢાવ્યાં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પરમપવિત્ર</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જવાના</w:t>
      </w:r>
      <w:r>
        <w:rPr>
          <w:rFonts w:ascii="Times New Roman" w:hAnsi="Times New Roman" w:eastAsia="Times New Roman" w:cs="Times New Roman"/>
        </w:rPr>
        <w:t xml:space="preserve"> </w:t>
      </w:r>
      <w:r>
        <w:rPr>
          <w:rFonts w:ascii="Nirmala UI" w:hAnsi="Nirmala UI" w:eastAsia="Nirmala UI" w:cs="Nirmala UI"/>
        </w:rPr>
        <w:t>માર્ગનું</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જ્ઞાન</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યેસુ</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મધ્યસ્થતા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તેનાથી</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લાભ</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યહૂદીઓ</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નિષ્ફળ</w:t>
      </w:r>
      <w:r>
        <w:rPr>
          <w:rFonts w:ascii="Times New Roman" w:hAnsi="Times New Roman" w:eastAsia="Times New Roman" w:cs="Times New Roman"/>
        </w:rPr>
        <w:t xml:space="preserve"> </w:t>
      </w:r>
      <w:r>
        <w:rPr>
          <w:rFonts w:ascii="Nirmala UI" w:hAnsi="Nirmala UI" w:eastAsia="Nirmala UI" w:cs="Nirmala UI"/>
        </w:rPr>
        <w:t>બલિદાનો</w:t>
      </w:r>
      <w:r>
        <w:rPr>
          <w:rFonts w:ascii="Times New Roman" w:hAnsi="Times New Roman" w:eastAsia="Times New Roman" w:cs="Times New Roman"/>
        </w:rPr>
        <w:t xml:space="preserve"> </w:t>
      </w:r>
      <w:r>
        <w:rPr>
          <w:rFonts w:ascii="Nirmala UI" w:hAnsi="Nirmala UI" w:eastAsia="Nirmala UI" w:cs="Nirmala UI"/>
        </w:rPr>
        <w:t>અર્પણ</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યેસુએ</w:t>
      </w:r>
      <w:r>
        <w:rPr>
          <w:rFonts w:ascii="Times New Roman" w:hAnsi="Times New Roman" w:eastAsia="Times New Roman" w:cs="Times New Roman"/>
        </w:rPr>
        <w:t xml:space="preserve"> </w:t>
      </w:r>
      <w:r>
        <w:rPr>
          <w:rFonts w:ascii="Nirmala UI" w:hAnsi="Nirmala UI" w:eastAsia="Nirmala UI" w:cs="Nirmala UI"/>
        </w:rPr>
        <w:t>છોડેલા</w:t>
      </w:r>
      <w:r>
        <w:rPr>
          <w:rFonts w:ascii="Times New Roman" w:hAnsi="Times New Roman" w:eastAsia="Times New Roman" w:cs="Times New Roman"/>
        </w:rPr>
        <w:t xml:space="preserve"> </w:t>
      </w:r>
      <w:r>
        <w:rPr>
          <w:rFonts w:ascii="Nirmala UI" w:hAnsi="Nirmala UI" w:eastAsia="Nirmala UI" w:cs="Nirmala UI"/>
        </w:rPr>
        <w:t>વિભાગ</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નિષ્ફળ</w:t>
      </w:r>
      <w:r>
        <w:rPr>
          <w:rFonts w:ascii="Times New Roman" w:hAnsi="Times New Roman" w:eastAsia="Times New Roman" w:cs="Times New Roman"/>
        </w:rPr>
        <w:t xml:space="preserve"> </w:t>
      </w:r>
      <w:r>
        <w:rPr>
          <w:rFonts w:ascii="Nirmala UI" w:hAnsi="Nirmala UI" w:eastAsia="Nirmala UI" w:cs="Nirmala UI"/>
        </w:rPr>
        <w:t>પ્રાર્થનાઓ</w:t>
      </w:r>
      <w:r>
        <w:rPr>
          <w:rFonts w:ascii="Times New Roman" w:hAnsi="Times New Roman" w:eastAsia="Times New Roman" w:cs="Times New Roman"/>
        </w:rPr>
        <w:t xml:space="preserve"> </w:t>
      </w:r>
      <w:r>
        <w:rPr>
          <w:rFonts w:ascii="Nirmala UI" w:hAnsi="Nirmala UI" w:eastAsia="Nirmala UI" w:cs="Nirmala UI"/>
        </w:rPr>
        <w:t>અર્પે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ભ્રમથી</w:t>
      </w:r>
      <w:r>
        <w:rPr>
          <w:rFonts w:ascii="Times New Roman" w:hAnsi="Times New Roman" w:eastAsia="Times New Roman" w:cs="Times New Roman"/>
        </w:rPr>
        <w:t xml:space="preserve"> </w:t>
      </w:r>
      <w:r>
        <w:rPr>
          <w:rFonts w:ascii="Nirmala UI" w:hAnsi="Nirmala UI" w:eastAsia="Nirmala UI" w:cs="Nirmala UI"/>
        </w:rPr>
        <w:t>પ્રસન્ન</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ધાર્મિક</w:t>
      </w:r>
      <w:r>
        <w:rPr>
          <w:rFonts w:ascii="Times New Roman" w:hAnsi="Times New Roman" w:eastAsia="Times New Roman" w:cs="Times New Roman"/>
        </w:rPr>
        <w:t xml:space="preserve"> </w:t>
      </w:r>
      <w:r>
        <w:rPr>
          <w:rFonts w:ascii="Nirmala UI" w:hAnsi="Nirmala UI" w:eastAsia="Nirmala UI" w:cs="Nirmala UI"/>
        </w:rPr>
        <w:t>સ્વરૂપ</w:t>
      </w:r>
      <w:r>
        <w:rPr>
          <w:rFonts w:ascii="Times New Roman" w:hAnsi="Times New Roman" w:eastAsia="Times New Roman" w:cs="Times New Roman"/>
        </w:rPr>
        <w:t xml:space="preserve"> </w:t>
      </w:r>
      <w:r>
        <w:rPr>
          <w:rFonts w:ascii="Nirmala UI" w:hAnsi="Nirmala UI" w:eastAsia="Nirmala UI" w:cs="Nirmala UI"/>
        </w:rPr>
        <w:t>ધારણ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હોવાનો</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કરનારાઓના</w:t>
      </w:r>
      <w:r>
        <w:rPr>
          <w:rFonts w:ascii="Times New Roman" w:hAnsi="Times New Roman" w:eastAsia="Times New Roman" w:cs="Times New Roman"/>
        </w:rPr>
        <w:t xml:space="preserve"> </w:t>
      </w:r>
      <w:r>
        <w:rPr>
          <w:rFonts w:ascii="Nirmala UI" w:hAnsi="Nirmala UI" w:eastAsia="Nirmala UI" w:cs="Nirmala UI"/>
        </w:rPr>
        <w:t>મનને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બળથી</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ચિહ્નોથી</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અજાયબીઓથી</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ફાંસામાં</w:t>
      </w:r>
      <w:r>
        <w:rPr>
          <w:rFonts w:ascii="Times New Roman" w:hAnsi="Times New Roman" w:eastAsia="Times New Roman" w:cs="Times New Roman"/>
        </w:rPr>
        <w:t xml:space="preserve"> </w:t>
      </w:r>
      <w:r>
        <w:rPr>
          <w:rFonts w:ascii="Nirmala UI" w:hAnsi="Nirmala UI" w:eastAsia="Nirmala UI" w:cs="Nirmala UI"/>
        </w:rPr>
        <w:t>મજબૂતીથી</w:t>
      </w:r>
      <w:r>
        <w:rPr>
          <w:rFonts w:ascii="Times New Roman" w:hAnsi="Times New Roman" w:eastAsia="Times New Roman" w:cs="Times New Roman"/>
        </w:rPr>
        <w:t xml:space="preserve"> </w:t>
      </w:r>
      <w:r>
        <w:rPr>
          <w:rFonts w:ascii="Nirmala UI" w:hAnsi="Nirmala UI" w:eastAsia="Nirmala UI" w:cs="Nirmala UI"/>
        </w:rPr>
        <w:t>બંધાઈ</w:t>
      </w:r>
      <w:r>
        <w:rPr>
          <w:rFonts w:ascii="Times New Roman" w:hAnsi="Times New Roman" w:eastAsia="Times New Roman" w:cs="Times New Roman"/>
        </w:rPr>
        <w:t xml:space="preserve"> </w:t>
      </w:r>
      <w:r>
        <w:rPr>
          <w:rFonts w:ascii="Nirmala UI" w:hAnsi="Nirmala UI" w:eastAsia="Nirmala UI" w:cs="Nirmala UI"/>
        </w:rPr>
        <w:t>રાખવા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Early Writings, 258–261.</w:t>
      </w:r>
    </w:p>
    <w:p>
      <w:pPr>
        <w:pStyle w:val="ArticleBody"/>
        <w:jc w:val="left"/>
      </w:pPr>
      <w:r>
        <w:rPr>
          <w:rFonts w:ascii="Times New Roman" w:hAnsi="Times New Roman" w:eastAsia="Times New Roman" w:cs="Times New Roman"/>
        </w:rPr>
        <w:t>Les passages tirés du livre *Early Writings* ont été enseignés à maintes reprises par le ministère de Future for America. Mais ces passages illustrent des vérités qui sont demeurées inaperçues.</w:t>
      </w:r>
    </w:p>
    <w:p>
      <w:pPr>
        <w:pStyle w:val="ArticleBody"/>
        <w:jc w:val="left"/>
      </w:pPr>
      <w:r>
        <w:rPr>
          <w:rFonts w:ascii="Times New Roman" w:hAnsi="Times New Roman" w:eastAsia="Times New Roman" w:cs="Times New Roman"/>
        </w:rPr>
        <w:t>Τα ορόσημα της ιστορίας του Μιλλεριτικού κινήματος είναι θεμελιωμένα επάνω σε διάφορα μεταρρυθμιστικά κινήματα της Αγίας Γραφής. Χωρίς κάποια εξοικείωση με τα ορόσημα που απαντώνται σε κάθε μεταρρυθμιστικό κίνημα, είναι μάλλον απίθανο να κατανοήσει κανείς τη σημασία της διάκρισης μεταξύ τού πότε ένα μήνυμα «φθάνει» και τού πότε «ενδυναμώνεται». Είναι επίσης πιθανό ότι πολλοί από εκείνους που είναι εξοικειωμένοι με τα παράλληλα μεταρρυθμιστικά κινήματα έχουν παραβλέψει ορισμένα πολύ σημαντικά γνωρίσματα των διαφόρων οροσήμων των μεταρρυθμιστικών κινημάτων.</w:t>
      </w:r>
    </w:p>
    <w:p>
      <w:pPr>
        <w:pStyle w:val="ArticleBody"/>
        <w:jc w:val="left"/>
      </w:pPr>
      <w:r>
        <w:rPr>
          <w:rFonts w:ascii="Times New Roman" w:hAnsi="Times New Roman" w:eastAsia="Times New Roman" w:cs="Times New Roman"/>
        </w:rPr>
        <w:t>De “zeven donderslagen”, die de gebeurtenissen aan het begin van het adventisme en de gebeurtenissen aan het einde van het adventisme vertegenwoordigen, vormen het licht dat wordt ontzegeld vlak voordat de genadetijd sluit. Ons wordt meegedeeld dat de “zeven donderslagen” zowel “een schets van gebeurtenissen die zich zouden voltrekken onder de boodschappen van de eerste en tweede engel” vertegenwoordigen, als “toekomstige gebeurtenissen die in hun volgorde geopenbaard zullen worden.” De “zeven donderslagen” dragen de signatuur van Alfa en Omega.</w:t>
      </w:r>
    </w:p>
    <w:p>
      <w:pPr>
        <w:pStyle w:val="ArticleBody"/>
        <w:jc w:val="left"/>
      </w:pPr>
      <w:r>
        <w:rPr>
          <w:rFonts w:ascii="Times New Roman" w:hAnsi="Times New Roman" w:eastAsia="Times New Roman" w:cs="Times New Roman"/>
        </w:rPr>
        <w:t>La « délinéation des événements » qui se sont accomplis « sous les messages du premier et du second ange » typifie les événements qui s’accomplissent sous le message du troisième ange. Lorsque Jean reçut l’ordre de ne pas écrire ce qu’avaient fait entendre les sept tonnerres, cet ordre avait été typifié par celui qui avait été donné à Daniel de sceller son livre, car il nous est dit qu’après que « les sept tonnerres eurent fait entendre leurs voix, l’injonction est adressée à Jean, comme à Daniel, au sujet du petit livre : “Scelle ce qu’ont dit les sept tonnerres.” »</w:t>
      </w:r>
    </w:p>
    <w:p>
      <w:pPr>
        <w:pStyle w:val="ArticleBody"/>
        <w:jc w:val="left"/>
      </w:pPr>
      <w:r>
        <w:rPr>
          <w:rFonts w:ascii="Times New Roman" w:hAnsi="Times New Roman" w:eastAsia="Times New Roman" w:cs="Times New Roman"/>
        </w:rPr>
        <w:t>Ézékiel et Jean illustrent tous deux le peuple de Dieu mangeant le message lors de la mise en puissance du premier ange en 1840, et le prophète Jérémie illustre la déception qui eut lieu parmi le peuple de Dieu lorsque le message du premier ange sembla échouer.</w:t>
      </w:r>
    </w:p>
    <w:p>
      <w:pPr>
        <w:pStyle w:val="ArticleScripture"/>
        <w:jc w:val="left"/>
      </w:pPr>
      <w:r>
        <w:rPr>
          <w:rFonts w:ascii="Times New Roman" w:hAnsi="Times New Roman" w:eastAsia="Times New Roman" w:cs="Times New Roman"/>
        </w:rPr>
        <w:t>Maneno yako yalionekana, nami nikayala; na neno lako likawa kwangu furaha na shangwe ya moyo wangu; kwa maana nimeitwa kwa jina lako, Ee Bwana, Mungu wa majeshi. Sikuketi katika kusanyiko la wenye dhihaka, wala sikufurahi; naliketi peke yangu kwa sababu ya mkono wako; kwa maana umenijaza ghadhabu. Mbona maumivu yangu ni ya daima, na jeraha langu haliponyeki, likikataa kuponywa? Je, hakika utakuwa kwangu kama mdanganyifu, na kama maji yapungukayo? Kwa hiyo, BWANA asema hivi, Ukirudi, ndipo nitakurudisha tena, nawe utasimama mbele zangu; na ikiwa utatoa yaliyo ya thamani katika yaliyo duni, utakuwa kama kinywa changu; na wao na wakurudie wewe, bali wewe usiwarudie wao. Nami nitakufanya kwa watu hawa kuwa ukuta wa shaba wenye boma; nao watapigana nawe, lakini hawatakushinda; kwa maana mimi ni pamoja nawe kukuokoa na kukukomboa, asema BWANA. Nami nitakuokoa katika mkono wa waovu, nami nitakukomboa katika mkono wa watu wa kutisha. Yeremia 15:16–21.</w:t>
      </w:r>
    </w:p>
    <w:p>
      <w:pPr>
        <w:pStyle w:val="ArticleBody"/>
        <w:jc w:val="left"/>
      </w:pPr>
      <w:r>
        <w:rPr>
          <w:rFonts w:ascii="Times New Roman" w:hAnsi="Times New Roman" w:eastAsia="Times New Roman" w:cs="Times New Roman"/>
        </w:rPr>
        <w:t>Yeremia telah menemukan perkataan-perkataan dari kitab kecil itu sebagaimana Yohanes dan Yehezkiel, dan ia pun telah memakan pesan itu, tetapi pesan itu telah menjadi suatu pesan (air) yang telah gagal. Seolah-olah Allah telah berdusta, yang tentu saja mustahil, namun tuduhan tentang suatu “dusta” memberikan kunci untuk menempatkan Yeremia pada kekecewaan Millerit yang pertama yang dilambangkan dalam Habakuk.</w:t>
      </w:r>
    </w:p>
    <w:p>
      <w:pPr>
        <w:pStyle w:val="ArticleScripture"/>
        <w:jc w:val="left"/>
      </w:pPr>
      <w:r>
        <w:rPr>
          <w:rFonts w:ascii="Times New Roman" w:hAnsi="Times New Roman" w:eastAsia="Times New Roman" w:cs="Times New Roman"/>
        </w:rPr>
        <w:t>Dumézö meŋ nyaɖuɖu dzi, eye matsɔ ɖokuinye anyi ɖe kpɔkpɔƒe dzi, eye makpɔ be nu ka wòagblɔ nam, eye nu ka magblɔ ne wòafɔm. Ke Aƒetɔ la ɖo ŋu nam, eye wògblɔ be, Ŋlɔ ŋutega la, eye na wò dze egɔme ɖe kplakplawo dzi, bene ame si xlẽe la nate ŋu azi. Elabena ŋutega la gale ɣeyiɣi si wowɔ ɖo na la ta, gake le nuwuwu la me la, eƒe nya ado go, eye mate ŋu aʋu aɖa o: ne eklẽ ɖi hã la, lalɔe; elabena makae ava; mate ŋu aklẽ ɖi o. Habakkuk 2:1–3.</w:t>
      </w:r>
    </w:p>
    <w:p>
      <w:pPr>
        <w:pStyle w:val="ArticleBody"/>
        <w:jc w:val="left"/>
      </w:pPr>
      <w:r>
        <w:rPr>
          <w:rFonts w:ascii="Times New Roman" w:hAnsi="Times New Roman" w:eastAsia="Times New Roman" w:cs="Times New Roman"/>
        </w:rPr>
        <w:t>Pono ea molaetsa oa lengeloi la pele e ile ea ngoloa chate ea bo-pula-maliboho ea 1843 e neng e tataisoa ke “letsoho” la Molimo.</w:t>
      </w:r>
    </w:p>
    <w:p>
      <w:pPr>
        <w:pStyle w:val="ArticleScripture"/>
        <w:jc w:val="left"/>
      </w:pPr>
      <w:r>
        <w:rPr>
          <w:rFonts w:ascii="Times New Roman" w:hAnsi="Times New Roman" w:eastAsia="Times New Roman" w:cs="Times New Roman"/>
        </w:rPr>
        <w:t>„Jag har sett att 1843 års profetiska tavla var ledd av Herrens hand, och att den inte borde ändras; att sifferuppgifterna var sådana som Han ville ha dem; att Hans hand vilade över och dolde ett misstag i några av siffrorna, så att ingen kunde se det, förrän Hans hand drogs tillbaka.” Early Writings, 74.</w:t>
      </w:r>
    </w:p>
    <w:p>
      <w:pPr>
        <w:pStyle w:val="ArticleBody"/>
        <w:jc w:val="left"/>
      </w:pPr>
      <w:r>
        <w:rPr>
          <w:rFonts w:ascii="Times New Roman" w:hAnsi="Times New Roman" w:eastAsia="Times New Roman" w:cs="Times New Roman"/>
        </w:rPr>
        <w:t>Saati i caktuar i vitit 1843 u paraqit në diagramë, dhe për këtë arsye ajo quhet diagrami i vitit 1843. Ajo u botua në vitin 1842, në përmbushje të urdhërimit te Habakuku për ta “shkruar vegimin dhe për ta bërë të qartë mbi tabela”. Vegimi duhej të bëhej i qartë mbi “tabela”, në shumës, duke treguar kështu se, pasi Zoti e hoqi dorën e Tij nga gabimi në diagramin e vitit 1843, ai do të korrigjohej në diagramin pionier të vitit 1850. Gabimi solli zhgënjimin e parë, dhe Jeremia përfaqëson ata që e kishin ngrënë librin e vogël më 11 gusht 1840 dhe u zhgënjyen kur dështoi saati i caktuar i vitit 1843.</w:t>
      </w:r>
    </w:p>
    <w:p>
      <w:pPr>
        <w:pStyle w:val="ArticleBody"/>
        <w:jc w:val="left"/>
      </w:pPr>
      <w:r>
        <w:rPr>
          <w:rFonts w:ascii="Times New Roman" w:hAnsi="Times New Roman" w:eastAsia="Times New Roman" w:cs="Times New Roman"/>
        </w:rPr>
        <w:t>Jeremiah o ne a jele buka e nyenyane ka 1840, e ne e le “thabo le nyakallo” ea pelo ea hae; empa ha ho soetseha ho fihla, ha aa ka a hlola a “thaba,” ’me a “lula a le mong ka baka la” “letsoho” la Molimo. Letsoho la Molimo le ne le koahetse “phoso e itseng lipalong,” ka hona la etsa hore Jeremiah a nahane ka monyetla oa hore Molimo o buile leshano. Pallo e ileng ea fuoa Jeremiah e ne e le hore, haeba a ka “kgutla” bohlokong ba hae ba pelo, Molimo o ne a tla etsa Jeremiah hore e be “molomo” oa Hae. Haeba Jeremiah a ka kgutlela ho Molimo ho tloha ho soetseheng ha hae ’me a elelloe hore o ne a le nakong ea tieho ea papiso ea baroetsana ba leshome, Molimo o ne a tla mo sebelisa hore e be sebui sa Hae se neng se tla supa ka nepo hore na pono e tshwanetse ho fihla neng ’me e se hlole e lieha.</w:t>
      </w:r>
    </w:p>
    <w:p>
      <w:pPr>
        <w:pStyle w:val="ArticleBody"/>
        <w:jc w:val="left"/>
      </w:pPr>
      <w:r>
        <w:rPr>
          <w:rFonts w:ascii="Times New Roman" w:hAnsi="Times New Roman" w:eastAsia="Times New Roman" w:cs="Times New Roman"/>
        </w:rPr>
        <w:t>Ku dzudzanya timhaka leti laha, hi ku tiyisisa leswaku eka marungula hinkwawo ya ntsumi, “ku fika” ka wona ni “ku nyikiwa matimba” ka wona swi humesa rungula ra vutomi kumbe rifu leri vumbaka tinxaka timbirhi ta vagandzeri. Tintsumi letinharhu i magoza manharhu ya maendlelo lama yaka emahlweni ya ku ringiwa. Leswi nga swa nkoka swinene eka mhaka leyi hi lavaka ku yi simeka, hi leswaku hambileswi ku twisisa ka tindlati ta nkombo ku lemukiweke ku nga ri khale endzhaku ka ku fika ka “nkarhi wa makumu” hi 1989 loko tindzimana ta tsevu ta makumu ta Daniyele ti pfuriwile, ti tivisa ku pfaleka ka vuavanyisi, ku kona ku tlhela ku va ni ku pfuriwa kun’wana ka tindlati ta nkombo emakumu ka matimu ya ntsumi ya vunharhu.</w:t>
      </w:r>
    </w:p>
    <w:p>
      <w:pPr>
        <w:pStyle w:val="ArticleBody"/>
        <w:jc w:val="left"/>
      </w:pPr>
      <w:r>
        <w:rPr>
          <w:rFonts w:ascii="Times New Roman" w:hAnsi="Times New Roman" w:eastAsia="Times New Roman" w:cs="Times New Roman"/>
        </w:rPr>
        <w:t>L’histoire des débuts de l’adventisme commence avec le descellement du premier ange en 1798, et elle s’achève avec le descellement d’une vérité sur laquelle le Seigneur avait posé sa main afin de produire une déception. Il retira ensuite sa main (descellement) et révéla le message du temps d’attente.</w:t>
      </w:r>
    </w:p>
    <w:p>
      <w:pPr>
        <w:pStyle w:val="ArticleBody"/>
        <w:jc w:val="left"/>
      </w:pPr>
      <w:r>
        <w:rPr>
          <w:rFonts w:ascii="Times New Roman" w:hAnsi="Times New Roman" w:eastAsia="Times New Roman" w:cs="Times New Roman"/>
        </w:rPr>
        <w:t>Nkhani ya kumalizgika kwa Adventism yikwamba pa kuvumbulika kwa uthenga wa mungelo wachitatu mu 1989, ndipo yikumalira pa kuvumbulika kwa unenesko uwo Ambuye wakaŵika woko Lake pa iwo kuti wabiske, mwakuti wababiske kukhumba. Sono wakuwuskapo woko Lake, ndipo ntheura wakuvumbura uthenga wa kukhumba kwakwamba na nyengo ya kuchedwa. Wakuvumbura chilato cha Julayi 18, 2020.</w:t>
      </w:r>
    </w:p>
    <w:p>
      <w:pPr>
        <w:pStyle w:val="ArticleScripture"/>
        <w:jc w:val="left"/>
      </w:pPr>
      <w:r>
        <w:rPr>
          <w:rFonts w:ascii="Nirmala UI" w:hAnsi="Nirmala UI" w:eastAsia="Nirmala UI" w:cs="Nirmala UI"/>
        </w:rPr>
        <w:t>এজন্য</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ফিরিয়ে</w:t>
      </w:r>
      <w:r>
        <w:rPr>
          <w:rFonts w:ascii="Times New Roman" w:hAnsi="Times New Roman" w:eastAsia="Times New Roman" w:cs="Times New Roman"/>
        </w:rPr>
        <w:t xml:space="preserve"> </w:t>
      </w:r>
      <w:r>
        <w:rPr>
          <w:rFonts w:ascii="Nirmala UI" w:hAnsi="Nirmala UI" w:eastAsia="Nirmala UI" w:cs="Nirmala UI"/>
        </w:rPr>
        <w:t>আনব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দাঁড়াবে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নিকৃষ্টের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মূল্যবানটিকে</w:t>
      </w:r>
      <w:r>
        <w:rPr>
          <w:rFonts w:ascii="Times New Roman" w:hAnsi="Times New Roman" w:eastAsia="Times New Roman" w:cs="Times New Roman"/>
        </w:rPr>
        <w:t xml:space="preserve"> </w:t>
      </w:r>
      <w:r>
        <w:rPr>
          <w:rFonts w:ascii="Nirmala UI" w:hAnsi="Nirmala UI" w:eastAsia="Nirmala UI" w:cs="Nirmala UI"/>
        </w:rPr>
        <w:t>পৃথক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মুখের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আসুক</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দুর্গপ্রাচীরসদৃশ</w:t>
      </w:r>
      <w:r>
        <w:rPr>
          <w:rFonts w:ascii="Times New Roman" w:hAnsi="Times New Roman" w:eastAsia="Times New Roman" w:cs="Times New Roman"/>
        </w:rPr>
        <w:t xml:space="preserve"> </w:t>
      </w:r>
      <w:r>
        <w:rPr>
          <w:rFonts w:ascii="Nirmala UI" w:hAnsi="Nirmala UI" w:eastAsia="Nirmala UI" w:cs="Nirmala UI"/>
        </w:rPr>
        <w:t>পিতলের</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জয়লাভ</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রক্ষা</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উদ্ধার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দুষ্টদের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উদ্ধার</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ভয়ংকরদের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মুক্ত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যিরমিয়</w:t>
      </w:r>
      <w:r>
        <w:rPr>
          <w:rFonts w:ascii="Times New Roman" w:hAnsi="Times New Roman" w:eastAsia="Times New Roman" w:cs="Times New Roman"/>
        </w:rPr>
        <w:t xml:space="preserve"> 15:19–21</w:t>
      </w:r>
      <w:r>
        <w:rPr>
          <w:rFonts w:ascii="Nirmala UI" w:hAnsi="Nirmala UI" w:eastAsia="Nirmala UI" w:cs="Nirmala UI"/>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L’avenir de l’Amérique et le 18 juillet 2020 - Numéro deux</dc:title>
  <dc:subject>Manger le message</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