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L’avenir de l’Amérique et le 18 juillet 2020 — Numéro trois</w:t>
      </w:r>
    </w:p>
    <w:p>
      <w:pPr>
        <w:pStyle w:val="ArticleSubtitle"/>
        <w:jc w:val="left"/>
      </w:pPr>
      <w:r>
        <w:rPr>
          <w:rFonts w:ascii="Arial" w:hAnsi="Arial" w:eastAsia="Arial" w:cs="Arial"/>
        </w:rPr>
        <w:t>Enyimpela ameho abonako, nendlebe letevako.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ریفارمی تحریکوں کی لکیریں مکاشفہ دس کی “سات گرجوں” کو سمجھنے کی ایک کلید ہیں۔ “سات گرجیں” 11 اگست 1840 سے لے کر 22 اکتوبر 1844 کی عظیم مایوسی تک پہلے فرشتے کے پیغام کی تقویت کی تاریخ کی نمائندگی کرتی ہیں۔ باب دس اس فہم کی تائید کے لیے خود اپنے اندر تین داخلی گواہیاں فراہم کرتا ہے۔</w:t>
      </w:r>
    </w:p>
    <w:p>
      <w:pPr>
        <w:pStyle w:val="ArticleScripture"/>
        <w:jc w:val="left"/>
      </w:pPr>
      <w:r>
        <w:rPr>
          <w:rFonts w:ascii="Times New Roman" w:hAnsi="Times New Roman" w:eastAsia="Times New Roman" w:cs="Times New Roman"/>
        </w:rPr>
        <w:t>«جنبش ظهورِ سال‌های ۱۸۴۰–۱۸۴۴ جلوه‌ای پرجلال از قدرت خدا بود؛ پیامِ فرشتهٔ اول به هر ایستگاهِ بشارتی در جهان رسانیده شد، و در برخی کشورها عظیم‌ترین علاقه‌مندیِ دینی پدید آمد که از زمان اصلاحاتِ قرنِ شانزدهم تاکنون در هیچ سرزمینی مشاهده شده است؛ اما اینها به‌وسیلهٔ جنبشِ مقتدرانه‌ای که تحت آخرین هشدارِ فرشتهٔ سوم پدید خواهد آمد، پشت سر گذاشته خواهد شد.» The Great Controversy, 611.</w:t>
      </w:r>
    </w:p>
    <w:p>
      <w:pPr>
        <w:pStyle w:val="ArticleBody"/>
        <w:jc w:val="left"/>
      </w:pPr>
      <w:r>
        <w:rPr>
          <w:rFonts w:ascii="Times New Roman" w:hAnsi="Times New Roman" w:eastAsia="Times New Roman" w:cs="Times New Roman"/>
        </w:rPr>
        <w:t>Lefoko la lenģeloi la pele le ile la isoa lefatšeng ho tloha ka 1840 ho ea pele. Uriah Smith o hlalosa kutloisiso ea bo-pula-maliboho, e lumellanang le ea Morali’abo rōna White. Smith o hlokomela hore lengeloi la pele le ile la fihla ka 1798, ’me o bontša hore e ne e le lengeloi la pele le ileng la theoha ka 1840. Smith le bo-pula-maliboho ba ne ba mpa ba sa ka ba lemohisisa phapang pakeng tsa ho fihla ha molaetsa le ho matlafatsoa ha oona. Smith o bolela ka ho hlaka hore, ha lengeloi la Tšenolo 10 le beha leoto le leng holim’a leoatle le le leng holim’a lefatše, hoo ho ne ho supa molaetsa o neng o isoa lefatšeng.</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โดยฉะนั้น</w:t>
      </w:r>
      <w:r>
        <w:rPr>
          <w:rFonts w:ascii="Times New Roman" w:hAnsi="Times New Roman" w:eastAsia="Times New Roman" w:cs="Times New Roman"/>
        </w:rPr>
        <w:t xml:space="preserve"> </w:t>
      </w:r>
      <w:r>
        <w:rPr>
          <w:rFonts w:ascii="Leelawadee UI" w:hAnsi="Leelawadee UI" w:eastAsia="Leelawadee UI" w:cs="Leelawadee UI"/>
        </w:rPr>
        <w:t>ในปี</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1798 </w:t>
      </w:r>
      <w:r>
        <w:rPr>
          <w:rFonts w:ascii="Leelawadee UI" w:hAnsi="Leelawadee UI" w:eastAsia="Leelawadee UI" w:cs="Leelawadee UI"/>
        </w:rPr>
        <w:t>ข้อจำกัดที่ห้ามการประกาศว่าวันแห่งพระคริสต์ใกล้เข้ามาแล้วก็สิ้นสุดลง</w:t>
      </w:r>
      <w:r>
        <w:rPr>
          <w:rFonts w:ascii="Times New Roman" w:hAnsi="Times New Roman" w:eastAsia="Times New Roman" w:cs="Times New Roman"/>
        </w:rPr>
        <w:t xml:space="preserve">; </w:t>
      </w:r>
      <w:r>
        <w:rPr>
          <w:rFonts w:ascii="Leelawadee UI" w:hAnsi="Leelawadee UI" w:eastAsia="Leelawadee UI" w:cs="Leelawadee UI"/>
        </w:rPr>
        <w:t>ในปี</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1798 </w:t>
      </w:r>
      <w:r>
        <w:rPr>
          <w:rFonts w:ascii="Leelawadee UI" w:hAnsi="Leelawadee UI" w:eastAsia="Leelawadee UI" w:cs="Leelawadee UI"/>
        </w:rPr>
        <w:t>เวลาสุดปลายก็เริ่มต้นขึ้น</w:t>
      </w:r>
      <w:r>
        <w:rPr>
          <w:rFonts w:ascii="Times New Roman" w:hAnsi="Times New Roman" w:eastAsia="Times New Roman" w:cs="Times New Roman"/>
        </w:rPr>
        <w:t xml:space="preserve"> </w:t>
      </w:r>
      <w:r>
        <w:rPr>
          <w:rFonts w:ascii="Leelawadee UI" w:hAnsi="Leelawadee UI" w:eastAsia="Leelawadee UI" w:cs="Leelawadee UI"/>
        </w:rPr>
        <w:t>และตราประทับก็ถูกยกออกจากหนังสือเล่มน้อยนั้น</w:t>
      </w:r>
      <w:r>
        <w:rPr>
          <w:rFonts w:ascii="Times New Roman" w:hAnsi="Times New Roman" w:eastAsia="Times New Roman" w:cs="Times New Roman"/>
        </w:rPr>
        <w:t xml:space="preserve"> </w:t>
      </w:r>
      <w:r>
        <w:rPr>
          <w:rFonts w:ascii="Leelawadee UI" w:hAnsi="Leelawadee UI" w:eastAsia="Leelawadee UI" w:cs="Leelawadee UI"/>
        </w:rPr>
        <w:t>ดังนั้น</w:t>
      </w:r>
      <w:r>
        <w:rPr>
          <w:rFonts w:ascii="Times New Roman" w:hAnsi="Times New Roman" w:eastAsia="Times New Roman" w:cs="Times New Roman"/>
        </w:rPr>
        <w:t xml:space="preserve"> </w:t>
      </w:r>
      <w:r>
        <w:rPr>
          <w:rFonts w:ascii="Leelawadee UI" w:hAnsi="Leelawadee UI" w:eastAsia="Leelawadee UI" w:cs="Leelawadee UI"/>
        </w:rPr>
        <w:t>นับตั้งแต่ช่วงเวลานั้นมา</w:t>
      </w:r>
      <w:r>
        <w:rPr>
          <w:rFonts w:ascii="Times New Roman" w:hAnsi="Times New Roman" w:eastAsia="Times New Roman" w:cs="Times New Roman"/>
        </w:rPr>
        <w:t xml:space="preserve"> </w:t>
      </w:r>
      <w:r>
        <w:rPr>
          <w:rFonts w:ascii="Leelawadee UI" w:hAnsi="Leelawadee UI" w:eastAsia="Leelawadee UI" w:cs="Leelawadee UI"/>
        </w:rPr>
        <w:t>ทูตสวรรค์แห่งวิวรณ์</w:t>
      </w:r>
      <w:r>
        <w:rPr>
          <w:rFonts w:ascii="Times New Roman" w:hAnsi="Times New Roman" w:eastAsia="Times New Roman" w:cs="Times New Roman"/>
        </w:rPr>
        <w:t xml:space="preserve"> 14 </w:t>
      </w:r>
      <w:r>
        <w:rPr>
          <w:rFonts w:ascii="Leelawadee UI" w:hAnsi="Leelawadee UI" w:eastAsia="Leelawadee UI" w:cs="Leelawadee UI"/>
        </w:rPr>
        <w:t>ก็ได้ออกไปประกาศว่าชั่วโมงแห่งการพิพากษาของพระเจ้ามาถึงแล้ว</w:t>
      </w:r>
      <w:r>
        <w:rPr>
          <w:rFonts w:ascii="Times New Roman" w:hAnsi="Times New Roman" w:eastAsia="Times New Roman" w:cs="Times New Roman"/>
        </w:rPr>
        <w:t xml:space="preserve">; </w:t>
      </w:r>
      <w:r>
        <w:rPr>
          <w:rFonts w:ascii="Leelawadee UI" w:hAnsi="Leelawadee UI" w:eastAsia="Leelawadee UI" w:cs="Leelawadee UI"/>
        </w:rPr>
        <w:t>และนับตั้งแต่เวลานั้นด้วยเช่นกัน</w:t>
      </w:r>
      <w:r>
        <w:rPr>
          <w:rFonts w:ascii="Times New Roman" w:hAnsi="Times New Roman" w:eastAsia="Times New Roman" w:cs="Times New Roman"/>
        </w:rPr>
        <w:t xml:space="preserve"> </w:t>
      </w:r>
      <w:r>
        <w:rPr>
          <w:rFonts w:ascii="Leelawadee UI" w:hAnsi="Leelawadee UI" w:eastAsia="Leelawadee UI" w:cs="Leelawadee UI"/>
        </w:rPr>
        <w:t>ทูตสวรรค์แห่งบทที่</w:t>
      </w:r>
      <w:r>
        <w:rPr>
          <w:rFonts w:ascii="Times New Roman" w:hAnsi="Times New Roman" w:eastAsia="Times New Roman" w:cs="Times New Roman"/>
        </w:rPr>
        <w:t xml:space="preserve"> 10 </w:t>
      </w:r>
      <w:r>
        <w:rPr>
          <w:rFonts w:ascii="Leelawadee UI" w:hAnsi="Leelawadee UI" w:eastAsia="Leelawadee UI" w:cs="Leelawadee UI"/>
        </w:rPr>
        <w:t>ก็ได้ยืนหยัดอยู่เหนือทะเลและแผ่นดิน</w:t>
      </w:r>
      <w:r>
        <w:rPr>
          <w:rFonts w:ascii="Times New Roman" w:hAnsi="Times New Roman" w:eastAsia="Times New Roman" w:cs="Times New Roman"/>
        </w:rPr>
        <w:t xml:space="preserve"> </w:t>
      </w:r>
      <w:r>
        <w:rPr>
          <w:rFonts w:ascii="Leelawadee UI" w:hAnsi="Leelawadee UI" w:eastAsia="Leelawadee UI" w:cs="Leelawadee UI"/>
        </w:rPr>
        <w:t>และได้ปฏิญาณว่าเวลาจะไม่มีอีกต่อไป</w:t>
      </w:r>
      <w:r>
        <w:rPr>
          <w:rFonts w:ascii="Times New Roman" w:hAnsi="Times New Roman" w:eastAsia="Times New Roman" w:cs="Times New Roman"/>
        </w:rPr>
        <w:t xml:space="preserve"> </w:t>
      </w:r>
      <w:r>
        <w:rPr>
          <w:rFonts w:ascii="Leelawadee UI" w:hAnsi="Leelawadee UI" w:eastAsia="Leelawadee UI" w:cs="Leelawadee UI"/>
        </w:rPr>
        <w:t>ในเรื่องเอกลักษณ์อันเป็นอันเดียวกันของทั้งสองนั้น</w:t>
      </w:r>
      <w:r>
        <w:rPr>
          <w:rFonts w:ascii="Times New Roman" w:hAnsi="Times New Roman" w:eastAsia="Times New Roman" w:cs="Times New Roman"/>
        </w:rPr>
        <w:t xml:space="preserve"> </w:t>
      </w:r>
      <w:r>
        <w:rPr>
          <w:rFonts w:ascii="Leelawadee UI" w:hAnsi="Leelawadee UI" w:eastAsia="Leelawadee UI" w:cs="Leelawadee UI"/>
        </w:rPr>
        <w:t>จะมีข้อสงสัยไม่ได้เลย</w:t>
      </w:r>
      <w:r>
        <w:rPr>
          <w:rFonts w:ascii="Times New Roman" w:hAnsi="Times New Roman" w:eastAsia="Times New Roman" w:cs="Times New Roman"/>
        </w:rPr>
        <w:t xml:space="preserve">; </w:t>
      </w:r>
      <w:r>
        <w:rPr>
          <w:rFonts w:ascii="Leelawadee UI" w:hAnsi="Leelawadee UI" w:eastAsia="Leelawadee UI" w:cs="Leelawadee UI"/>
        </w:rPr>
        <w:t>และข้อโต้แย้งทั้งปวงที่ใช้เพื่อกำหนดตำแหน่งของทูตองค์หนึ่ง</w:t>
      </w:r>
      <w:r>
        <w:rPr>
          <w:rFonts w:ascii="Times New Roman" w:hAnsi="Times New Roman" w:eastAsia="Times New Roman" w:cs="Times New Roman"/>
        </w:rPr>
        <w:t xml:space="preserve"> </w:t>
      </w:r>
      <w:r>
        <w:rPr>
          <w:rFonts w:ascii="Leelawadee UI" w:hAnsi="Leelawadee UI" w:eastAsia="Leelawadee UI" w:cs="Leelawadee UI"/>
        </w:rPr>
        <w:t>ก็มีน้ำหนักอย่างเท่าเทียมกันในกรณีของอีกองค์หนึ่ง</w:t>
      </w:r>
      <w:r>
        <w:rPr>
          <w:rFonts w:ascii="Times New Roman" w:hAnsi="Times New Roman" w:eastAsia="Times New Roman" w:cs="Times New Roman"/>
        </w:rPr>
        <w:t xml:space="preserve"> </w:t>
      </w:r>
      <w:r>
        <w:rPr>
          <w:rFonts w:ascii="Leelawadee UI" w:hAnsi="Leelawadee UI" w:eastAsia="Leelawadee UI" w:cs="Leelawadee UI"/>
        </w:rPr>
        <w:t>เราไม่จำเป็นต้องเข้าสู่การโต้แย้งใด</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ในที่นี้เพื่อแสดงว่าคนรุ่นปัจจุบันกำลังเป็นพยานต่อความสำเร็จสมบูรณ์ของคำพยากรณ์ทั้งสองนี้</w:t>
      </w:r>
      <w:r>
        <w:rPr>
          <w:rFonts w:ascii="Times New Roman" w:hAnsi="Times New Roman" w:eastAsia="Times New Roman" w:cs="Times New Roman"/>
        </w:rPr>
        <w:t xml:space="preserve"> </w:t>
      </w:r>
      <w:r>
        <w:rPr>
          <w:rFonts w:ascii="Leelawadee UI" w:hAnsi="Leelawadee UI" w:eastAsia="Leelawadee UI" w:cs="Leelawadee UI"/>
        </w:rPr>
        <w:t>ในการประกาศเรื่องการเสด็จมา</w:t>
      </w:r>
      <w:r>
        <w:rPr>
          <w:rFonts w:ascii="Times New Roman" w:hAnsi="Times New Roman" w:eastAsia="Times New Roman" w:cs="Times New Roman"/>
        </w:rPr>
        <w:t xml:space="preserve"> </w:t>
      </w:r>
      <w:r>
        <w:rPr>
          <w:rFonts w:ascii="Leelawadee UI" w:hAnsi="Leelawadee UI" w:eastAsia="Leelawadee UI" w:cs="Leelawadee UI"/>
        </w:rPr>
        <w:t>โดยเฉพาะอย่างยิ่งตั้งแต่ปี</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1840 </w:t>
      </w:r>
      <w:r>
        <w:rPr>
          <w:rFonts w:ascii="Leelawadee UI" w:hAnsi="Leelawadee UI" w:eastAsia="Leelawadee UI" w:cs="Leelawadee UI"/>
        </w:rPr>
        <w:t>ถึง</w:t>
      </w:r>
      <w:r>
        <w:rPr>
          <w:rFonts w:ascii="Times New Roman" w:hAnsi="Times New Roman" w:eastAsia="Times New Roman" w:cs="Times New Roman"/>
        </w:rPr>
        <w:t xml:space="preserve"> 1844 </w:t>
      </w:r>
      <w:r>
        <w:rPr>
          <w:rFonts w:ascii="Leelawadee UI" w:hAnsi="Leelawadee UI" w:eastAsia="Leelawadee UI" w:cs="Leelawadee UI"/>
        </w:rPr>
        <w:t>การสำเร็จอย่างเต็มบริบูรณ์และโดยละเอียดของคำพยากรณ์เหล่านี้ก็ได้เริ่มต้นขึ้น</w:t>
      </w:r>
      <w:r>
        <w:rPr>
          <w:rFonts w:ascii="Times New Roman" w:hAnsi="Times New Roman" w:eastAsia="Times New Roman" w:cs="Times New Roman"/>
        </w:rPr>
        <w:t xml:space="preserve"> </w:t>
      </w:r>
      <w:r>
        <w:rPr>
          <w:rFonts w:ascii="Leelawadee UI" w:hAnsi="Leelawadee UI" w:eastAsia="Leelawadee UI" w:cs="Leelawadee UI"/>
        </w:rPr>
        <w:t>ตำแหน่งของทูตสวรรค์องค์นี้</w:t>
      </w:r>
      <w:r>
        <w:rPr>
          <w:rFonts w:ascii="Times New Roman" w:hAnsi="Times New Roman" w:eastAsia="Times New Roman" w:cs="Times New Roman"/>
        </w:rPr>
        <w:t xml:space="preserve"> </w:t>
      </w:r>
      <w:r>
        <w:rPr>
          <w:rFonts w:ascii="Leelawadee UI" w:hAnsi="Leelawadee UI" w:eastAsia="Leelawadee UI" w:cs="Leelawadee UI"/>
        </w:rPr>
        <w:t>ซึ่งมีเท้าข้างหนึ่งอยู่บนทะเลและอีกข้างหนึ่งอยู่บนแผ่นดิน</w:t>
      </w:r>
      <w:r>
        <w:rPr>
          <w:rFonts w:ascii="Times New Roman" w:hAnsi="Times New Roman" w:eastAsia="Times New Roman" w:cs="Times New Roman"/>
        </w:rPr>
        <w:t xml:space="preserve"> </w:t>
      </w:r>
      <w:r>
        <w:rPr>
          <w:rFonts w:ascii="Leelawadee UI" w:hAnsi="Leelawadee UI" w:eastAsia="Leelawadee UI" w:cs="Leelawadee UI"/>
        </w:rPr>
        <w:t>แสดงถึงขอบเขตอันกว้างไกลของการประกาศของเขาทั้งทางทะเลและทางบก</w:t>
      </w:r>
      <w:r>
        <w:rPr>
          <w:rFonts w:ascii="Times New Roman" w:hAnsi="Times New Roman" w:eastAsia="Times New Roman" w:cs="Times New Roman"/>
        </w:rPr>
        <w:t xml:space="preserve"> </w:t>
      </w:r>
      <w:r>
        <w:rPr>
          <w:rFonts w:ascii="Leelawadee UI" w:hAnsi="Leelawadee UI" w:eastAsia="Leelawadee UI" w:cs="Leelawadee UI"/>
        </w:rPr>
        <w:t>หากข่าวสารนี้ถูกกำหนดไว้สำหรับเพียงประเทศเดียว</w:t>
      </w:r>
      <w:r>
        <w:rPr>
          <w:rFonts w:ascii="Times New Roman" w:hAnsi="Times New Roman" w:eastAsia="Times New Roman" w:cs="Times New Roman"/>
        </w:rPr>
        <w:t xml:space="preserve"> </w:t>
      </w:r>
      <w:r>
        <w:rPr>
          <w:rFonts w:ascii="Leelawadee UI" w:hAnsi="Leelawadee UI" w:eastAsia="Leelawadee UI" w:cs="Leelawadee UI"/>
        </w:rPr>
        <w:t>ก็เพียงพอแล้วที่ทูตสวรรค์จะยืนอยู่บนแผ่นดินเท่านั้น</w:t>
      </w:r>
      <w:r>
        <w:rPr>
          <w:rFonts w:ascii="Times New Roman" w:hAnsi="Times New Roman" w:eastAsia="Times New Roman" w:cs="Times New Roman"/>
        </w:rPr>
        <w:t xml:space="preserve"> </w:t>
      </w:r>
      <w:r>
        <w:rPr>
          <w:rFonts w:ascii="Leelawadee UI" w:hAnsi="Leelawadee UI" w:eastAsia="Leelawadee UI" w:cs="Leelawadee UI"/>
        </w:rPr>
        <w:t>แต่เขามีเท้าข้างหนึ่งอยู่บนทะเล</w:t>
      </w:r>
      <w:r>
        <w:rPr>
          <w:rFonts w:ascii="Times New Roman" w:hAnsi="Times New Roman" w:eastAsia="Times New Roman" w:cs="Times New Roman"/>
        </w:rPr>
        <w:t xml:space="preserve"> </w:t>
      </w:r>
      <w:r>
        <w:rPr>
          <w:rFonts w:ascii="Leelawadee UI" w:hAnsi="Leelawadee UI" w:eastAsia="Leelawadee UI" w:cs="Leelawadee UI"/>
        </w:rPr>
        <w:t>ซึ่งจากสิ่งนี้เราจึงอาจอนุมานได้ว่าข่าวสารของเขาจะข้ามมหาสมุทร</w:t>
      </w:r>
      <w:r>
        <w:rPr>
          <w:rFonts w:ascii="Times New Roman" w:hAnsi="Times New Roman" w:eastAsia="Times New Roman" w:cs="Times New Roman"/>
        </w:rPr>
        <w:t xml:space="preserve"> </w:t>
      </w:r>
      <w:r>
        <w:rPr>
          <w:rFonts w:ascii="Leelawadee UI" w:hAnsi="Leelawadee UI" w:eastAsia="Leelawadee UI" w:cs="Leelawadee UI"/>
        </w:rPr>
        <w:t>และแผ่ไปถึงบรรดาประชาชาติและส่วนต่าง</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ของโลก</w:t>
      </w:r>
      <w:r>
        <w:rPr>
          <w:rFonts w:ascii="Times New Roman" w:hAnsi="Times New Roman" w:eastAsia="Times New Roman" w:cs="Times New Roman"/>
        </w:rPr>
        <w:t xml:space="preserve">; </w:t>
      </w:r>
      <w:r>
        <w:rPr>
          <w:rFonts w:ascii="Leelawadee UI" w:hAnsi="Leelawadee UI" w:eastAsia="Leelawadee UI" w:cs="Leelawadee UI"/>
        </w:rPr>
        <w:t>และข้ออนุมานนี้ก็ยิ่งได้รับการเสริมกำลังโดยข้อเท็จจริงที่ว่าการประกาศเรื่องการเสด็จมา</w:t>
      </w:r>
      <w:r>
        <w:rPr>
          <w:rFonts w:ascii="Times New Roman" w:hAnsi="Times New Roman" w:eastAsia="Times New Roman" w:cs="Times New Roman"/>
        </w:rPr>
        <w:t xml:space="preserve"> </w:t>
      </w:r>
      <w:r>
        <w:rPr>
          <w:rFonts w:ascii="Leelawadee UI" w:hAnsi="Leelawadee UI" w:eastAsia="Leelawadee UI" w:cs="Leelawadee UI"/>
        </w:rPr>
        <w:t>ซึ่งได้กล่าวถึงข้างต้นนั้น</w:t>
      </w:r>
      <w:r>
        <w:rPr>
          <w:rFonts w:ascii="Times New Roman" w:hAnsi="Times New Roman" w:eastAsia="Times New Roman" w:cs="Times New Roman"/>
        </w:rPr>
        <w:t xml:space="preserve"> </w:t>
      </w:r>
      <w:r>
        <w:rPr>
          <w:rFonts w:ascii="Leelawadee UI" w:hAnsi="Leelawadee UI" w:eastAsia="Leelawadee UI" w:cs="Leelawadee UI"/>
        </w:rPr>
        <w:t>ได้ไปถึงทุกสถานีมิชชันนารีในโลกแล้ว</w:t>
      </w:r>
      <w:r>
        <w:rPr>
          <w:rFonts w:ascii="Times New Roman" w:hAnsi="Times New Roman" w:eastAsia="Times New Roman" w:cs="Times New Roman"/>
        </w:rPr>
        <w:t xml:space="preserve"> </w:t>
      </w:r>
      <w:r>
        <w:rPr>
          <w:rFonts w:ascii="Leelawadee UI" w:hAnsi="Leelawadee UI" w:eastAsia="Leelawadee UI" w:cs="Leelawadee UI"/>
        </w:rPr>
        <w:t>เรื่องนี้จะกล่าวเพิ่มเติมภายใต้บทที่</w:t>
      </w:r>
      <w:r>
        <w:rPr>
          <w:rFonts w:ascii="Times New Roman" w:hAnsi="Times New Roman" w:eastAsia="Times New Roman" w:cs="Times New Roman"/>
        </w:rPr>
        <w:t xml:space="preserve"> 14” Uriah Smith, Thoughts on Daniel and the Revelation, 521.</w:t>
      </w:r>
    </w:p>
    <w:p>
      <w:pPr>
        <w:pStyle w:val="ArticleBody"/>
        <w:jc w:val="left"/>
      </w:pPr>
      <w:r>
        <w:rPr>
          <w:rFonts w:ascii="Times New Roman" w:hAnsi="Times New Roman" w:eastAsia="Times New Roman" w:cs="Times New Roman"/>
        </w:rPr>
        <w:t>Kwekyo olunyiriri olusooka olw’essuula ey’ekkumi lulaga nga August 11, 1840, kubanga mu kiseera ekyo obufuzi bw’Obusultan obw’Ottoman obwali bunnalagulwa bwakoma, nga bwe bukkiriziganya n’obunnabbi obuli mu Kubikkulirwa omusanvu. Mwannyinaffe White agamba:</w:t>
      </w:r>
    </w:p>
    <w:p>
      <w:pPr>
        <w:pStyle w:val="ArticleScripture"/>
        <w:jc w:val="left"/>
      </w:pPr>
      <w:r>
        <w:rPr>
          <w:rFonts w:ascii="Times New Roman" w:hAnsi="Times New Roman" w:eastAsia="Times New Roman" w:cs="Times New Roman"/>
        </w:rPr>
        <w:t>“Na shekara ta 1840 wani abin mamaki na cikar annabci ya tayar da sha’awa sosai a ko’ina. Shekaru biyu kafin wannan, Josiah Litch, ɗaya daga cikin fitattun masu wa’azi game da zuwan Almasihu na biyu, ya wallafa bayani a kan Ru’ya ta Yohanna 9, yana hasashen fāɗuwar Daular Usmaniyya. Bisa ga lissafinsa, wannan iko zai rushe... a ranar 11 ga Agusta, 1840, sa’ad da za a iya tsammanin ikon Usmaniyya a Konstantinoful zai karye. Kuma na gaskata cewa za a tarar haka ne.”</w:t>
      </w:r>
    </w:p>
    <w:p>
      <w:pPr>
        <w:pStyle w:val="ArticleScripture"/>
        <w:jc w:val="left"/>
      </w:pPr>
      <w:r>
        <w:rPr>
          <w:rFonts w:ascii="Times New Roman" w:hAnsi="Times New Roman" w:eastAsia="Times New Roman" w:cs="Times New Roman"/>
        </w:rPr>
        <w:t>« Sa eksaktong panahong itinakda, ang Turkey, sa pamamagitan ng kaniyang mga embahador, ay tumanggap ng pangangalaga ng magkakatulong na kapangyarihan ng Europa, at sa gayon ay inilagay ang kaniyang sarili sa ilalim ng pamamahala ng mga bansang Cristiano. Ang pangyayaring iyon ay ganap na tumupad sa hula. Nang ito’y mabatid, napakarami ang nakumbinsi sa kawastuan ng mga simulain ng pagpapaliwanag sa hula na pinagtibay ni Miller at ng kaniyang mga kasamahan, at isang kahanga-hangang sigla ang naibigay sa kilusang adventista. Ang mga taong may pinag-aralan at may katayuan ay nakipag-isa kay Miller, kapuwa sa pangangaral at sa paglalathala ng kaniyang mga pananaw, at mula 1840 hanggang 1844 ay mabilis na lumawak ang gawain.” The Great Controversy, 334, 335.</w:t>
      </w:r>
    </w:p>
    <w:p>
      <w:pPr>
        <w:pStyle w:val="ArticleBody"/>
        <w:jc w:val="left"/>
      </w:pPr>
      <w:r>
        <w:rPr>
          <w:rFonts w:ascii="Times New Roman" w:hAnsi="Times New Roman" w:eastAsia="Times New Roman" w:cs="Times New Roman"/>
        </w:rPr>
        <w:t>Le premier verset du chapitre dix correspond à 1840, et au verset dix nous voyons Jean amèrement déçu le 22 octobre 1844. Jean représentait ceux qui portèrent au monde le message du petit livre, pour ne connaître ensuite que l’amère déception du 22 octobre 1844. Les versets un à dix représentent l’histoire de 1840 à 1844. Voilà un témoignage interne au sein du chapitre dix.</w:t>
      </w:r>
    </w:p>
    <w:p>
      <w:pPr>
        <w:pStyle w:val="ArticleBody"/>
        <w:jc w:val="left"/>
      </w:pPr>
      <w:r>
        <w:rPr>
          <w:rFonts w:ascii="Times New Roman" w:hAnsi="Times New Roman" w:eastAsia="Times New Roman" w:cs="Times New Roman"/>
        </w:rPr>
        <w:t>Ang iba pang saksi ay si Juan, na kumakain ng munting aklat; at ito’y matamis sa kaniyang bibig, na kumakatawan sa kaniyang pagtanggap sa mensahe ng Agosto 11, 1840, at pagkatapos ay naging mapait sa kaniyang tiyan sa Dakilang Kabiguan noong Oktubre 22, 1844.</w:t>
      </w:r>
    </w:p>
    <w:p>
      <w:pPr>
        <w:pStyle w:val="ArticleScripture"/>
        <w:jc w:val="left"/>
      </w:pPr>
      <w:r>
        <w:rPr>
          <w:rFonts w:ascii="Times New Roman" w:hAnsi="Times New Roman" w:eastAsia="Times New Roman" w:cs="Times New Roman"/>
        </w:rPr>
        <w:t>Kinuha ko ang munting aklat mula sa kamay ng anghel, at kinain ko iyon; at sa aking bibig ay matamis iyon na gaya ng pulot: at nang sandali ngang aking makain iyon, ang aking tiyan ay pumait. Apocalipsis 10:10.</w:t>
      </w:r>
    </w:p>
    <w:p>
      <w:pPr>
        <w:pStyle w:val="ArticleBody"/>
        <w:jc w:val="left"/>
      </w:pPr>
      <w:r>
        <w:rPr>
          <w:rFonts w:ascii="Times New Roman" w:hAnsi="Times New Roman" w:eastAsia="Times New Roman" w:cs="Times New Roman"/>
        </w:rPr>
        <w:t>الفصل العاشر يمثّل في آيةٍ واحدة التاريخَ بعينه من سنة 1840 إلى سنة 1844. وهذه هي الشهادةُ الداخلية الثانية داخل الأصحاح على أن «الرعود السبعة» تمثّل ذلك التاريخ. وقد سبق للأخت وايت أن حدّدت أن «الرعود السبعة» تمثّل عرضًا للأحداث التي جرت في ظلّ رسالتي الملاك الأول والملاك الثاني. وقد انتهت رسالةُ الملاك الثاني عند خيبة الأمل العظيمة، ولذلك فإن «الرعود السبعة» تمثّل التاريخَ نفسه بعينه. فهناك ثلاث شهادات داخلية تؤيّد حقيقةَ أن التاريخ الممتدّ من 11 أغسطس 1840 إلى خيبة الأمل العظيمة في 22 أكتوبر 1844 هو التاريخ النبوي الذي يجري التأكيد عليه في الفصل العاشر من سفر الرؤيا.</w:t>
      </w:r>
    </w:p>
    <w:p>
      <w:pPr>
        <w:pStyle w:val="ArticleBody"/>
        <w:jc w:val="left"/>
      </w:pPr>
      <w:r>
        <w:rPr>
          <w:rFonts w:ascii="Times New Roman" w:hAnsi="Times New Roman" w:eastAsia="Times New Roman" w:cs="Times New Roman"/>
        </w:rPr>
        <w:t>Puis, dans le dernier verset, conformément à la vérité liée aux « sept tonnerres », un ordre est donné pour la proclamation du message, et l’histoire même doit être répétée.</w:t>
      </w:r>
    </w:p>
    <w:p>
      <w:pPr>
        <w:pStyle w:val="ArticleScripture"/>
        <w:jc w:val="left"/>
      </w:pPr>
      <w:r>
        <w:rPr>
          <w:rFonts w:ascii="Times New Roman" w:hAnsi="Times New Roman" w:eastAsia="Times New Roman" w:cs="Times New Roman"/>
        </w:rPr>
        <w:t>Na akaniambia, Imekupasa kutoa unabii tena mbele ya watu wengi, na mataifa, na lugha, na wafalme. Ufunuo 10:11.</w:t>
      </w:r>
    </w:p>
    <w:p>
      <w:pPr>
        <w:pStyle w:val="ArticleBody"/>
        <w:jc w:val="left"/>
      </w:pPr>
      <w:r>
        <w:rPr>
          <w:rFonts w:ascii="Times New Roman" w:hAnsi="Times New Roman" w:eastAsia="Times New Roman" w:cs="Times New Roman"/>
        </w:rPr>
        <w:t>Nanu mawu ɖe ɖo kple be Adventism ƒe gɔmedzedze, si dze egɔme esime gbedeasi si woʋu le “nuwuwu ƒe ɣeyiɣi” me la xɔ ŋusẽ, aɖe Adventism ƒe nuwuwu fia esime gbedeasi si woʋu le 1989 me la xɔ ŋusẽ to dzidzɔgbenyuia me, menye Nyaɖeɖefia 10 ƒe dɔla la ƒe dzidzɔgbenyuia me o, ke boŋ Nyaɖeɖefia 18 ƒe dɔla si le gbɔgbɔna la tɔ me. Nyaɖeɖefia 18 ƒe dɔla la ɖi gbɔ le September 11, 2001, eye míele te ɖe 1840 tso 1844 gɔmeɖoɖo si le dzidzime gagbãm la ƒe nuwuwu ŋu fifia.</w:t>
      </w:r>
    </w:p>
    <w:p>
      <w:pPr>
        <w:pStyle w:val="ArticleBody"/>
        <w:jc w:val="left"/>
      </w:pPr>
      <w:r>
        <w:rPr>
          <w:rFonts w:ascii="Times New Roman" w:hAnsi="Times New Roman" w:eastAsia="Times New Roman" w:cs="Times New Roman"/>
        </w:rPr>
        <w:t>Selle peatüki kümnenda tähelepanekud on olnud avalikkusele teada juba aastaid. See, mida kuni hiljutise ajani kunagi ei mõistetud, on see, et selles pühas ajaloos sisaldub veel teine püha ajalugu, mis on sellesse põimitud. Seda ajalugu tunnevad ära üksnes need, kes võtavad vastu Alfa ja Oomega põhimõtte, mis samastab asja lõpu asja algusega. Pühasse ajalukku põimitud ajalugu algab pettumusega ja lõpeb Suure Pettumusega. Aastate 1843 kuni 1844 ajalugu on eriline ajalooline joon, mis asub aastate 1840 kuni 1844 ajaloo sees, kuid on sellest eristuv. Nii õde White kui ka Kristus käsitlevad seda ajaloolist joont.</w:t>
      </w:r>
    </w:p>
    <w:p>
      <w:pPr>
        <w:pStyle w:val="ArticleScripture"/>
        <w:jc w:val="left"/>
      </w:pPr>
      <w:r>
        <w:rPr>
          <w:rFonts w:ascii="Times New Roman" w:hAnsi="Times New Roman" w:eastAsia="Times New Roman" w:cs="Times New Roman"/>
        </w:rPr>
        <w:t>« Tous les messages donnés de 1840 à 1844 doivent être rendus puissants maintenant, car beaucoup de personnes ont perdu leurs repères. Les messages doivent parvenir à toutes les Églises. »</w:t>
      </w:r>
    </w:p>
    <w:p>
      <w:pPr>
        <w:pStyle w:val="ArticleScripture"/>
        <w:jc w:val="left"/>
      </w:pPr>
      <w:r>
        <w:rPr>
          <w:rFonts w:ascii="Times New Roman" w:hAnsi="Times New Roman" w:eastAsia="Times New Roman" w:cs="Times New Roman"/>
        </w:rPr>
        <w:t>Le Christ a dit : « Heureux vos yeux, parce qu’ils voient ; et vos oreilles, parce qu’elles entendent. Car, en vérité, je vous le dis, beaucoup de prophètes et de justes ont désiré voir les choses que vous voyez, et ne les ont point vues ; et entendre les choses que vous entendez, et ne les ont point entendues » [Matt. 13:16, 17]. Heureux les yeux qui ont vu les choses qui ont été vues en 1843 et en 1844.</w:t>
      </w:r>
    </w:p>
    <w:p>
      <w:pPr>
        <w:pStyle w:val="ArticleScripture"/>
        <w:jc w:val="left"/>
      </w:pPr>
      <w:r>
        <w:rPr>
          <w:rFonts w:ascii="Times New Roman" w:hAnsi="Times New Roman" w:eastAsia="Times New Roman" w:cs="Times New Roman"/>
        </w:rPr>
        <w:t>“Ujumbe umetolewa. Wala kusiwe na ucheleweshaji wowote katika kuurudia ujumbe huo, kwa maana ishara za nyakati zinatimia; kazi ya kufunga lazima ifanywe. Kazi kubwa itafanyika kwa muda mfupi. Hivi karibuni ujumbe utatolewa kwa kuteuliwa na Mungu ambao utakua na kuwa kilio kikuu. Ndipo Danieli atasimama katika sehemu yake, kutoa ushuhuda wake.” Manuscript Releases, juzuu ya 21, 437.</w:t>
      </w:r>
    </w:p>
    <w:p>
      <w:pPr>
        <w:pStyle w:val="ArticleBody"/>
        <w:jc w:val="left"/>
      </w:pPr>
      <w:r>
        <w:rPr>
          <w:rFonts w:ascii="Times New Roman" w:hAnsi="Times New Roman" w:eastAsia="Times New Roman" w:cs="Times New Roman"/>
        </w:rPr>
        <w:t>“Baprofeta le batho ba lokileng ba ne ba lakalitse ho bona lintho tseo” “tse ileng tsa bonoa ka 1843 le 1844.” Jesu o ile a bua ka histori ena e halalelang likosepeleng tse peli, empa tšupiso ka ’ngoe e ne e le maemong a fapaneng.</w:t>
      </w:r>
    </w:p>
    <w:p>
      <w:pPr>
        <w:pStyle w:val="ArticleScripture"/>
        <w:jc w:val="left"/>
      </w:pPr>
      <w:r>
        <w:rPr>
          <w:rFonts w:ascii="Times New Roman" w:hAnsi="Times New Roman" w:eastAsia="Times New Roman" w:cs="Times New Roman"/>
        </w:rPr>
        <w:t>Og han talte meget til dem i lignelser og sagde: Se, en sædemand gik ud for at så. Og da han såede, faldt noget ved vejen, og himlens fugle kom og åd det op. Noget faldt på stengrund, hvor det ikke havde megen jord, og det skød straks op, fordi det ikke havde dyb jord. Men da solen kom op, blev det svedet; og fordi det ikke havde rod, visnede det bort. Og noget faldt blandt torne; og tornene voksede op og kvalte det. Men andet faldt i god jord og bar frugt, noget hundrede fold, noget tresindstyve fold, noget tredive fold. Den, som har ører at høre med, han høre! Og disciplene kom hen og sagde til ham: Hvorfor taler du til dem i lignelser? Han svarede og sagde til dem: Fordi det er givet eder at kende himmerigets hemmeligheder, men dem er det ikke givet. Thi den, som har, ham skal der gives, og han skal have overflod; men den, som ikke har, fra ham skal endog det tages, som han har. Derfor taler jeg til dem i lignelser, fordi de, skønt seende, ikke ser, og skønt hørende, ikke hører eller forstår. Og på dem opfyldes Esajas’ profeti, som siger: I skal høre og høre og ingenlunde forstå, og I skal se og se og ingenlunde fatte. Thi dette folks hjerte er blevet sløvt, og tungt hører de med ørerne, og deres øjne har de lukket, for at de ikke på noget tidspunkt skal se med øjnene og høre med ørerne og forstå med hjertet og omvende sig, så jeg kunne helbrede dem. Men salige er eders øjne, fordi de ser, og eders ører, fordi de hører. Thi sandelig siger jeg eder: Mange profeter og retfærdige har attrået at se det, som I ser, og så det ikke, og at høre det, som I hører, og hørte det ikke. Mattæus 13:3–17.</w:t>
      </w:r>
    </w:p>
    <w:p>
      <w:pPr>
        <w:pStyle w:val="ArticleBody"/>
        <w:jc w:val="left"/>
      </w:pP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अभिलाषा</w:t>
      </w:r>
      <w:r>
        <w:rPr>
          <w:rFonts w:ascii="Times New Roman" w:hAnsi="Times New Roman" w:eastAsia="Times New Roman" w:cs="Times New Roman"/>
        </w:rPr>
        <w:t xml:space="preserve"> </w:t>
      </w:r>
      <w:r>
        <w:rPr>
          <w:rFonts w:ascii="Nirmala UI" w:hAnsi="Nirmala UI" w:eastAsia="Nirmala UI" w:cs="Nirmala UI"/>
        </w:rPr>
        <w:t>भविष्यद्वक्ताओं</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फ्यूचर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6 </w:t>
      </w:r>
      <w:r>
        <w:rPr>
          <w:rFonts w:ascii="Nirmala UI" w:hAnsi="Nirmala UI" w:eastAsia="Nirmala UI" w:cs="Nirmala UI"/>
        </w:rPr>
        <w:t>को</w:t>
      </w:r>
      <w:r>
        <w:rPr>
          <w:rFonts w:ascii="Times New Roman" w:hAnsi="Times New Roman" w:eastAsia="Times New Roman" w:cs="Times New Roman"/>
        </w:rPr>
        <w:t xml:space="preserve"> 11 </w:t>
      </w:r>
      <w:r>
        <w:rPr>
          <w:rFonts w:ascii="Nirmala UI" w:hAnsi="Nirmala UI" w:eastAsia="Nirmala UI" w:cs="Nirmala UI"/>
        </w:rPr>
        <w:t>सितम्बर</w:t>
      </w:r>
      <w:r>
        <w:rPr>
          <w:rFonts w:ascii="Times New Roman" w:hAnsi="Times New Roman" w:eastAsia="Times New Roman" w:cs="Times New Roman"/>
        </w:rPr>
        <w:t xml:space="preserve"> 2001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18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शक्तिशाली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आलोकित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सहमत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6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À l’année de la mort du roi Ozias, je vis aussi le Seigneur assis sur un trône, élevé et exalté, et les pans de sa robe remplissaient le temple. Au-dessus de lui se tenaient les séraphins : chacun avait six ailes ; de deux il se couvrait la face, de deux il se couvrait les pieds, et de deux il volait. Et l’un criait à l’autre, et disait : Saint, saint, saint est le Seigneur des armées ; toute la terre est pleine de sa gloire. Ésaïe 6:1–3.</w:t>
      </w:r>
    </w:p>
    <w:p>
      <w:pPr>
        <w:pStyle w:val="ArticleBody"/>
        <w:jc w:val="left"/>
      </w:pPr>
      <w:r>
        <w:rPr>
          <w:rFonts w:ascii="Times New Roman" w:hAnsi="Times New Roman" w:eastAsia="Times New Roman" w:cs="Times New Roman"/>
        </w:rPr>
        <w:t>La terre est illuminée de sa gloire lorsque l’ange d’Apocalypse dix-huit descend, et Ésaïe nous fournit une autre clé importante lorsqu’il nous informe que sa vision du sanctuaire eut lieu l’année de la mort du roi Ozias. Le roi Ozias avait tenté d’accomplir l’œuvre d’un prêtre dans le temple. Quatre-vingts prêtres et le souverain sacrificateur s’y opposèrent, jusqu’à ce que le Seigneur le frappât de lèpre au front. Il reçut la marque de la bête pour avoir tenté d’unir son autorité d’État à l’autorité de l’Église. Il ne mourut pas immédiatement; il fut ôté du trône et remplacé, et, après un certain temps, il mourut finalement le 11 septembre 2001. L’Église adventiste meurt progressivement, comme mourut l’Église juive au temps du Christ. Mais le 11 septembre 2001, l’adventisme, qui avait déjà rejeté le message des six derniers versets de Daniel onze, prit fin en tant que corne protestante des États-Unis, et ceux qui sont représentés par Ésaïe furent alors appelés à porter le message représenté par la première voix d’Apocalypse dix-huit.</w:t>
      </w:r>
    </w:p>
    <w:p>
      <w:pPr>
        <w:pStyle w:val="ArticleScripture"/>
        <w:jc w:val="left"/>
      </w:pPr>
      <w:r>
        <w:rPr>
          <w:rFonts w:ascii="Times New Roman" w:hAnsi="Times New Roman" w:eastAsia="Times New Roman" w:cs="Times New Roman"/>
        </w:rPr>
        <w:t>Kung magkagayon, pumasok si Azarias na saserdote pagkatapos niya, at kasama niya ang walumpung saserdote ng Panginoon, na mga lalaking magigiting: At kanilang sinalangsang si Uzzias na hari, at sinabi sa kaniya, Hindi nauukol sa iyo, Uzzias, ang magsunog ng kamangyan sa Panginoon, kundi sa mga saserdote, na mga anak ni Aaron, na itinalaga upang magsunog ng kamangyan: lumabas ka sa santuario; sapagkat ikaw ay nagkasala; ni hindi ito magiging ukol sa iyong karangalan mula sa Panginoong Dios. Nang magkagayo’y nagalit si Uzzias, at may hawak na suuban sa kaniyang kamay upang magsunog ng kamangyan: at samantalang siya’y nagagalit sa mga saserdote, ang ketong ay lumitaw sa kaniyang noo sa harapan ng mga saserdote sa bahay ng Panginoon, sa tabi ng dambana ng kamangyan. At tiningnan siya ni Azarias na punong saserdote, at ng lahat ng mga saserdote, at narito, siya’y ketongin sa kaniyang noo, at kanilang pinalabas siya roon; oo, siya rin naman ay nagmadaling lumabas, sapagkat siya’y sinaktan ng Panginoon. At si Uzzias na hari ay naging ketongin hanggang sa araw ng kaniyang kamatayan, at tumahan sa isang hiwalay na bahay, palibhasa’y ketongin; sapagkat siya’y nahiwalay sa bahay ng Panginoon: at si Jotham na kaniyang anak ay namahala sa bahay ng hari, na humahatol sa bayan ng lupain. 2 Cronica 26:17–21.</w:t>
      </w:r>
    </w:p>
    <w:p>
      <w:pPr>
        <w:pStyle w:val="ArticleBody"/>
        <w:jc w:val="left"/>
      </w:pPr>
      <w:r>
        <w:rPr>
          <w:rFonts w:ascii="Times New Roman" w:hAnsi="Times New Roman" w:eastAsia="Times New Roman" w:cs="Times New Roman"/>
        </w:rPr>
        <w:t xml:space="preserve">ff </w:t>
      </w:r>
      <w:r>
        <w:rPr>
          <w:rFonts w:ascii="Nirmala UI" w:hAnsi="Nirmala UI" w:eastAsia="Nirmala UI" w:cs="Nirmala UI"/>
        </w:rPr>
        <w:t>ഭാഷയിൽ</w:t>
      </w:r>
      <w:r>
        <w:rPr>
          <w:rFonts w:ascii="Times New Roman" w:hAnsi="Times New Roman" w:eastAsia="Times New Roman" w:cs="Times New Roman"/>
        </w:rPr>
        <w:t xml:space="preserve"> </w:t>
      </w:r>
      <w:r>
        <w:rPr>
          <w:rFonts w:ascii="Nirmala UI" w:hAnsi="Nirmala UI" w:eastAsia="Nirmala UI" w:cs="Nirmala UI"/>
        </w:rPr>
        <w:t>സ്വാഭാവികവും</w:t>
      </w:r>
      <w:r>
        <w:rPr>
          <w:rFonts w:ascii="Times New Roman" w:hAnsi="Times New Roman" w:eastAsia="Times New Roman" w:cs="Times New Roman"/>
        </w:rPr>
        <w:t xml:space="preserve"> </w:t>
      </w:r>
      <w:r>
        <w:rPr>
          <w:rFonts w:ascii="Nirmala UI" w:hAnsi="Nirmala UI" w:eastAsia="Nirmala UI" w:cs="Nirmala UI"/>
        </w:rPr>
        <w:t>പ്രസാധനയോഗ്യവുമായി</w:t>
      </w:r>
      <w:r>
        <w:rPr>
          <w:rFonts w:ascii="Times New Roman" w:hAnsi="Times New Roman" w:eastAsia="Times New Roman" w:cs="Times New Roman"/>
        </w:rPr>
        <w:t xml:space="preserve"> </w:t>
      </w:r>
      <w:r>
        <w:rPr>
          <w:rFonts w:ascii="Nirmala UI" w:hAnsi="Nirmala UI" w:eastAsia="Nirmala UI" w:cs="Nirmala UI"/>
        </w:rPr>
        <w:t>വിവർത്തനം</w:t>
      </w:r>
      <w:r>
        <w:rPr>
          <w:rFonts w:ascii="Times New Roman" w:hAnsi="Times New Roman" w:eastAsia="Times New Roman" w:cs="Times New Roman"/>
        </w:rPr>
        <w:t xml:space="preserve"> </w:t>
      </w:r>
      <w:r>
        <w:rPr>
          <w:rFonts w:ascii="Nirmala UI" w:hAnsi="Nirmala UI" w:eastAsia="Nirmala UI" w:cs="Nirmala UI"/>
        </w:rPr>
        <w:t>നടത്തുന്നതിനായി</w:t>
      </w:r>
      <w:r>
        <w:rPr>
          <w:rFonts w:ascii="Times New Roman" w:hAnsi="Times New Roman" w:eastAsia="Times New Roman" w:cs="Times New Roman"/>
        </w:rPr>
        <w:t xml:space="preserve">, “ff” </w:t>
      </w:r>
      <w:r>
        <w:rPr>
          <w:rFonts w:ascii="Nirmala UI" w:hAnsi="Nirmala UI" w:eastAsia="Nirmala UI" w:cs="Nirmala UI"/>
        </w:rPr>
        <w:t>ഏത്</w:t>
      </w:r>
      <w:r>
        <w:rPr>
          <w:rFonts w:ascii="Times New Roman" w:hAnsi="Times New Roman" w:eastAsia="Times New Roman" w:cs="Times New Roman"/>
        </w:rPr>
        <w:t xml:space="preserve"> </w:t>
      </w:r>
      <w:r>
        <w:rPr>
          <w:rFonts w:ascii="Nirmala UI" w:hAnsi="Nirmala UI" w:eastAsia="Nirmala UI" w:cs="Nirmala UI"/>
        </w:rPr>
        <w:t>ഭാഷയെ</w:t>
      </w:r>
      <w:r>
        <w:rPr>
          <w:rFonts w:ascii="Times New Roman" w:hAnsi="Times New Roman" w:eastAsia="Times New Roman" w:cs="Times New Roman"/>
        </w:rPr>
        <w:t xml:space="preserve"> </w:t>
      </w:r>
      <w:r>
        <w:rPr>
          <w:rFonts w:ascii="Nirmala UI" w:hAnsi="Nirmala UI" w:eastAsia="Nirmala UI" w:cs="Nirmala UI"/>
        </w:rPr>
        <w:t>സൂചിപ്പിക്കുന്നുവെന്ന്</w:t>
      </w:r>
      <w:r>
        <w:rPr>
          <w:rFonts w:ascii="Times New Roman" w:hAnsi="Times New Roman" w:eastAsia="Times New Roman" w:cs="Times New Roman"/>
        </w:rPr>
        <w:t xml:space="preserve"> </w:t>
      </w:r>
      <w:r>
        <w:rPr>
          <w:rFonts w:ascii="Nirmala UI" w:hAnsi="Nirmala UI" w:eastAsia="Nirmala UI" w:cs="Nirmala UI"/>
        </w:rPr>
        <w:t>ദയവായി</w:t>
      </w:r>
      <w:r>
        <w:rPr>
          <w:rFonts w:ascii="Times New Roman" w:hAnsi="Times New Roman" w:eastAsia="Times New Roman" w:cs="Times New Roman"/>
        </w:rPr>
        <w:t xml:space="preserve"> </w:t>
      </w:r>
      <w:r>
        <w:rPr>
          <w:rFonts w:ascii="Nirmala UI" w:hAnsi="Nirmala UI" w:eastAsia="Nirmala UI" w:cs="Nirmala UI"/>
        </w:rPr>
        <w:t>വ്യക്തമാക്കുക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Ésaïe se porte volontaire pour porter un message au peuple élu infidèle de Dieu dans son époque, et Jésus emploie les mêmes paroles pour s’adresser à la même situation dans la sienne. Un peuple élu de l’alliance est laissé de côté, et il refuse d’« entendre » et d’être guéri.</w:t>
      </w:r>
    </w:p>
    <w:p>
      <w:pPr>
        <w:pStyle w:val="ArticleScripture"/>
        <w:jc w:val="left"/>
      </w:pPr>
      <w:r>
        <w:rPr>
          <w:rFonts w:ascii="Times New Roman" w:hAnsi="Times New Roman" w:eastAsia="Times New Roman" w:cs="Times New Roman"/>
        </w:rPr>
        <w:t>Zvino akati, Enda, undoudza vanhu ava uti, Zvirokwazvo muchanzwa, asi hamunganzwisisi; zvirokwazvo muchaona, asi hamunganzwisisi. Itisa mwoyo wavanhu ava kuti ukore, uite kuti nzeve dzavo dzireme, uye uvhare meso avo; kuti varege kuona nameso avo, nokunzwa nenzeve dzavo, nokunzwisisa nomwoyo wavo, nokutendeuka, nokuporeswa. Isaya 6:9, 10.</w:t>
      </w:r>
    </w:p>
    <w:p>
      <w:pPr>
        <w:pStyle w:val="ArticleBody"/>
        <w:jc w:val="left"/>
      </w:pPr>
      <w:r>
        <w:rPr>
          <w:rFonts w:ascii="Times New Roman" w:hAnsi="Times New Roman" w:eastAsia="Times New Roman" w:cs="Times New Roman"/>
        </w:rPr>
        <w:t>Le œuvre qu’Ésaïe entreprend est l’œuvre que Jean et Ézéchiel ont entreprise lorsqu’ils mangèrent le petit livre. Ils portent un message de réprimande à un peuple de l’alliance, peuple élu, qui est en train d’être vomi de la bouche du Seigneur. La seconde fois où Jésus fait référence à l’histoire que les prophètes et les justes ont désiré voir est rapportée par Luc.</w:t>
      </w:r>
    </w:p>
    <w:p>
      <w:pPr>
        <w:pStyle w:val="ArticleScripture"/>
        <w:jc w:val="left"/>
      </w:pPr>
      <w:r>
        <w:rPr>
          <w:rFonts w:ascii="Times New Roman" w:hAnsi="Times New Roman" w:eastAsia="Times New Roman" w:cs="Times New Roman"/>
        </w:rPr>
        <w:t>Na wewe, Kapernaumu, uliyeinuliwa hata mbinguni, utashushwa hata kuzimu. Yeye awasikiaye ninyi anisikia mimi; na yeye awadharauye ninyi anidharau mimi; na yeye anidharauye mimi amdharau yeye aliyenituma. Wale sabini wakarudi tena kwa furaha, wakisema, Bwana, hata pepo wanatutii kwa jina lako. Naye akawaambia, Nilimwona Shetani akianguka kutoka mbinguni kama umeme. Tazama, nimewapa ninyi uwezo wa kukanyaga nyoka na nge, na juu ya nguvu zote za adui; wala hakuna kitu kitakachowadhuru kwa njia yoyote ile. Walakini, msifurahi kwa sababu roho wanawatii; bali furahini zaidi kwa sababu majina yenu yameandikwa mbinguni. Saa ile ile Yesu akafurahi rohoni, akasema, Nakushukuru, Ee Baba, Bwana wa mbingu na nchi, kwa kuwa umewaficha mambo haya wenye hekima na busara, nawe umeyafunua kwa watoto wachanga; naam, Baba, kwa kuwa ndivyo ilivyopendeza machoni pako. Vitu vyote nimekabidhiwa na Baba yangu; wala hakuna ajuaye Mwana ni nani ila Baba; wala ajuaye Baba ni nani ila Mwana, na yeye ambaye Mwana apenda kumfunulia. Naye akawageukia wanafunzi wake, akasema kwa faragha, Heri macho yale yaonayo hayo mnayoyaona ninyi; kwa maana nawaambia, manabii wengi na wafalme wametamani kuyaona hayo mnayoyaona ninyi, wasiyaone; na kuyasikia hayo mnayoyasikia ninyi, wasiyasikie. Luka 10:15–24.</w:t>
      </w:r>
    </w:p>
    <w:p>
      <w:pPr>
        <w:pStyle w:val="ArticleBody"/>
        <w:jc w:val="left"/>
      </w:pPr>
      <w:r>
        <w:rPr>
          <w:rFonts w:ascii="Times New Roman" w:hAnsi="Times New Roman" w:eastAsia="Times New Roman" w:cs="Times New Roman"/>
        </w:rPr>
        <w:t>Encore une fois, le contexte d’une bénédiction associée à ceux qui ont le privilège de voir ce que les justes ont désiré voir concerne un peuple élu de l’alliance que l’on dépasse et qui ne veut pas « entendre ». Sœur White fait référence à la condamnation de Capernaüm par le Christ, laquelle symbolise le rejet d’une grande lumière, et elle a mis l’adventisme en relief en plaçant le reproche adressé à l’adventisme entre [crochets].</w:t>
      </w:r>
    </w:p>
    <w:p>
      <w:pPr>
        <w:pStyle w:val="ArticleScripture"/>
        <w:jc w:val="left"/>
      </w:pPr>
      <w:r>
        <w:rPr>
          <w:rFonts w:ascii="Times New Roman" w:hAnsi="Times New Roman" w:eastAsia="Times New Roman" w:cs="Times New Roman"/>
        </w:rPr>
        <w:t>“خداتعالی کے نام نہاد فرزندوں میں کتنی کم صبر و تحمل ظاہر کی گئی ہے، کتنے تلخ الفاظ کہے گئے ہیں، اور ان لوگوں کے خلاف، جو ہمارے ایمان کے نہیں، کتنی سخت مذمت کی گئی ہے۔ بہت سوں نے دوسرے کلیسیاؤں سے تعلق رکھنے والوں کو بڑے گنہگار سمجھا ہے، حالانکہ خداوند انہیں اس طرح نہیں دیکھتا۔ جو لوگ دوسرے کلیسیاؤں کے ارکان کو اس نظر سے دیکھتے ہیں، انہیں خدا کے قادر ہاتھ کے نیچے فروتن ہونے کی ضرورت ہے۔ جنہیں وہ ملامت کرتے ہیں، ممکن ہے انہیں بہت کم روشنی، بہت کم مواقع اور مراعات ملی ہوں۔ اگر انہیں وہ روشنی ملی ہوتی جو ہماری کلیسیاؤں کے بہت سے ارکان کو ملی ہے، تو ممکن تھا کہ وہ کہیں زیادہ ترقی کرتے، اور دنیا کے سامنے اپنے ایمان کی بہتر نمائندگی کرتے۔ ان لوگوں کے بارے میں جو اپنی روشنی پر فخر کرتے ہیں، اور پھر بھی اس پر نہیں چلتے، مسیح فرماتا ہے، ‘لیکن میں تم سے کہتا ہوں کہ عدالت کے دن صور اور صیدا کے لیے تمہاری نسبت زیادہ برداشت ہوگی۔ اور اے کفرنحوم [سیventh-day Adventists، جنہیں بڑی روشنی ملی ہے]، جو آسمان تک بلند کی گئی ہے [باعتبارِ مراعات]، تو پاتال تک گرا دی جائے گی: کیونکہ اگر وہ معجزے، جو تجھ میں دکھائے گئے، سدوم میں دکھائے گئے ہوتے، تو وہ آج تک قائم رہتا۔ لیکن میں تم سے کہتا ہوں کہ عدالت کے دن سدوم کے ملک کے لیے تیری نسبت زیادہ برداشت ہوگی۔’ اس وقت یسوع نے جواب میں کہا، ‘اے باپ، آسمان اور زمین کے مالک، میں تیری حمد کرتا ہوں کہ تو نے یہ باتیں داناؤں اور سمجھداروں سے [ان کے اپنے خیال میں] پوشیدہ رکھیں، اور بچوں پر ظاہر کیں۔’”</w:t>
      </w:r>
    </w:p>
    <w:p>
      <w:pPr>
        <w:pStyle w:val="ArticleScripture"/>
        <w:jc w:val="left"/>
      </w:pPr>
      <w:r>
        <w:rPr>
          <w:rFonts w:ascii="Times New Roman" w:hAnsi="Times New Roman" w:eastAsia="Times New Roman" w:cs="Times New Roman"/>
        </w:rPr>
        <w:t>«“Et maintenant, parce que vous avez commis toutes ces œuvres, dit l’Éternel, et que je vous ai parlé, me levant de bon matin et parlant, mais que vous n’avez point écouté, et que je vous ai appelés, mais que vous n’avez point répondu, c’est pourquoi je ferai à cette maison, qui est appelée de mon nom, en laquelle vous vous confiez, et au lieu que j’ai donné à vous et à vos pères, comme j’ai fait à Silo. Et je vous rejetterai loin de ma face, comme j’ai rejeté tous vos frères, toute la postérité d’Éphraïm.” Review and Herald, 1er août 1893.</w:t>
      </w:r>
    </w:p>
    <w:p>
      <w:pPr>
        <w:pStyle w:val="ArticleBody"/>
        <w:jc w:val="left"/>
      </w:pPr>
      <w:r>
        <w:rPr>
          <w:rFonts w:ascii="Times New Roman" w:hAnsi="Times New Roman" w:eastAsia="Times New Roman" w:cs="Times New Roman"/>
        </w:rPr>
        <w:t>Les « œuvres puissantes » qui avaient été accomplies dans l’adventisme étaient les œuvres que des hommes justes et des prophètes ont désiré voir et entendre. Ces œuvres puissantes furent représentées dans l’histoire de 1843 et de 1844, lorsque le message du Cri de Minuit fut proclamé. L’adventisme a rejeté son histoire, et en particulier l’histoire de 1843 et de 1844. Une histoire qui commence et s’achève par une déception, et aussi une histoire qui devait les conduire vers la terre renouvelée.</w:t>
      </w:r>
    </w:p>
    <w:p>
      <w:pPr>
        <w:pStyle w:val="ArticleScripture"/>
        <w:jc w:val="left"/>
      </w:pPr>
      <w:r>
        <w:rPr>
          <w:rFonts w:ascii="Times New Roman" w:hAnsi="Times New Roman" w:eastAsia="Times New Roman" w:cs="Times New Roman"/>
        </w:rPr>
        <w:t>“Au commencement du sentier, une vive lumière avait été placée derrière eux; un ange me dit que c’était le « cri de minuit ». Cette lumière brillait tout le long du sentier et éclairait leurs pieds, afin qu’ils ne trébuchent point.</w:t>
      </w:r>
    </w:p>
    <w:p>
      <w:pPr>
        <w:pStyle w:val="ArticleScripture"/>
        <w:jc w:val="left"/>
      </w:pPr>
      <w:r>
        <w:rPr>
          <w:rFonts w:ascii="Times New Roman" w:hAnsi="Times New Roman" w:eastAsia="Times New Roman" w:cs="Times New Roman"/>
        </w:rPr>
        <w:t>“Me echan ña nitamachiliaj inixpan Jesús, tlen oyaya imelāuj iixpa, quinpalehuijtinemia ipan altepetl, yejhuamej ompa oyayaj tlamaniliztli. Pero niman sekin osiyajkej, huan okihtojkej para in altepetl huejka eltok, huan yejhuamej omochiyayaj para achtopa ya kalakiskiaj ipan. Huajca Jesús quinyolchikahuaaya ika quitlejkoltíaaya Iyektik iyekma, huan itech Iyekma quisaya se tlahuilli tlen moajolpoloaaya ipan in banda adventista, huan tzajtziaj: ‘¡Aleluya!’ Oksekimej san ahmo tlamachiliajkej in tlahuilli tlen ompa inkuitlapan, huan okihtojkej para ahmo Dios in akin oquinquixti hasta ompa. In tlahuilli tlen inkuitlapan sehuik, huan ininicxihuan omokajkej ipan senka yohualli; huan motepotlamijquej huan okipolojkej in tetzotl huan inixpan Jesús, huan ohuetzkej ipan ojtli hasta tlasehsej ipan in tliltik huan amo kuali tlalticpac tlen tlase.” Early Writings, 15.</w:t>
      </w:r>
    </w:p>
    <w:p>
      <w:pPr>
        <w:pStyle w:val="ArticleBody"/>
        <w:jc w:val="left"/>
      </w:pPr>
      <w:r>
        <w:rPr>
          <w:rFonts w:ascii="Times New Roman" w:hAnsi="Times New Roman" w:eastAsia="Times New Roman" w:cs="Times New Roman"/>
        </w:rPr>
        <w:t>Ce que le Lion de la tribu de Juda descelle maintenant, c’est l’histoire de 1843 et de 1844. Les « sept tonnerres » représentent la période de 1840 à 1844, mais cette période renferme une histoire tout à fait particulière, préfigurée depuis le commencement de l’histoire de l’alliance. Chacun des mouvements de réforme est parallèle aux autres, possédant les mêmes repères identiques. S’ils différaient les uns des autres, Satan élaborerait pour chaque mouvement de réforme un plan d’attaque différent, mais il ne le fait jamais.</w:t>
      </w:r>
    </w:p>
    <w:p>
      <w:pPr>
        <w:pStyle w:val="ArticleScripture"/>
        <w:jc w:val="left"/>
      </w:pPr>
      <w:r>
        <w:rPr>
          <w:rFonts w:ascii="Times New Roman" w:hAnsi="Times New Roman" w:eastAsia="Times New Roman" w:cs="Times New Roman"/>
        </w:rPr>
        <w:t>“Lakini Shetani hakubaki bila kufanya jambo. Sasa alijaribu lile ambalo amekuwa akilijaribu katika kila vuguvugu jingine la matengenezo—kuwadanganya na kuwaangamiza watu kwa kuwavalisha bandia badala ya kazi ya kweli. Kama vile kulivyokuwako Wakristo wa uongo katika karne ya kwanza ya kanisa la Kikristo, ndivyo pia walivyojitokeza manabii wa uongo katika karne ya kumi na sita.” The Great Controversy, 186.</w:t>
      </w:r>
    </w:p>
    <w:p>
      <w:pPr>
        <w:pStyle w:val="ArticleBody"/>
        <w:jc w:val="left"/>
      </w:pPr>
      <w:r>
        <w:rPr>
          <w:rFonts w:ascii="Times New Roman" w:hAnsi="Times New Roman" w:eastAsia="Times New Roman" w:cs="Times New Roman"/>
        </w:rPr>
        <w:t>Nukta ya msingi katika kifungu hiki, kwa mujibu wa ujumbe wa jumla tunaoshiriki, ni kwamba wakati Uadventista ulipoacha kushikilia vazi la mamlaka la Uprotestanti na kuliondolewa kabisa mnamo Septemba 11, 2001, bado wanasisitiza kwamba wao ndio vuguvugu la mabaki linalotangaza kilio kikuu cha malaika wa tatu. Hata hivyo, wao ni bandia. Usipotambua ni vuguvugu gani sasa linalobeba pembe ya Uprotestanti, ni karibu haiwezekani kuelewa ulinganifu uliopo kati ya zile pembe mbili nchini Marekani.</w:t>
      </w:r>
    </w:p>
    <w:p>
      <w:pPr>
        <w:pStyle w:val="ArticleBody"/>
        <w:jc w:val="left"/>
      </w:pPr>
      <w:r>
        <w:rPr>
          <w:rFonts w:ascii="Times New Roman" w:hAnsi="Times New Roman" w:eastAsia="Times New Roman" w:cs="Times New Roman"/>
        </w:rPr>
        <w:t>Istwa 1843 ak 1844 la reprezante nan chak mouvman refòm, e kounye a nou pral sèvi ak kòmansman ansyen Izrayèl kòm pèp Bondye te chwazi a, ansanm ak fen Izrayèl kòm pèp Bondye te chwazi a, pou nou ilistre menm verite sa a konsènan Izrayèl modèn nan, avèk konsantrasyon sou ane 1843 ak 1844 jan yo reprezante nan chak nan liy mouvman refòmatwa yo.</w:t>
      </w:r>
    </w:p>
    <w:p>
      <w:pPr>
        <w:pStyle w:val="ArticleBody"/>
        <w:jc w:val="left"/>
      </w:pPr>
      <w:r>
        <w:rPr>
          <w:rFonts w:ascii="Times New Roman" w:hAnsi="Times New Roman" w:eastAsia="Times New Roman" w:cs="Times New Roman"/>
        </w:rPr>
        <w:t>Mose o profete ya ete Nkolo akotelemisa moprofeta moko lokola ye moko, mpe moprofeta yango ezalaki Yesu. Luka na Mokanda ya Misala andimisi ete Yesu akokisaki esakweli ya Mose.</w:t>
      </w:r>
    </w:p>
    <w:p>
      <w:pPr>
        <w:pStyle w:val="ArticleScripture"/>
        <w:jc w:val="left"/>
      </w:pPr>
      <w:r>
        <w:rPr>
          <w:rFonts w:ascii="Times New Roman" w:hAnsi="Times New Roman" w:eastAsia="Times New Roman" w:cs="Times New Roman"/>
        </w:rPr>
        <w:t>L’Éternel, ton Dieu, te suscitera du milieu de toi, d’entre tes frères, un Prophète comme moi : c’est lui que vous écouterez. Deutéronome 18:15.</w:t>
      </w:r>
    </w:p>
    <w:p>
      <w:pPr>
        <w:pStyle w:val="ArticleBody"/>
        <w:jc w:val="left"/>
      </w:pPr>
      <w:r>
        <w:rPr>
          <w:rFonts w:ascii="Times New Roman" w:hAnsi="Times New Roman" w:eastAsia="Times New Roman" w:cs="Times New Roman"/>
        </w:rPr>
        <w:t>Jesus ni nabii ambaye tunapaswa kumsikiliza.</w:t>
      </w:r>
    </w:p>
    <w:p>
      <w:pPr>
        <w:pStyle w:val="ArticleScripture"/>
        <w:jc w:val="left"/>
      </w:pPr>
      <w:r>
        <w:rPr>
          <w:rFonts w:ascii="Times New Roman" w:hAnsi="Times New Roman" w:eastAsia="Times New Roman" w:cs="Times New Roman"/>
        </w:rPr>
        <w:t>Car Moïse a véritablement dit aux pères : Le Seigneur votre Dieu vous suscitera d’entre vos frères un prophète comme moi ; vous l’écouterez en toutes choses, dans tout ce qu’il vous dira. Et il arrivera que toute âme qui n’écoutera pas ce prophète sera retranchée du milieu du peuple. Oui, et tous les prophètes depuis Samuel et ceux qui ont suivi, tous ceux qui ont parlé, ont également annoncé ces jours-là. Vous êtes les fils des prophètes et de l’alliance que Dieu a faite avec nos pères, disant à Abraham : Et en ta postérité toutes les familles de la terre seront bénies. C’est à vous premièrement que Dieu, ayant suscité son Fils Jésus, l’a envoyé pour vous bénir, en détournant chacun de vous de ses iniquités. Actes 3:22–26.</w:t>
      </w:r>
    </w:p>
    <w:p>
      <w:pPr>
        <w:pStyle w:val="ArticleBody"/>
        <w:jc w:val="left"/>
      </w:pPr>
      <w:r>
        <w:rPr>
          <w:rFonts w:ascii="Times New Roman" w:hAnsi="Times New Roman" w:eastAsia="Times New Roman" w:cs="Times New Roman"/>
        </w:rPr>
        <w:t>خطِّ الإصلاح الخاص بالمسيح يبدأ عند وقت النهاية، كما هو شأن جميع خطوط الإصلاح. وكان «وقت النهاية» في أيام المسيح هو ميلاده. وتُبيِّن الأسفار المقدسة أنه عند ميلاده حدثت زيادة في المعرفة، بما يتفق مع تعريف «وقت النهاية» في سفر دانيال. وسواء أكانوا الرعاة، أم المجوس القادمين من المشرق، أم هيرودس الغاضب، أم حنّة وسمعان في الهيكل، فقد كانت هناك زيادة في المعرفة حين وُلد. وعند تلك النقطة تم تجاوز قيادة الكنيسة اليهودية. وكان الطلاق تدريجيًّا، لكنه بدأ برفضهم الرسالة التي فُكَّ خَتْمُها عند وقت النهاية.</w:t>
      </w:r>
    </w:p>
    <w:p>
      <w:pPr>
        <w:pStyle w:val="ArticleScripture"/>
        <w:jc w:val="left"/>
      </w:pPr>
      <w:r>
        <w:rPr>
          <w:rFonts w:ascii="Times New Roman" w:hAnsi="Times New Roman" w:eastAsia="Times New Roman" w:cs="Times New Roman"/>
        </w:rPr>
        <w:t>«بنی‌آدم آن را نمی‌دانند، اما این مژده آسمان را از شادی لبریز می‌سازد. موجودات مقدسِ جهانِ نور با علاقه‌ای ژرف‌تر و لطیف‌تر به سوی زمین کشیده می‌شوند. تمامی جهان به سبب حضور او روشن‌تر است. بر فراز تپه‌های بیت‌لحم انبوهی بی‌شمار از فرشتگان گرد آمده‌اند. آنان در انتظارِ علامت‌اند تا این خبرِ خوش را به جهان اعلام کنند. اگر رهبران اسرائیل نسبت به امانتِ خود وفادار مانده بودند، می‌توانستند در شادیِ بشارت دادنِ تولد عیسی شریک شوند. اما اکنون از ایشان درمی‌گذرند.» آرزوی اعصار، 47.</w:t>
      </w:r>
    </w:p>
    <w:p>
      <w:pPr>
        <w:pStyle w:val="ArticleBody"/>
        <w:jc w:val="left"/>
      </w:pPr>
      <w:r>
        <w:rPr>
          <w:rFonts w:ascii="Times New Roman" w:hAnsi="Times New Roman" w:eastAsia="Times New Roman" w:cs="Times New Roman"/>
        </w:rPr>
        <w:t>1989-жылы Даниел 11-бөлүм, 40-аят аткарылганда, Адвентизмдин жетекчилиги четке кагылган. Ыйсаны үлгүлөгөн Мусанын тарыхындагы «акыр заман» анын төрөлгөн учуру болгон; ошол маалда анын үй-бүлөсү, андан кийин болсо фараондун кызы наристе Муса жөнүндө билимдин көбөйүшүн кабыл алышкан. Анын ысымы, албетте, «суудан куткарылып алынган» дегенди билдирет, ал эми Ыйса «Жахаба куткарат» дегенди билдирет.</w:t>
      </w:r>
    </w:p>
    <w:p>
      <w:pPr>
        <w:pStyle w:val="ArticleBody"/>
        <w:jc w:val="left"/>
      </w:pPr>
      <w:r>
        <w:rPr>
          <w:rFonts w:ascii="Times New Roman" w:hAnsi="Times New Roman" w:eastAsia="Times New Roman" w:cs="Times New Roman"/>
        </w:rPr>
        <w:t>Bayan ng “panahon ng wakas,” ang lahat ng mga linya ng reporma ay nagpapakita ng isang punto kung kailan ang kaalamang nadagdagan sa natatanging kasaysayang iyon ay ginagawang pormal na isang mensaheng maihaharap bilang patotoo sa salinlahing pananagutin ukol sa liwanag na nabuksan sa panahon ng wakas.</w:t>
      </w:r>
    </w:p>
    <w:p>
      <w:pPr>
        <w:pStyle w:val="ArticleBody"/>
        <w:jc w:val="left"/>
      </w:pPr>
      <w:r>
        <w:rPr>
          <w:rFonts w:ascii="Times New Roman" w:hAnsi="Times New Roman" w:eastAsia="Times New Roman" w:cs="Times New Roman"/>
        </w:rPr>
        <w:t>Yohanès Batis la te formalize mesaj Kris la, e mesaj Moyiz la te formalize nan karantyèm ane li a, lè li te eseye delivre Izrayèl anba Ejip nan pwòp fòs pa li. Mesaj delivrans anba Ejip la te kounye a antre nan dosye piblik la.</w:t>
      </w:r>
    </w:p>
    <w:p>
      <w:pPr>
        <w:pStyle w:val="ArticleBody"/>
        <w:jc w:val="left"/>
      </w:pPr>
      <w:r>
        <w:rPr>
          <w:rFonts w:ascii="Times New Roman" w:hAnsi="Times New Roman" w:eastAsia="Times New Roman" w:cs="Times New Roman"/>
        </w:rPr>
        <w:t>Ortaq kyrq jıldan keyin Musanıñ xabarı janyp turğan butada quattandırıldı jäne Qudaydıñ qūdaylığınıñ eki belgisi qatar jürdi: jılanğa aynalğan tayaq pen Musanıñ qoynınan şığarğan alaqan qolı. Isanıñ xabarı Oñıñ şomıldırılğanda quattandırıldı jäne ol qūdaylıqtıñ eki belgisi — Äkeniñ dauısı men Qasïetti Ruhpen qatar jürdi. Eki tarih­ta da keyingi waymark birinşi küñilsizdiktı, kütu uaqıtın, ekinşi perişteniñ keluin nemese 1843 jıldı bildiredi.</w:t>
      </w:r>
    </w:p>
    <w:p>
      <w:pPr>
        <w:pStyle w:val="ArticleBody"/>
        <w:jc w:val="left"/>
      </w:pPr>
      <w:r>
        <w:rPr>
          <w:rFonts w:ascii="Times New Roman" w:hAnsi="Times New Roman" w:eastAsia="Times New Roman" w:cs="Times New Roman"/>
        </w:rPr>
        <w:t>رَدِّ ناامیدی در نسل موسی، در همسر او به تصویر کشیده شد، آنگاه که فرشته فرود آمد تا موسی را به سبب ختنه نکردن پسرش هلاک سازد. صِفّوره از ترس، خود آن آیین را بر پسرشان به‌جا آورد. موسی ختنه کردن پسر خود را از یاد برده بود! همان نشانِ عهد که به ابراهیم داده شده بود، از یاد موسی رفته بود. پدر، ابراهیم، پیشگوییِ اسارت و رهایی عبرانیان را در مصر و از مصر بیان کرده بود، و قرار بود نبوت او به‌طور مشخص به‌وسیلهٔ موسی تحقق یابد، و موسی ختنه کردن پسرش را فراموش کرد. در آن هنگام، موسی صِفّوره را بازفرستاد تا نزد پدرش بماند تا پس از رهایی. او در مِدیان درنگ کرد تا آنکه موسی بنی‌اسرائیل را از میان آب دریای سرخ عبور داد؛ آبی که رسول پولس به ما می‌گوید نمونه‌ای از تعمید است، همان آیینی که جای ختنه را گرفت. این نکته را از دست مدهید. فرا رسیدنِ نشانهٔ راهی که در تاریخ موسی نمایندهٔ فرشتهٔ دوم است، آن نشانهٔ راهی که نخستین ناامیدی را در آن تاریخ پدید می‌آورد، ردّ قاعدهٔ اصلیِ رابطهٔ عهدیِ ابراهیم با خدا بود.</w:t>
      </w:r>
    </w:p>
    <w:p>
      <w:pPr>
        <w:pStyle w:val="ArticleBody"/>
        <w:jc w:val="left"/>
      </w:pPr>
      <w:r>
        <w:rPr>
          <w:rFonts w:ascii="Nirmala UI" w:hAnsi="Nirmala UI" w:eastAsia="Nirmala UI" w:cs="Nirmala UI"/>
        </w:rPr>
        <w:t>මසීහ්ගේ</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අසමත්භාවය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ලාසරුස්ගේ</w:t>
      </w:r>
      <w:r>
        <w:rPr>
          <w:rFonts w:ascii="Times New Roman" w:hAnsi="Times New Roman" w:eastAsia="Times New Roman" w:cs="Times New Roman"/>
        </w:rPr>
        <w:t xml:space="preserve"> </w:t>
      </w:r>
      <w:r>
        <w:rPr>
          <w:rFonts w:ascii="Nirmala UI" w:hAnsi="Nirmala UI" w:eastAsia="Nirmala UI" w:cs="Nirmala UI"/>
        </w:rPr>
        <w:t>මරණයයි</w:t>
      </w:r>
      <w:r>
        <w:rPr>
          <w:rFonts w:ascii="Times New Roman" w:hAnsi="Times New Roman" w:eastAsia="Times New Roman" w:cs="Times New Roman"/>
        </w:rPr>
        <w:t xml:space="preserve">. </w:t>
      </w:r>
      <w:r>
        <w:rPr>
          <w:rFonts w:ascii="Nirmala UI" w:hAnsi="Nirmala UI" w:eastAsia="Nirmala UI" w:cs="Nirmala UI"/>
        </w:rPr>
        <w:t>මාර්තා</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මරියා</w:t>
      </w:r>
      <w:r>
        <w:rPr>
          <w:rFonts w:ascii="Times New Roman" w:hAnsi="Times New Roman" w:eastAsia="Times New Roman" w:cs="Times New Roman"/>
        </w:rPr>
        <w:t xml:space="preserve"> </w:t>
      </w:r>
      <w:r>
        <w:rPr>
          <w:rFonts w:ascii="Nirmala UI" w:hAnsi="Nirmala UI" w:eastAsia="Nirmala UI" w:cs="Nirmala UI"/>
        </w:rPr>
        <w:t>නියතවම</w:t>
      </w:r>
      <w:r>
        <w:rPr>
          <w:rFonts w:ascii="Times New Roman" w:hAnsi="Times New Roman" w:eastAsia="Times New Roman" w:cs="Times New Roman"/>
        </w:rPr>
        <w:t xml:space="preserve"> </w:t>
      </w:r>
      <w:r>
        <w:rPr>
          <w:rFonts w:ascii="Nirmala UI" w:hAnsi="Nirmala UI" w:eastAsia="Nirmala UI" w:cs="Nirmala UI"/>
        </w:rPr>
        <w:t>විශ්වාස</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ලාසරුස්</w:t>
      </w:r>
      <w:r>
        <w:rPr>
          <w:rFonts w:ascii="Times New Roman" w:hAnsi="Times New Roman" w:eastAsia="Times New Roman" w:cs="Times New Roman"/>
        </w:rPr>
        <w:t xml:space="preserve"> </w:t>
      </w:r>
      <w:r>
        <w:rPr>
          <w:rFonts w:ascii="Nirmala UI" w:hAnsi="Nirmala UI" w:eastAsia="Nirmala UI" w:cs="Nirmala UI"/>
        </w:rPr>
        <w:t>මරණයට</w:t>
      </w:r>
      <w:r>
        <w:rPr>
          <w:rFonts w:ascii="Times New Roman" w:hAnsi="Times New Roman" w:eastAsia="Times New Roman" w:cs="Times New Roman"/>
        </w:rPr>
        <w:t xml:space="preserve"> </w:t>
      </w:r>
      <w:r>
        <w:rPr>
          <w:rFonts w:ascii="Nirmala UI" w:hAnsi="Nirmala UI" w:eastAsia="Nirmala UI" w:cs="Nirmala UI"/>
        </w:rPr>
        <w:t>පත්ව</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හතරක්</w:t>
      </w:r>
      <w:r>
        <w:rPr>
          <w:rFonts w:ascii="Times New Roman" w:hAnsi="Times New Roman" w:eastAsia="Times New Roman" w:cs="Times New Roman"/>
        </w:rPr>
        <w:t xml:space="preserve"> </w:t>
      </w:r>
      <w:r>
        <w:rPr>
          <w:rFonts w:ascii="Nirmala UI" w:hAnsi="Nirmala UI" w:eastAsia="Nirmala UI" w:cs="Nirmala UI"/>
        </w:rPr>
        <w:t>ගතවූ</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තෙක්</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රමාද</w:t>
      </w:r>
      <w:r>
        <w:rPr>
          <w:rFonts w:ascii="Times New Roman" w:hAnsi="Times New Roman" w:eastAsia="Times New Roman" w:cs="Times New Roman"/>
        </w:rPr>
        <w:t xml:space="preserve"> </w:t>
      </w:r>
      <w:r>
        <w:rPr>
          <w:rFonts w:ascii="Nirmala UI" w:hAnsi="Nirmala UI" w:eastAsia="Nirmala UI" w:cs="Nirmala UI"/>
        </w:rPr>
        <w:t>නොවූවා</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නොවනු</w:t>
      </w:r>
      <w:r>
        <w:rPr>
          <w:rFonts w:ascii="Times New Roman" w:hAnsi="Times New Roman" w:eastAsia="Times New Roman" w:cs="Times New Roman"/>
        </w:rPr>
        <w:t xml:space="preserve"> </w:t>
      </w:r>
      <w:r>
        <w:rPr>
          <w:rFonts w:ascii="Nirmala UI" w:hAnsi="Nirmala UI" w:eastAsia="Nirmala UI" w:cs="Nirmala UI"/>
        </w:rPr>
        <w:t>ඇතැයි</w:t>
      </w:r>
      <w:r>
        <w:rPr>
          <w:rFonts w:ascii="Times New Roman" w:hAnsi="Times New Roman" w:eastAsia="Times New Roman" w:cs="Times New Roman"/>
        </w:rPr>
        <w:t xml:space="preserve"> </w:t>
      </w:r>
      <w:r>
        <w:rPr>
          <w:rFonts w:ascii="Nirmala UI" w:hAnsi="Nirmala UI" w:eastAsia="Nirmala UI" w:cs="Nirmala UI"/>
        </w:rPr>
        <w:t>යන්නයි</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සමීප</w:t>
      </w:r>
      <w:r>
        <w:rPr>
          <w:rFonts w:ascii="Times New Roman" w:hAnsi="Times New Roman" w:eastAsia="Times New Roman" w:cs="Times New Roman"/>
        </w:rPr>
        <w:t xml:space="preserve"> </w:t>
      </w:r>
      <w:r>
        <w:rPr>
          <w:rFonts w:ascii="Nirmala UI" w:hAnsi="Nirmala UI" w:eastAsia="Nirmala UI" w:cs="Nirmala UI"/>
        </w:rPr>
        <w:t>මිතුරා</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ලාසරුස්</w:t>
      </w:r>
      <w:r>
        <w:rPr>
          <w:rFonts w:ascii="Times New Roman" w:hAnsi="Times New Roman" w:eastAsia="Times New Roman" w:cs="Times New Roman"/>
        </w:rPr>
        <w:t xml:space="preserve"> </w:t>
      </w:r>
      <w:r>
        <w:rPr>
          <w:rFonts w:ascii="Nirmala UI" w:hAnsi="Nirmala UI" w:eastAsia="Nirmala UI" w:cs="Nirmala UI"/>
        </w:rPr>
        <w:t>මරණයට</w:t>
      </w:r>
      <w:r>
        <w:rPr>
          <w:rFonts w:ascii="Times New Roman" w:hAnsi="Times New Roman" w:eastAsia="Times New Roman" w:cs="Times New Roman"/>
        </w:rPr>
        <w:t xml:space="preserve"> </w:t>
      </w:r>
      <w:r>
        <w:rPr>
          <w:rFonts w:ascii="Nirmala UI" w:hAnsi="Nirmala UI" w:eastAsia="Nirmala UI" w:cs="Nirmala UI"/>
        </w:rPr>
        <w:t>පත්ව</w:t>
      </w:r>
      <w:r>
        <w:rPr>
          <w:rFonts w:ascii="Times New Roman" w:hAnsi="Times New Roman" w:eastAsia="Times New Roman" w:cs="Times New Roman"/>
        </w:rPr>
        <w:t xml:space="preserve">, </w:t>
      </w:r>
      <w:r>
        <w:rPr>
          <w:rFonts w:ascii="Nirmala UI" w:hAnsi="Nirmala UI" w:eastAsia="Nirmala UI" w:cs="Nirmala UI"/>
        </w:rPr>
        <w:t>සොහොන්</w:t>
      </w:r>
      <w:r>
        <w:rPr>
          <w:rFonts w:ascii="Times New Roman" w:hAnsi="Times New Roman" w:eastAsia="Times New Roman" w:cs="Times New Roman"/>
        </w:rPr>
        <w:t xml:space="preserve"> </w:t>
      </w:r>
      <w:r>
        <w:rPr>
          <w:rFonts w:ascii="Nirmala UI" w:hAnsi="Nirmala UI" w:eastAsia="Nirmala UI" w:cs="Nirmala UI"/>
        </w:rPr>
        <w:t>ගැබෙහි</w:t>
      </w:r>
      <w:r>
        <w:rPr>
          <w:rFonts w:ascii="Times New Roman" w:hAnsi="Times New Roman" w:eastAsia="Times New Roman" w:cs="Times New Roman"/>
        </w:rPr>
        <w:t xml:space="preserve"> </w:t>
      </w:r>
      <w:r>
        <w:rPr>
          <w:rFonts w:ascii="Nirmala UI" w:hAnsi="Nirmala UI" w:eastAsia="Nirmala UI" w:cs="Nirmala UI"/>
        </w:rPr>
        <w:t>දූෂණයට</w:t>
      </w:r>
      <w:r>
        <w:rPr>
          <w:rFonts w:ascii="Times New Roman" w:hAnsi="Times New Roman" w:eastAsia="Times New Roman" w:cs="Times New Roman"/>
        </w:rPr>
        <w:t xml:space="preserve"> </w:t>
      </w:r>
      <w:r>
        <w:rPr>
          <w:rFonts w:ascii="Nirmala UI" w:hAnsi="Nirmala UI" w:eastAsia="Nirmala UI" w:cs="Nirmala UI"/>
        </w:rPr>
        <w:t>ලක්</w:t>
      </w:r>
      <w:r>
        <w:rPr>
          <w:rFonts w:ascii="Times New Roman" w:hAnsi="Times New Roman" w:eastAsia="Times New Roman" w:cs="Times New Roman"/>
        </w:rPr>
        <w:t xml:space="preserve"> </w:t>
      </w:r>
      <w:r>
        <w:rPr>
          <w:rFonts w:ascii="Nirmala UI" w:hAnsi="Nirmala UI" w:eastAsia="Nirmala UI" w:cs="Nirmala UI"/>
        </w:rPr>
        <w:t>වීමට</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ඉඩ</w:t>
      </w:r>
      <w:r>
        <w:rPr>
          <w:rFonts w:ascii="Times New Roman" w:hAnsi="Times New Roman" w:eastAsia="Times New Roman" w:cs="Times New Roman"/>
        </w:rPr>
        <w:t xml:space="preserve"> </w:t>
      </w:r>
      <w:r>
        <w:rPr>
          <w:rFonts w:ascii="Nirmala UI" w:hAnsi="Nirmala UI" w:eastAsia="Nirmala UI" w:cs="Nirmala UI"/>
        </w:rPr>
        <w:t>දීමෙන්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අසමත්භාවය</w:t>
      </w:r>
      <w:r>
        <w:rPr>
          <w:rFonts w:ascii="Times New Roman" w:hAnsi="Times New Roman" w:eastAsia="Times New Roman" w:cs="Times New Roman"/>
        </w:rPr>
        <w:t xml:space="preserve"> </w:t>
      </w:r>
      <w:r>
        <w:rPr>
          <w:rFonts w:ascii="Nirmala UI" w:hAnsi="Nirmala UI" w:eastAsia="Nirmala UI" w:cs="Nirmala UI"/>
        </w:rPr>
        <w:t>අති</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සහෝදරියන්</w:t>
      </w:r>
      <w:r>
        <w:rPr>
          <w:rFonts w:ascii="Times New Roman" w:hAnsi="Times New Roman" w:eastAsia="Times New Roman" w:cs="Times New Roman"/>
        </w:rPr>
        <w:t xml:space="preserve"> </w:t>
      </w:r>
      <w:r>
        <w:rPr>
          <w:rFonts w:ascii="Nirmala UI" w:hAnsi="Nirmala UI" w:eastAsia="Nirmala UI" w:cs="Nirmala UI"/>
        </w:rPr>
        <w:t>දෙදෙනාට</w:t>
      </w:r>
      <w:r>
        <w:rPr>
          <w:rFonts w:ascii="Times New Roman" w:hAnsi="Times New Roman" w:eastAsia="Times New Roman" w:cs="Times New Roman"/>
        </w:rPr>
        <w:t xml:space="preserve"> </w:t>
      </w:r>
      <w:r>
        <w:rPr>
          <w:rFonts w:ascii="Nirmala UI" w:hAnsi="Nirmala UI" w:eastAsia="Nirmala UI" w:cs="Nirmala UI"/>
        </w:rPr>
        <w:t>පමණක්</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ශ්</w:t>
      </w:r>
      <w:r>
        <w:rPr>
          <w:rFonts w:ascii="Times New Roman" w:hAnsi="Times New Roman" w:eastAsia="Times New Roman" w:cs="Times New Roman"/>
        </w:rPr>
        <w:t>‍</w:t>
      </w:r>
      <w:r>
        <w:rPr>
          <w:rFonts w:ascii="Nirmala UI" w:hAnsi="Nirmala UI" w:eastAsia="Nirmala UI" w:cs="Nirmala UI"/>
        </w:rPr>
        <w:t>රාවකයන්ටද</w:t>
      </w:r>
      <w:r>
        <w:rPr>
          <w:rFonts w:ascii="Times New Roman" w:hAnsi="Times New Roman" w:eastAsia="Times New Roman" w:cs="Times New Roman"/>
        </w:rPr>
        <w:t xml:space="preserve"> </w:t>
      </w:r>
      <w:r>
        <w:rPr>
          <w:rFonts w:ascii="Nirmala UI" w:hAnsi="Nirmala UI" w:eastAsia="Nirmala UI" w:cs="Nirmala UI"/>
        </w:rPr>
        <w:t>එසේම</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ලාසරුස්ගේ</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නැගිටීම</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රිස්තුස්වහන්සේගේ</w:t>
      </w:r>
      <w:r>
        <w:rPr>
          <w:rFonts w:ascii="Times New Roman" w:hAnsi="Times New Roman" w:eastAsia="Times New Roman" w:cs="Times New Roman"/>
        </w:rPr>
        <w:t xml:space="preserve"> </w:t>
      </w:r>
      <w:r>
        <w:rPr>
          <w:rFonts w:ascii="Nirmala UI" w:hAnsi="Nirmala UI" w:eastAsia="Nirmala UI" w:cs="Nirmala UI"/>
        </w:rPr>
        <w:t>මුළු</w:t>
      </w:r>
      <w:r>
        <w:rPr>
          <w:rFonts w:ascii="Times New Roman" w:hAnsi="Times New Roman" w:eastAsia="Times New Roman" w:cs="Times New Roman"/>
        </w:rPr>
        <w:t xml:space="preserve"> </w:t>
      </w:r>
      <w:r>
        <w:rPr>
          <w:rFonts w:ascii="Nirmala UI" w:hAnsi="Nirmala UI" w:eastAsia="Nirmala UI" w:cs="Nirmala UI"/>
        </w:rPr>
        <w:t>සේවකත්වයේ</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රාව</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লাজারের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বিলম্ব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করুণারই</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উদ্দেশ্য</w:t>
      </w:r>
      <w:r>
        <w:rPr>
          <w:rFonts w:ascii="Times New Roman" w:hAnsi="Times New Roman" w:eastAsia="Times New Roman" w:cs="Times New Roman"/>
        </w:rPr>
        <w:t xml:space="preserve"> </w:t>
      </w:r>
      <w:r>
        <w:rPr>
          <w:rFonts w:ascii="Nirmala UI" w:hAnsi="Nirmala UI" w:eastAsia="Nirmala UI" w:cs="Nirmala UI"/>
        </w:rPr>
        <w:t>রাখলেন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অপেক্ষা</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মৃতদের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লাজারকে</w:t>
      </w:r>
      <w:r>
        <w:rPr>
          <w:rFonts w:ascii="Times New Roman" w:hAnsi="Times New Roman" w:eastAsia="Times New Roman" w:cs="Times New Roman"/>
        </w:rPr>
        <w:t xml:space="preserve"> </w:t>
      </w:r>
      <w:r>
        <w:rPr>
          <w:rFonts w:ascii="Nirmala UI" w:hAnsi="Nirmala UI" w:eastAsia="Nirmala UI" w:cs="Nirmala UI"/>
        </w:rPr>
        <w:t>জীবিত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একগুঁয়ে</w:t>
      </w:r>
      <w:r>
        <w:rPr>
          <w:rFonts w:ascii="Times New Roman" w:hAnsi="Times New Roman" w:eastAsia="Times New Roman" w:cs="Times New Roman"/>
        </w:rPr>
        <w:t xml:space="preserve">, </w:t>
      </w:r>
      <w:r>
        <w:rPr>
          <w:rFonts w:ascii="Nirmala UI" w:hAnsi="Nirmala UI" w:eastAsia="Nirmala UI" w:cs="Nirmala UI"/>
        </w:rPr>
        <w:t>অবিশ্বাসী</w:t>
      </w:r>
      <w:r>
        <w:rPr>
          <w:rFonts w:ascii="Times New Roman" w:hAnsi="Times New Roman" w:eastAsia="Times New Roman" w:cs="Times New Roman"/>
        </w:rPr>
        <w:t xml:space="preserve"> </w:t>
      </w:r>
      <w:r>
        <w:rPr>
          <w:rFonts w:ascii="Nirmala UI" w:hAnsi="Nirmala UI" w:eastAsia="Nirmala UI" w:cs="Nirmala UI"/>
        </w:rPr>
        <w:t>জাতিকে</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প্রমাণ</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পারেন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তিনিই</w:t>
      </w:r>
      <w:r>
        <w:rPr>
          <w:rFonts w:ascii="Times New Roman" w:hAnsi="Times New Roman" w:eastAsia="Times New Roman" w:cs="Times New Roman"/>
        </w:rPr>
        <w:t xml:space="preserve"> </w:t>
      </w:r>
      <w:r>
        <w:rPr>
          <w:rFonts w:ascii="Nirmala UI" w:hAnsi="Nirmala UI" w:eastAsia="Nirmala UI" w:cs="Nirmala UI"/>
        </w:rPr>
        <w:t>সত্যই</w:t>
      </w:r>
      <w:r>
        <w:rPr>
          <w:rFonts w:ascii="Times New Roman" w:hAnsi="Times New Roman" w:eastAsia="Times New Roman" w:cs="Times New Roman"/>
        </w:rPr>
        <w:t xml:space="preserve"> ‘</w:t>
      </w:r>
      <w:r>
        <w:rPr>
          <w:rFonts w:ascii="Nirmala UI" w:hAnsi="Nirmala UI" w:eastAsia="Nirmala UI" w:cs="Nirmala UI"/>
        </w:rPr>
        <w:t>পুনরুত্থান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জীবন।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গৃহের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দরিদ্র</w:t>
      </w:r>
      <w:r>
        <w:rPr>
          <w:rFonts w:ascii="Times New Roman" w:hAnsi="Times New Roman" w:eastAsia="Times New Roman" w:cs="Times New Roman"/>
        </w:rPr>
        <w:t xml:space="preserve">, </w:t>
      </w:r>
      <w:r>
        <w:rPr>
          <w:rFonts w:ascii="Nirmala UI" w:hAnsi="Nirmala UI" w:eastAsia="Nirmala UI" w:cs="Nirmala UI"/>
        </w:rPr>
        <w:t>বিপথগামী</w:t>
      </w:r>
      <w:r>
        <w:rPr>
          <w:rFonts w:ascii="Times New Roman" w:hAnsi="Times New Roman" w:eastAsia="Times New Roman" w:cs="Times New Roman"/>
        </w:rPr>
        <w:t xml:space="preserve"> </w:t>
      </w:r>
      <w:r>
        <w:rPr>
          <w:rFonts w:ascii="Nirmala UI" w:hAnsi="Nirmala UI" w:eastAsia="Nirmala UI" w:cs="Nirmala UI"/>
        </w:rPr>
        <w:t>ভেড়াগুলোর</w:t>
      </w:r>
      <w:r>
        <w:rPr>
          <w:rFonts w:ascii="Times New Roman" w:hAnsi="Times New Roman" w:eastAsia="Times New Roman" w:cs="Times New Roman"/>
        </w:rPr>
        <w:t>—</w:t>
      </w:r>
      <w:r>
        <w:rPr>
          <w:rFonts w:ascii="Nirmala UI" w:hAnsi="Nirmala UI" w:eastAsia="Nirmala UI" w:cs="Nirmala UI"/>
        </w:rPr>
        <w:t>সম্পর্কে</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আশা</w:t>
      </w:r>
      <w:r>
        <w:rPr>
          <w:rFonts w:ascii="Times New Roman" w:hAnsi="Times New Roman" w:eastAsia="Times New Roman" w:cs="Times New Roman"/>
        </w:rPr>
        <w:t xml:space="preserve"> </w:t>
      </w:r>
      <w:r>
        <w:rPr>
          <w:rFonts w:ascii="Nirmala UI" w:hAnsi="Nirmala UI" w:eastAsia="Nirmala UI" w:cs="Nirmala UI"/>
        </w:rPr>
        <w:t>ত্যাগ</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অনিচ্ছুক</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অনুতাপহীনতার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ভেঙে</w:t>
      </w:r>
      <w:r>
        <w:rPr>
          <w:rFonts w:ascii="Times New Roman" w:hAnsi="Times New Roman" w:eastAsia="Times New Roman" w:cs="Times New Roman"/>
        </w:rPr>
        <w:t xml:space="preserve"> </w:t>
      </w:r>
      <w:r>
        <w:rPr>
          <w:rFonts w:ascii="Nirmala UI" w:hAnsi="Nirmala UI" w:eastAsia="Nirmala UI" w:cs="Nirmala UI"/>
        </w:rPr>
        <w:t>যাচ্ছিল।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করুণায়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স্থির</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w:t>
      </w:r>
      <w:r>
        <w:rPr>
          <w:rFonts w:ascii="Nirmala UI" w:hAnsi="Nirmala UI" w:eastAsia="Nirmala UI" w:cs="Nirmala UI"/>
        </w:rPr>
        <w:t>একবার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প্রমাণ</w:t>
      </w:r>
      <w:r>
        <w:rPr>
          <w:rFonts w:ascii="Times New Roman" w:hAnsi="Times New Roman" w:eastAsia="Times New Roman" w:cs="Times New Roman"/>
        </w:rPr>
        <w:t xml:space="preserve"> </w:t>
      </w:r>
      <w:r>
        <w:rPr>
          <w:rFonts w:ascii="Nirmala UI" w:hAnsi="Nirmala UI" w:eastAsia="Nirmala UI" w:cs="Nirmala UI"/>
        </w:rPr>
        <w:t>দেবেন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তিনিই</w:t>
      </w:r>
      <w:r>
        <w:rPr>
          <w:rFonts w:ascii="Times New Roman" w:hAnsi="Times New Roman" w:eastAsia="Times New Roman" w:cs="Times New Roman"/>
        </w:rPr>
        <w:t xml:space="preserve"> </w:t>
      </w:r>
      <w:r>
        <w:rPr>
          <w:rFonts w:ascii="Nirmala UI" w:hAnsi="Nirmala UI" w:eastAsia="Nirmala UI" w:cs="Nirmala UI"/>
        </w:rPr>
        <w:t>পুনঃস্থাপনকারী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একমাত্র</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জীবন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অমরত্বকে</w:t>
      </w:r>
      <w:r>
        <w:rPr>
          <w:rFonts w:ascii="Times New Roman" w:hAnsi="Times New Roman" w:eastAsia="Times New Roman" w:cs="Times New Roman"/>
        </w:rPr>
        <w:t xml:space="preserve"> </w:t>
      </w:r>
      <w:r>
        <w:rPr>
          <w:rFonts w:ascii="Nirmala UI" w:hAnsi="Nirmala UI" w:eastAsia="Nirmala UI" w:cs="Nirmala UI"/>
        </w:rPr>
        <w:t>প্রকাশ্যে</w:t>
      </w:r>
      <w:r>
        <w:rPr>
          <w:rFonts w:ascii="Times New Roman" w:hAnsi="Times New Roman" w:eastAsia="Times New Roman" w:cs="Times New Roman"/>
        </w:rPr>
        <w:t xml:space="preserve"> </w:t>
      </w:r>
      <w:r>
        <w:rPr>
          <w:rFonts w:ascii="Nirmala UI" w:hAnsi="Nirmala UI" w:eastAsia="Nirmala UI" w:cs="Nirmala UI"/>
        </w:rPr>
        <w:t>আনতে</w:t>
      </w:r>
      <w:r>
        <w:rPr>
          <w:rFonts w:ascii="Times New Roman" w:hAnsi="Times New Roman" w:eastAsia="Times New Roman" w:cs="Times New Roman"/>
        </w:rPr>
        <w:t xml:space="preserve"> </w:t>
      </w:r>
      <w:r>
        <w:rPr>
          <w:rFonts w:ascii="Nirmala UI" w:hAnsi="Nirmala UI" w:eastAsia="Nirmala UI" w:cs="Nirmala UI"/>
        </w:rPr>
        <w:t>পারেন।</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প্রমাণ</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যাজকেরা</w:t>
      </w:r>
      <w:r>
        <w:rPr>
          <w:rFonts w:ascii="Times New Roman" w:hAnsi="Times New Roman" w:eastAsia="Times New Roman" w:cs="Times New Roman"/>
        </w:rPr>
        <w:t xml:space="preserve"> </w:t>
      </w:r>
      <w:r>
        <w:rPr>
          <w:rFonts w:ascii="Nirmala UI" w:hAnsi="Nirmala UI" w:eastAsia="Nirmala UI" w:cs="Nirmala UI"/>
        </w:rPr>
        <w:t>ভুল</w:t>
      </w:r>
      <w:r>
        <w:rPr>
          <w:rFonts w:ascii="Times New Roman" w:hAnsi="Times New Roman" w:eastAsia="Times New Roman" w:cs="Times New Roman"/>
        </w:rPr>
        <w:t xml:space="preserve"> </w:t>
      </w:r>
      <w:r>
        <w:rPr>
          <w:rFonts w:ascii="Nirmala UI" w:hAnsi="Nirmala UI" w:eastAsia="Nirmala UI" w:cs="Nirmala UI"/>
        </w:rPr>
        <w:t>ব্যাখ্যা</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বেথানিয়ায়</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বিলম্বের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এ</w:t>
      </w:r>
      <w:r>
        <w:rPr>
          <w:rFonts w:ascii="Times New Roman" w:hAnsi="Times New Roman" w:eastAsia="Times New Roman" w:cs="Times New Roman"/>
        </w:rPr>
        <w:t>-</w:t>
      </w:r>
      <w:r>
        <w:rPr>
          <w:rFonts w:ascii="Nirmala UI" w:hAnsi="Nirmala UI" w:eastAsia="Nirmala UI" w:cs="Nirmala UI"/>
        </w:rPr>
        <w:t>ই</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শিরোমণি</w:t>
      </w:r>
      <w:r>
        <w:rPr>
          <w:rFonts w:ascii="Times New Roman" w:hAnsi="Times New Roman" w:eastAsia="Times New Roman" w:cs="Times New Roman"/>
        </w:rPr>
        <w:t xml:space="preserve"> </w:t>
      </w:r>
      <w:r>
        <w:rPr>
          <w:rFonts w:ascii="Nirmala UI" w:hAnsi="Nirmala UI" w:eastAsia="Nirmala UI" w:cs="Nirmala UI"/>
        </w:rPr>
        <w:t>অলৌকিক</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w:t>
      </w:r>
      <w:r>
        <w:rPr>
          <w:rFonts w:ascii="Nirmala UI" w:hAnsi="Nirmala UI" w:eastAsia="Nirmala UI" w:cs="Nirmala UI"/>
        </w:rPr>
        <w:t>লাজারকে</w:t>
      </w:r>
      <w:r>
        <w:rPr>
          <w:rFonts w:ascii="Times New Roman" w:hAnsi="Times New Roman" w:eastAsia="Times New Roman" w:cs="Times New Roman"/>
        </w:rPr>
        <w:t xml:space="preserve"> </w:t>
      </w:r>
      <w:r>
        <w:rPr>
          <w:rFonts w:ascii="Nirmala UI" w:hAnsi="Nirmala UI" w:eastAsia="Nirmala UI" w:cs="Nirmala UI"/>
        </w:rPr>
        <w:t>জীবিত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ঈশ্বরত্বের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ওপর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মোহর</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The Desire of Ages, 529.</w:t>
      </w:r>
    </w:p>
    <w:p>
      <w:pPr>
        <w:pStyle w:val="ArticleBody"/>
        <w:jc w:val="left"/>
      </w:pPr>
      <w:r>
        <w:rPr>
          <w:rFonts w:ascii="Times New Roman" w:hAnsi="Times New Roman" w:eastAsia="Times New Roman" w:cs="Times New Roman"/>
        </w:rPr>
        <w:t>ختمِ یک‌صد و چهل و چهار هزارِ خدا در تاریخِ 1843 و 1844 به تصویر کشیده شده است، زیرا به ما خبر داده شده است که این ایلعازر بود که مسیح را در ورودِ ظفرمندانه‌اش به اورشلیم رهبری کرد. تاریخِ ورودِ ظفرمندانه همان تاریخی است که خواهر وایت برای به تصویر کشیدنِ ندای نیمه‌شبِ 1843 و 1844 به کار می‌برد. این، سوءبرداشتی بود از این‌که مسیح به‌واسطهٔ قدرتِ آفرینندگیِ خدا، قدرتِ برخیزانیدنِ مردگان را دارد. مریم و الیزابت اقرار کردند که می‌دانستند عیسی قدرت دارد که ایلعازر را در نفخهٔ نهایی زنده کند، اما نمی‌توانستند ببینند که او در همان‌جا و در همان لحظه نیز واقعاً این قدرت را دارد. آنان در انکارِ همان حقیقتی بودند که او آمده بود تا در تعمید و مرگِ خویش آن را ظاهر سازد، یعنی آغاز و پایانِ خدمتِ شخصیِ سه‌سال‌ونیمهٔ او. آنان نمی‌توانستند ببینند تا زمانی که سنگ از دهانهٔ قبر برداشته شد؛ همان‌گونه که دستِ او بعدها از روی اشتباهی در برخی از ارقامِ نمودارِ 1843 برداشته می‌شد.</w:t>
      </w:r>
    </w:p>
    <w:p>
      <w:pPr>
        <w:pStyle w:val="ArticleBody"/>
        <w:jc w:val="left"/>
      </w:pPr>
      <w:r>
        <w:rPr>
          <w:rFonts w:ascii="Nirmala UI" w:hAnsi="Nirmala UI" w:eastAsia="Nirmala UI" w:cs="Nirmala UI"/>
        </w:rPr>
        <w:t>मोशेले</w:t>
      </w:r>
      <w:r>
        <w:rPr>
          <w:rFonts w:ascii="Times New Roman" w:hAnsi="Times New Roman" w:eastAsia="Times New Roman" w:cs="Times New Roman"/>
        </w:rPr>
        <w:t xml:space="preserve"> </w:t>
      </w:r>
      <w:r>
        <w:rPr>
          <w:rFonts w:ascii="Nirmala UI" w:hAnsi="Nirmala UI" w:eastAsia="Nirmala UI" w:cs="Nirmala UI"/>
        </w:rPr>
        <w:t>जिप्पोरालाई</w:t>
      </w:r>
      <w:r>
        <w:rPr>
          <w:rFonts w:ascii="Times New Roman" w:hAnsi="Times New Roman" w:eastAsia="Times New Roman" w:cs="Times New Roman"/>
        </w:rPr>
        <w:t xml:space="preserve"> </w:t>
      </w:r>
      <w:r>
        <w:rPr>
          <w:rFonts w:ascii="Nirmala UI" w:hAnsi="Nirmala UI" w:eastAsia="Nirmala UI" w:cs="Nirmala UI"/>
        </w:rPr>
        <w:t>फिरऊनसँग</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आउँदो</w:t>
      </w:r>
      <w:r>
        <w:rPr>
          <w:rFonts w:ascii="Times New Roman" w:hAnsi="Times New Roman" w:eastAsia="Times New Roman" w:cs="Times New Roman"/>
        </w:rPr>
        <w:t xml:space="preserve"> </w:t>
      </w:r>
      <w:r>
        <w:rPr>
          <w:rFonts w:ascii="Nirmala UI" w:hAnsi="Nirmala UI" w:eastAsia="Nirmala UI" w:cs="Nirmala UI"/>
        </w:rPr>
        <w:t>संघर्षबाट</w:t>
      </w:r>
      <w:r>
        <w:rPr>
          <w:rFonts w:ascii="Times New Roman" w:hAnsi="Times New Roman" w:eastAsia="Times New Roman" w:cs="Times New Roman"/>
        </w:rPr>
        <w:t xml:space="preserve"> </w:t>
      </w:r>
      <w:r>
        <w:rPr>
          <w:rFonts w:ascii="Nirmala UI" w:hAnsi="Nirmala UI" w:eastAsia="Nirmala UI" w:cs="Nirmala UI"/>
        </w:rPr>
        <w:t>टाढा</w:t>
      </w:r>
      <w:r>
        <w:rPr>
          <w:rFonts w:ascii="Times New Roman" w:hAnsi="Times New Roman" w:eastAsia="Times New Roman" w:cs="Times New Roman"/>
        </w:rPr>
        <w:t xml:space="preserve"> </w:t>
      </w:r>
      <w:r>
        <w:rPr>
          <w:rFonts w:ascii="Nirmala UI" w:hAnsi="Nirmala UI" w:eastAsia="Nirmala UI" w:cs="Nirmala UI"/>
        </w:rPr>
        <w:t>पठाइसकेपछि</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जेठा</w:t>
      </w:r>
      <w:r>
        <w:rPr>
          <w:rFonts w:ascii="Times New Roman" w:hAnsi="Times New Roman" w:eastAsia="Times New Roman" w:cs="Times New Roman"/>
        </w:rPr>
        <w:t xml:space="preserve"> </w:t>
      </w:r>
      <w:r>
        <w:rPr>
          <w:rFonts w:ascii="Nirmala UI" w:hAnsi="Nirmala UI" w:eastAsia="Nirmala UI" w:cs="Nirmala UI"/>
        </w:rPr>
        <w:t>दाजु</w:t>
      </w:r>
      <w:r>
        <w:rPr>
          <w:rFonts w:ascii="Times New Roman" w:hAnsi="Times New Roman" w:eastAsia="Times New Roman" w:cs="Times New Roman"/>
        </w:rPr>
        <w:t xml:space="preserve"> </w:t>
      </w:r>
      <w:r>
        <w:rPr>
          <w:rFonts w:ascii="Nirmala UI" w:hAnsi="Nirmala UI" w:eastAsia="Nirmala UI" w:cs="Nirmala UI"/>
        </w:rPr>
        <w:t>हारूनले</w:t>
      </w:r>
      <w:r>
        <w:rPr>
          <w:rFonts w:ascii="Times New Roman" w:hAnsi="Times New Roman" w:eastAsia="Times New Roman" w:cs="Times New Roman"/>
        </w:rPr>
        <w:t xml:space="preserve"> </w:t>
      </w:r>
      <w:r>
        <w:rPr>
          <w:rFonts w:ascii="Nirmala UI" w:hAnsi="Nirmala UI" w:eastAsia="Nirmala UI" w:cs="Nirmala UI"/>
        </w:rPr>
        <w:t>उनलाई</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सन्देशवाहक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मिश्रतर्फ</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मिश्रमा</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विपत्ति</w:t>
      </w:r>
      <w:r>
        <w:rPr>
          <w:rFonts w:ascii="Times New Roman" w:hAnsi="Times New Roman" w:eastAsia="Times New Roman" w:cs="Times New Roman"/>
        </w:rPr>
        <w:t xml:space="preserve"> </w:t>
      </w:r>
      <w:r>
        <w:rPr>
          <w:rFonts w:ascii="Nirmala UI" w:hAnsi="Nirmala UI" w:eastAsia="Nirmala UI" w:cs="Nirmala UI"/>
        </w:rPr>
        <w:t>ल्याइनुभन्दा</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मोशेले</w:t>
      </w:r>
      <w:r>
        <w:rPr>
          <w:rFonts w:ascii="Times New Roman" w:hAnsi="Times New Roman" w:eastAsia="Times New Roman" w:cs="Times New Roman"/>
        </w:rPr>
        <w:t xml:space="preserve"> </w:t>
      </w:r>
      <w:r>
        <w:rPr>
          <w:rFonts w:ascii="Nirmala UI" w:hAnsi="Nirmala UI" w:eastAsia="Nirmala UI" w:cs="Nirmala UI"/>
        </w:rPr>
        <w:t>फिरऊनलाई</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जेठा</w:t>
      </w:r>
      <w:r>
        <w:rPr>
          <w:rFonts w:ascii="Times New Roman" w:hAnsi="Times New Roman" w:eastAsia="Times New Roman" w:cs="Times New Roman"/>
        </w:rPr>
        <w:t xml:space="preserve"> </w:t>
      </w:r>
      <w:r>
        <w:rPr>
          <w:rFonts w:ascii="Nirmala UI" w:hAnsi="Nirmala UI" w:eastAsia="Nirmala UI" w:cs="Nirmala UI"/>
        </w:rPr>
        <w:t>छोरा</w:t>
      </w:r>
      <w:r>
        <w:rPr>
          <w:rFonts w:ascii="Times New Roman" w:hAnsi="Times New Roman" w:eastAsia="Times New Roman" w:cs="Times New Roman"/>
        </w:rPr>
        <w:t xml:space="preserve"> </w:t>
      </w:r>
      <w:r>
        <w:rPr>
          <w:rFonts w:ascii="Nirmala UI" w:hAnsi="Nirmala UI" w:eastAsia="Nirmala UI" w:cs="Nirmala UI"/>
        </w:rPr>
        <w:t>इस्राएललाई</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निस्केर</w:t>
      </w:r>
      <w:r>
        <w:rPr>
          <w:rFonts w:ascii="Times New Roman" w:hAnsi="Times New Roman" w:eastAsia="Times New Roman" w:cs="Times New Roman"/>
        </w:rPr>
        <w:t xml:space="preserve"> </w:t>
      </w:r>
      <w:r>
        <w:rPr>
          <w:rFonts w:ascii="Nirmala UI" w:hAnsi="Nirmala UI" w:eastAsia="Nirmala UI" w:cs="Nirmala UI"/>
        </w:rPr>
        <w:t>आराधना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नदिए</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मिश्रका</w:t>
      </w:r>
      <w:r>
        <w:rPr>
          <w:rFonts w:ascii="Times New Roman" w:hAnsi="Times New Roman" w:eastAsia="Times New Roman" w:cs="Times New Roman"/>
        </w:rPr>
        <w:t xml:space="preserve"> </w:t>
      </w:r>
      <w:r>
        <w:rPr>
          <w:rFonts w:ascii="Nirmala UI" w:hAnsi="Nirmala UI" w:eastAsia="Nirmala UI" w:cs="Nirmala UI"/>
        </w:rPr>
        <w:t>जेठा</w:t>
      </w:r>
      <w:r>
        <w:rPr>
          <w:rFonts w:ascii="Times New Roman" w:hAnsi="Times New Roman" w:eastAsia="Times New Roman" w:cs="Times New Roman"/>
        </w:rPr>
        <w:t xml:space="preserve"> </w:t>
      </w:r>
      <w:r>
        <w:rPr>
          <w:rFonts w:ascii="Nirmala UI" w:hAnsi="Nirmala UI" w:eastAsia="Nirmala UI" w:cs="Nirmala UI"/>
        </w:rPr>
        <w:t>छोरालाई</w:t>
      </w:r>
      <w:r>
        <w:rPr>
          <w:rFonts w:ascii="Times New Roman" w:hAnsi="Times New Roman" w:eastAsia="Times New Roman" w:cs="Times New Roman"/>
        </w:rPr>
        <w:t xml:space="preserve"> </w:t>
      </w:r>
      <w:r>
        <w:rPr>
          <w:rFonts w:ascii="Nirmala UI" w:hAnsi="Nirmala UI" w:eastAsia="Nirmala UI" w:cs="Nirmala UI"/>
        </w:rPr>
        <w:t>मार्नुहुनेछ।</w:t>
      </w:r>
    </w:p>
    <w:p>
      <w:pPr>
        <w:pStyle w:val="ArticleScripture"/>
        <w:jc w:val="left"/>
      </w:pPr>
      <w:r>
        <w:rPr>
          <w:rFonts w:ascii="Nirmala UI" w:hAnsi="Nirmala UI" w:eastAsia="Nirmala UI" w:cs="Nirmala UI"/>
        </w:rPr>
        <w:t>রব</w:t>
      </w:r>
      <w:r>
        <w:rPr>
          <w:rFonts w:ascii="Times New Roman" w:hAnsi="Times New Roman" w:eastAsia="Times New Roman" w:cs="Times New Roman"/>
        </w:rPr>
        <w:t xml:space="preserve"> </w:t>
      </w:r>
      <w:r>
        <w:rPr>
          <w:rFonts w:ascii="Nirmala UI" w:hAnsi="Nirmala UI" w:eastAsia="Nirmala UI" w:cs="Nirmala UI"/>
        </w:rPr>
        <w:t>মূসাকে</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মিসরে</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যাবে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সাবধান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আশ্চর্যকর্ম</w:t>
      </w:r>
      <w:r>
        <w:rPr>
          <w:rFonts w:ascii="Times New Roman" w:hAnsi="Times New Roman" w:eastAsia="Times New Roman" w:cs="Times New Roman"/>
        </w:rPr>
        <w:t xml:space="preserve"> </w:t>
      </w:r>
      <w:r>
        <w:rPr>
          <w:rFonts w:ascii="Nirmala UI" w:hAnsi="Nirmala UI" w:eastAsia="Nirmala UI" w:cs="Nirmala UI"/>
        </w:rPr>
        <w:t>অর্পণ</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ফিরআউনের</w:t>
      </w:r>
      <w:r>
        <w:rPr>
          <w:rFonts w:ascii="Times New Roman" w:hAnsi="Times New Roman" w:eastAsia="Times New Roman" w:cs="Times New Roman"/>
        </w:rPr>
        <w:t xml:space="preserve"> </w:t>
      </w:r>
      <w:r>
        <w:rPr>
          <w:rFonts w:ascii="Nirmala UI" w:hAnsi="Nirmala UI" w:eastAsia="Nirmala UI" w:cs="Nirmala UI"/>
        </w:rPr>
        <w:t>সামনে</w:t>
      </w:r>
      <w:r>
        <w:rPr>
          <w:rFonts w:ascii="Times New Roman" w:hAnsi="Times New Roman" w:eastAsia="Times New Roman" w:cs="Times New Roman"/>
        </w:rPr>
        <w:t xml:space="preserve"> </w:t>
      </w:r>
      <w:r>
        <w:rPr>
          <w:rFonts w:ascii="Nirmala UI" w:hAnsi="Nirmala UI" w:eastAsia="Nirmala UI" w:cs="Nirmala UI"/>
        </w:rPr>
        <w:t>সম্পাদন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কঠোর</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ফিরআউনকে</w:t>
      </w:r>
      <w:r>
        <w:rPr>
          <w:rFonts w:ascii="Times New Roman" w:hAnsi="Times New Roman" w:eastAsia="Times New Roman" w:cs="Times New Roman"/>
        </w:rPr>
        <w:t xml:space="preserve"> </w:t>
      </w:r>
      <w:r>
        <w:rPr>
          <w:rFonts w:ascii="Nirmala UI" w:hAnsi="Nirmala UI" w:eastAsia="Nirmala UI" w:cs="Nirmala UI"/>
        </w:rPr>
        <w:t>বলবে</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xml:space="preserve">, </w:t>
      </w:r>
      <w:r>
        <w:rPr>
          <w:rFonts w:ascii="Nirmala UI" w:hAnsi="Nirmala UI" w:eastAsia="Nirmala UI" w:cs="Nirmala UI"/>
        </w:rPr>
        <w:t>ইস্রায়েল</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জ্যেষ্ঠপুত্র।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বলছি</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পুত্রকে</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দাও</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সেবা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অস্বীকার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পুত্রকে</w:t>
      </w:r>
      <w:r>
        <w:rPr>
          <w:rFonts w:ascii="Times New Roman" w:hAnsi="Times New Roman" w:eastAsia="Times New Roman" w:cs="Times New Roman"/>
        </w:rPr>
        <w:t xml:space="preserve">, </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জ্যেষ্ঠপুত্রকে</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যাত্রাপুস্তক</w:t>
      </w:r>
      <w:r>
        <w:rPr>
          <w:rFonts w:ascii="Times New Roman" w:hAnsi="Times New Roman" w:eastAsia="Times New Roman" w:cs="Times New Roman"/>
        </w:rPr>
        <w:t xml:space="preserve"> </w:t>
      </w:r>
      <w:r>
        <w:rPr>
          <w:rFonts w:ascii="Nirmala UI" w:hAnsi="Nirmala UI" w:eastAsia="Nirmala UI" w:cs="Nirmala UI"/>
        </w:rPr>
        <w:t>৪</w:t>
      </w:r>
      <w:r>
        <w:rPr>
          <w:rFonts w:ascii="Times New Roman" w:hAnsi="Times New Roman" w:eastAsia="Times New Roman" w:cs="Times New Roman"/>
        </w:rPr>
        <w:t>:</w:t>
      </w:r>
      <w:r>
        <w:rPr>
          <w:rFonts w:ascii="Nirmala UI" w:hAnsi="Nirmala UI" w:eastAsia="Nirmala UI" w:cs="Nirmala UI"/>
        </w:rPr>
        <w:t>২১</w:t>
      </w:r>
      <w:r>
        <w:rPr>
          <w:rFonts w:ascii="Times New Roman" w:hAnsi="Times New Roman" w:eastAsia="Times New Roman" w:cs="Times New Roman"/>
        </w:rPr>
        <w:t>–</w:t>
      </w:r>
      <w:r>
        <w:rPr>
          <w:rFonts w:ascii="Nirmala UI" w:hAnsi="Nirmala UI" w:eastAsia="Nirmala UI" w:cs="Nirmala UI"/>
        </w:rPr>
        <w:t>২৩।</w:t>
      </w:r>
    </w:p>
    <w:p>
      <w:pPr>
        <w:pStyle w:val="ArticleBody"/>
        <w:jc w:val="left"/>
      </w:pPr>
      <w:r>
        <w:rPr>
          <w:rFonts w:ascii="Times New Roman" w:hAnsi="Times New Roman" w:eastAsia="Times New Roman" w:cs="Times New Roman"/>
        </w:rPr>
        <w:t>Ang Hatinggabing Sigaw ay isang hulang sa hinaharap ay matutupad.</w:t>
      </w:r>
    </w:p>
    <w:p>
      <w:pPr>
        <w:pStyle w:val="ArticleScripture"/>
        <w:jc w:val="left"/>
      </w:pPr>
      <w:r>
        <w:rPr>
          <w:rFonts w:ascii="Times New Roman" w:hAnsi="Times New Roman" w:eastAsia="Times New Roman" w:cs="Times New Roman"/>
        </w:rPr>
        <w:t>“</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मिस्रबाट</w:t>
      </w:r>
      <w:r>
        <w:rPr>
          <w:rFonts w:ascii="Times New Roman" w:hAnsi="Times New Roman" w:eastAsia="Times New Roman" w:cs="Times New Roman"/>
        </w:rPr>
        <w:t xml:space="preserve"> </w:t>
      </w:r>
      <w:r>
        <w:rPr>
          <w:rFonts w:ascii="Nirmala UI" w:hAnsi="Nirmala UI" w:eastAsia="Nirmala UI" w:cs="Nirmala UI"/>
        </w:rPr>
        <w:t>छुटकारामा</w:t>
      </w:r>
      <w:r>
        <w:rPr>
          <w:rFonts w:ascii="Times New Roman" w:hAnsi="Times New Roman" w:eastAsia="Times New Roman" w:cs="Times New Roman"/>
        </w:rPr>
        <w:t xml:space="preserve"> </w:t>
      </w:r>
      <w:r>
        <w:rPr>
          <w:rFonts w:ascii="Nirmala UI" w:hAnsi="Nirmala UI" w:eastAsia="Nirmala UI" w:cs="Nirmala UI"/>
        </w:rPr>
        <w:t>जेठो</w:t>
      </w:r>
      <w:r>
        <w:rPr>
          <w:rFonts w:ascii="Times New Roman" w:hAnsi="Times New Roman" w:eastAsia="Times New Roman" w:cs="Times New Roman"/>
        </w:rPr>
        <w:t xml:space="preserve"> </w:t>
      </w:r>
      <w:r>
        <w:rPr>
          <w:rFonts w:ascii="Nirmala UI" w:hAnsi="Nirmala UI" w:eastAsia="Nirmala UI" w:cs="Nirmala UI"/>
        </w:rPr>
        <w:t>सन्तानको</w:t>
      </w:r>
      <w:r>
        <w:rPr>
          <w:rFonts w:ascii="Times New Roman" w:hAnsi="Times New Roman" w:eastAsia="Times New Roman" w:cs="Times New Roman"/>
        </w:rPr>
        <w:t xml:space="preserve"> </w:t>
      </w:r>
      <w:r>
        <w:rPr>
          <w:rFonts w:ascii="Nirmala UI" w:hAnsi="Nirmala UI" w:eastAsia="Nirmala UI" w:cs="Nirmala UI"/>
        </w:rPr>
        <w:t>समर्पण</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सन्तानहरू</w:t>
      </w:r>
      <w:r>
        <w:rPr>
          <w:rFonts w:ascii="Times New Roman" w:hAnsi="Times New Roman" w:eastAsia="Times New Roman" w:cs="Times New Roman"/>
        </w:rPr>
        <w:t xml:space="preserve"> </w:t>
      </w:r>
      <w:r>
        <w:rPr>
          <w:rFonts w:ascii="Nirmala UI" w:hAnsi="Nirmala UI" w:eastAsia="Nirmala UI" w:cs="Nirmala UI"/>
        </w:rPr>
        <w:t>मिश्रीहरूको</w:t>
      </w:r>
      <w:r>
        <w:rPr>
          <w:rFonts w:ascii="Times New Roman" w:hAnsi="Times New Roman" w:eastAsia="Times New Roman" w:cs="Times New Roman"/>
        </w:rPr>
        <w:t xml:space="preserve"> </w:t>
      </w:r>
      <w:r>
        <w:rPr>
          <w:rFonts w:ascii="Nirmala UI" w:hAnsi="Nirmala UI" w:eastAsia="Nirmala UI" w:cs="Nirmala UI"/>
        </w:rPr>
        <w:t>दासत्वमा</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परमप्रभुले</w:t>
      </w:r>
      <w:r>
        <w:rPr>
          <w:rFonts w:ascii="Times New Roman" w:hAnsi="Times New Roman" w:eastAsia="Times New Roman" w:cs="Times New Roman"/>
        </w:rPr>
        <w:t xml:space="preserve"> </w:t>
      </w:r>
      <w:r>
        <w:rPr>
          <w:rFonts w:ascii="Nirmala UI" w:hAnsi="Nirmala UI" w:eastAsia="Nirmala UI" w:cs="Nirmala UI"/>
        </w:rPr>
        <w:t>मोशालाई</w:t>
      </w:r>
      <w:r>
        <w:rPr>
          <w:rFonts w:ascii="Times New Roman" w:hAnsi="Times New Roman" w:eastAsia="Times New Roman" w:cs="Times New Roman"/>
        </w:rPr>
        <w:t xml:space="preserve"> </w:t>
      </w:r>
      <w:r>
        <w:rPr>
          <w:rFonts w:ascii="Nirmala UI" w:hAnsi="Nirmala UI" w:eastAsia="Nirmala UI" w:cs="Nirmala UI"/>
        </w:rPr>
        <w:t>मिस्रका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फिरऊनकहाँ</w:t>
      </w:r>
      <w:r>
        <w:rPr>
          <w:rFonts w:ascii="Times New Roman" w:hAnsi="Times New Roman" w:eastAsia="Times New Roman" w:cs="Times New Roman"/>
        </w:rPr>
        <w:t xml:space="preserve"> </w:t>
      </w:r>
      <w:r>
        <w:rPr>
          <w:rFonts w:ascii="Nirmala UI" w:hAnsi="Nirmala UI" w:eastAsia="Nirmala UI" w:cs="Nirmala UI"/>
        </w:rPr>
        <w:t>गएर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निर्देशन</w:t>
      </w:r>
      <w:r>
        <w:rPr>
          <w:rFonts w:ascii="Times New Roman" w:hAnsi="Times New Roman" w:eastAsia="Times New Roman" w:cs="Times New Roman"/>
        </w:rPr>
        <w:t xml:space="preserve"> </w:t>
      </w:r>
      <w:r>
        <w:rPr>
          <w:rFonts w:ascii="Nirmala UI" w:hAnsi="Nirmala UI" w:eastAsia="Nirmala UI" w:cs="Nirmala UI"/>
        </w:rPr>
        <w:t>दिनुभयो</w:t>
      </w:r>
      <w:r>
        <w:rPr>
          <w:rFonts w:ascii="Times New Roman" w:hAnsi="Times New Roman" w:eastAsia="Times New Roman" w:cs="Times New Roman"/>
        </w:rPr>
        <w:t>, ‘</w:t>
      </w:r>
      <w:r>
        <w:rPr>
          <w:rFonts w:ascii="Nirmala UI" w:hAnsi="Nirmala UI" w:eastAsia="Nirmala UI" w:cs="Nirmala UI"/>
        </w:rPr>
        <w:t>परमप्रभु</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भन्नुहुन्छ</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छोरो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जेठो</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तँलाई</w:t>
      </w:r>
      <w:r>
        <w:rPr>
          <w:rFonts w:ascii="Times New Roman" w:hAnsi="Times New Roman" w:eastAsia="Times New Roman" w:cs="Times New Roman"/>
        </w:rPr>
        <w:t xml:space="preserve"> </w:t>
      </w:r>
      <w:r>
        <w:rPr>
          <w:rFonts w:ascii="Nirmala UI" w:hAnsi="Nirmala UI" w:eastAsia="Nirmala UI" w:cs="Nirmala UI"/>
        </w:rPr>
        <w:t>भन्दछु</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छोरोलाई</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गरोस्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उसलाई</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गर्छस्</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छोरोलाई</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जेठो</w:t>
      </w:r>
      <w:r>
        <w:rPr>
          <w:rFonts w:ascii="Times New Roman" w:hAnsi="Times New Roman" w:eastAsia="Times New Roman" w:cs="Times New Roman"/>
        </w:rPr>
        <w:t xml:space="preserve"> </w:t>
      </w:r>
      <w:r>
        <w:rPr>
          <w:rFonts w:ascii="Nirmala UI" w:hAnsi="Nirmala UI" w:eastAsia="Nirmala UI" w:cs="Nirmala UI"/>
        </w:rPr>
        <w:t>सन्तानलाई</w:t>
      </w:r>
      <w:r>
        <w:rPr>
          <w:rFonts w:ascii="Times New Roman" w:hAnsi="Times New Roman" w:eastAsia="Times New Roman" w:cs="Times New Roman"/>
        </w:rPr>
        <w:t xml:space="preserve"> </w:t>
      </w:r>
      <w:r>
        <w:rPr>
          <w:rFonts w:ascii="Nirmala UI" w:hAnsi="Nirmala UI" w:eastAsia="Nirmala UI" w:cs="Nirmala UI"/>
        </w:rPr>
        <w:t>मार्नेछु।</w:t>
      </w:r>
      <w:r>
        <w:rPr>
          <w:rFonts w:ascii="Times New Roman" w:hAnsi="Times New Roman" w:eastAsia="Times New Roman" w:cs="Times New Roman"/>
        </w:rPr>
        <w:t xml:space="preserve">’ </w:t>
      </w:r>
      <w:r>
        <w:rPr>
          <w:rFonts w:ascii="Nirmala UI" w:hAnsi="Nirmala UI" w:eastAsia="Nirmala UI" w:cs="Nirmala UI"/>
        </w:rPr>
        <w:t>प्रस्थान</w:t>
      </w:r>
      <w:r>
        <w:rPr>
          <w:rFonts w:ascii="Times New Roman" w:hAnsi="Times New Roman" w:eastAsia="Times New Roman" w:cs="Times New Roman"/>
        </w:rPr>
        <w:t xml:space="preserve"> </w:t>
      </w:r>
      <w:r>
        <w:rPr>
          <w:rFonts w:ascii="Nirmala UI" w:hAnsi="Nirmala UI" w:eastAsia="Nirmala UI" w:cs="Nirmala UI"/>
        </w:rPr>
        <w:t>४</w:t>
      </w:r>
      <w:r>
        <w:rPr>
          <w:rFonts w:ascii="Times New Roman" w:hAnsi="Times New Roman" w:eastAsia="Times New Roman" w:cs="Times New Roman"/>
        </w:rPr>
        <w:t>:</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२३।</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अभिमानी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मानकर</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निर्गमन</w:t>
      </w:r>
      <w:r>
        <w:rPr>
          <w:rFonts w:ascii="Times New Roman" w:hAnsi="Times New Roman" w:eastAsia="Times New Roman" w:cs="Times New Roman"/>
        </w:rPr>
        <w:t xml:space="preserve"> 5:2.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भयानक</w:t>
      </w:r>
      <w:r>
        <w:rPr>
          <w:rFonts w:ascii="Times New Roman" w:hAnsi="Times New Roman" w:eastAsia="Times New Roman" w:cs="Times New Roman"/>
        </w:rPr>
        <w:t xml:space="preserve"> </w:t>
      </w:r>
      <w:r>
        <w:rPr>
          <w:rFonts w:ascii="Nirmala UI" w:hAnsi="Nirmala UI" w:eastAsia="Nirmala UI" w:cs="Nirmala UI"/>
        </w:rPr>
        <w:t>दण्ड</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w:t>
      </w:r>
      <w:r>
        <w:rPr>
          <w:rFonts w:ascii="Nirmala UI" w:hAnsi="Nirmala UI" w:eastAsia="Nirmala UI" w:cs="Nirmala UI"/>
        </w:rPr>
        <w:t>संहार</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मिस्रियों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बचाए</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निर्देश</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चौखटों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लगाएँ।</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इस्राएलियों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लाँघ</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The Desire of Ages, 51.</w:t>
      </w:r>
    </w:p>
    <w:p>
      <w:pPr>
        <w:pStyle w:val="ArticleBody"/>
        <w:jc w:val="left"/>
      </w:pPr>
      <w:r>
        <w:rPr>
          <w:rFonts w:ascii="Times New Roman" w:hAnsi="Times New Roman" w:eastAsia="Times New Roman" w:cs="Times New Roman"/>
        </w:rPr>
        <w:t>Le message du Cri de Minuit adressé à Pharaon désignait la mort des premiers-nés en réponse à la rébellion de Pharaon. Une fois que le message fut consigné au registre, les plaies, représentant la puissance du Cri de Minuit durant l’été 1844, s’abattirent sur l’Égypte. Le message du Cri de Minuit balaya le pays comme un raz-de-marée durant l’été 1844. Les plaies déferlèrent sur l’Égypte, et lorsque arriva la mort promise des premiers-nés, un cri se fit entendre à minuit dans toute l’Égypte.</w:t>
      </w:r>
    </w:p>
    <w:p>
      <w:pPr>
        <w:pStyle w:val="ArticleScripture"/>
        <w:jc w:val="left"/>
      </w:pPr>
      <w:r>
        <w:rPr>
          <w:rFonts w:ascii="Microsoft YaHei" w:hAnsi="Microsoft YaHei" w:eastAsia="Microsoft YaHei" w:cs="Microsoft YaHei"/>
        </w:rPr>
        <w:t>有摩西说</w:t>
      </w:r>
      <w:r>
        <w:rPr>
          <w:rFonts w:ascii="Times New Roman" w:hAnsi="Times New Roman" w:eastAsia="Times New Roman" w:cs="Times New Roman"/>
        </w:rPr>
        <w:t>,</w:t>
      </w:r>
      <w:r>
        <w:rPr>
          <w:rFonts w:ascii="Microsoft YaHei" w:hAnsi="Microsoft YaHei" w:eastAsia="Microsoft YaHei" w:cs="Microsoft YaHei"/>
        </w:rPr>
        <w:t>耶和华如此说：约在半夜</w:t>
      </w:r>
      <w:r>
        <w:rPr>
          <w:rFonts w:ascii="Times New Roman" w:hAnsi="Times New Roman" w:eastAsia="Times New Roman" w:cs="Times New Roman"/>
        </w:rPr>
        <w:t>,</w:t>
      </w:r>
      <w:r>
        <w:rPr>
          <w:rFonts w:ascii="Microsoft YaHei" w:hAnsi="Microsoft YaHei" w:eastAsia="Microsoft YaHei" w:cs="Microsoft YaHei"/>
        </w:rPr>
        <w:t>我必出去</w:t>
      </w:r>
      <w:r>
        <w:rPr>
          <w:rFonts w:ascii="Times New Roman" w:hAnsi="Times New Roman" w:eastAsia="Times New Roman" w:cs="Times New Roman"/>
        </w:rPr>
        <w:t>,</w:t>
      </w:r>
      <w:r>
        <w:rPr>
          <w:rFonts w:ascii="Microsoft YaHei" w:hAnsi="Microsoft YaHei" w:eastAsia="Microsoft YaHei" w:cs="Microsoft YaHei"/>
        </w:rPr>
        <w:t>巡行埃及遍地</w:t>
      </w:r>
      <w:r>
        <w:rPr>
          <w:rFonts w:ascii="Times New Roman" w:hAnsi="Times New Roman" w:eastAsia="Times New Roman" w:cs="Times New Roman"/>
        </w:rPr>
        <w:t>;</w:t>
      </w:r>
      <w:r>
        <w:rPr>
          <w:rFonts w:ascii="Microsoft YaHei" w:hAnsi="Microsoft YaHei" w:eastAsia="Microsoft YaHei" w:cs="Microsoft YaHei"/>
        </w:rPr>
        <w:t>埃及地一切头生的都必死亡</w:t>
      </w:r>
      <w:r>
        <w:rPr>
          <w:rFonts w:ascii="Times New Roman" w:hAnsi="Times New Roman" w:eastAsia="Times New Roman" w:cs="Times New Roman"/>
        </w:rPr>
        <w:t>,</w:t>
      </w:r>
      <w:r>
        <w:rPr>
          <w:rFonts w:ascii="Microsoft YaHei" w:hAnsi="Microsoft YaHei" w:eastAsia="Microsoft YaHei" w:cs="Microsoft YaHei"/>
        </w:rPr>
        <w:t>从坐宝座之法老的长子</w:t>
      </w:r>
      <w:r>
        <w:rPr>
          <w:rFonts w:ascii="Times New Roman" w:hAnsi="Times New Roman" w:eastAsia="Times New Roman" w:cs="Times New Roman"/>
        </w:rPr>
        <w:t>,</w:t>
      </w:r>
      <w:r>
        <w:rPr>
          <w:rFonts w:ascii="Microsoft YaHei" w:hAnsi="Microsoft YaHei" w:eastAsia="Microsoft YaHei" w:cs="Microsoft YaHei"/>
        </w:rPr>
        <w:t>直到推磨婢女的长子</w:t>
      </w:r>
      <w:r>
        <w:rPr>
          <w:rFonts w:ascii="Times New Roman" w:hAnsi="Times New Roman" w:eastAsia="Times New Roman" w:cs="Times New Roman"/>
        </w:rPr>
        <w:t>,</w:t>
      </w:r>
      <w:r>
        <w:rPr>
          <w:rFonts w:ascii="Microsoft YaHei" w:hAnsi="Microsoft YaHei" w:eastAsia="Microsoft YaHei" w:cs="Microsoft YaHei"/>
        </w:rPr>
        <w:t>以及一切头生的牲畜</w:t>
      </w:r>
      <w:r>
        <w:rPr>
          <w:rFonts w:ascii="Times New Roman" w:hAnsi="Times New Roman" w:eastAsia="Times New Roman" w:cs="Times New Roman"/>
        </w:rPr>
        <w:t>.</w:t>
      </w:r>
      <w:r>
        <w:rPr>
          <w:rFonts w:ascii="Microsoft YaHei" w:hAnsi="Microsoft YaHei" w:eastAsia="Microsoft YaHei" w:cs="Microsoft YaHei"/>
        </w:rPr>
        <w:t>埃及遍地必有大哀号</w:t>
      </w:r>
      <w:r>
        <w:rPr>
          <w:rFonts w:ascii="Times New Roman" w:hAnsi="Times New Roman" w:eastAsia="Times New Roman" w:cs="Times New Roman"/>
        </w:rPr>
        <w:t>;</w:t>
      </w:r>
      <w:r>
        <w:rPr>
          <w:rFonts w:ascii="Microsoft YaHei" w:hAnsi="Microsoft YaHei" w:eastAsia="Microsoft YaHei" w:cs="Microsoft YaHei"/>
        </w:rPr>
        <w:t>这样的哀号</w:t>
      </w:r>
      <w:r>
        <w:rPr>
          <w:rFonts w:ascii="Times New Roman" w:hAnsi="Times New Roman" w:eastAsia="Times New Roman" w:cs="Times New Roman"/>
        </w:rPr>
        <w:t>,</w:t>
      </w:r>
      <w:r>
        <w:rPr>
          <w:rFonts w:ascii="Microsoft YaHei" w:hAnsi="Microsoft YaHei" w:eastAsia="Microsoft YaHei" w:cs="Microsoft YaHei"/>
        </w:rPr>
        <w:t>从前没有</w:t>
      </w:r>
      <w:r>
        <w:rPr>
          <w:rFonts w:ascii="Times New Roman" w:hAnsi="Times New Roman" w:eastAsia="Times New Roman" w:cs="Times New Roman"/>
        </w:rPr>
        <w:t>,</w:t>
      </w:r>
      <w:r>
        <w:rPr>
          <w:rFonts w:ascii="Microsoft YaHei" w:hAnsi="Microsoft YaHei" w:eastAsia="Microsoft YaHei" w:cs="Microsoft YaHei"/>
        </w:rPr>
        <w:t>后来也必没有</w:t>
      </w:r>
      <w:r>
        <w:rPr>
          <w:rFonts w:ascii="Times New Roman" w:hAnsi="Times New Roman" w:eastAsia="Times New Roman" w:cs="Times New Roman"/>
        </w:rPr>
        <w:t>.</w:t>
      </w:r>
      <w:r>
        <w:rPr>
          <w:rFonts w:ascii="Microsoft YaHei" w:hAnsi="Microsoft YaHei" w:eastAsia="Microsoft YaHei" w:cs="Microsoft YaHei"/>
        </w:rPr>
        <w:t>出埃及记</w:t>
      </w:r>
      <w:r>
        <w:rPr>
          <w:rFonts w:ascii="Times New Roman" w:hAnsi="Times New Roman" w:eastAsia="Times New Roman" w:cs="Times New Roman"/>
        </w:rPr>
        <w:t xml:space="preserve"> 11:4–6.</w:t>
      </w:r>
    </w:p>
    <w:p>
      <w:pPr>
        <w:pStyle w:val="ArticleBody"/>
        <w:jc w:val="left"/>
      </w:pPr>
      <w:r>
        <w:rPr>
          <w:rFonts w:ascii="Times New Roman" w:hAnsi="Times New Roman" w:eastAsia="Times New Roman" w:cs="Times New Roman"/>
        </w:rPr>
        <w:t>O loo atu ma le manumalo o Keriso i Ierusalema na taʻitaʻi atu ai i le satauro i Kalevario, ma sa oo i soo o Keriso faapea foʻi ma isi ona soo le Faavauvau Tele.</w:t>
      </w:r>
    </w:p>
    <w:p>
      <w:pPr>
        <w:pStyle w:val="ArticleScripture"/>
        <w:jc w:val="left"/>
      </w:pPr>
      <w:r>
        <w:rPr>
          <w:rFonts w:ascii="Times New Roman" w:hAnsi="Times New Roman" w:eastAsia="Times New Roman" w:cs="Times New Roman"/>
        </w:rPr>
        <w:t>«Мы были разочарованы не так сильно, как ученики. Когда Сын Человеческий торжественно въехал в Иерусалим, они ожидали, что Он будет увенчан как Царь. Народ стекался со всей окрестной страны и восклицал: “Осанна Сыну Давидову!” И когда священники и старейшины просили Иисуса унять множество, Он заявил, что, если они умолкнут, то и камни возопиют, ибо надлежало исполниться пророчеству. И всё же через несколько дней те самые ученики увидели своего возлюбленного Учителя, Которого они верили увидеть царствующим на престоле Давида, простёртым на жестоком кресте над насмешливыми, глумящимися фарисеями. Их высокие надежды были разрушены, и мрак смерти сомкнулся вокруг них». Свидетельства, том 1, 57, 58.</w:t>
      </w:r>
    </w:p>
    <w:p>
      <w:pPr>
        <w:pStyle w:val="ArticleBody"/>
        <w:jc w:val="left"/>
      </w:pPr>
      <w:r>
        <w:rPr>
          <w:rFonts w:ascii="Times New Roman" w:hAnsi="Times New Roman" w:eastAsia="Times New Roman" w:cs="Times New Roman"/>
        </w:rPr>
        <w:t>La grande déception des disciples et des millérites est également représentée par les Hébreux se trouvant pris entre l’armée de Pharaon et la mer Rouge.</w:t>
      </w:r>
    </w:p>
    <w:p>
      <w:pPr>
        <w:pStyle w:val="ArticleScripture"/>
        <w:jc w:val="left"/>
      </w:pPr>
      <w:r>
        <w:rPr>
          <w:rFonts w:ascii="Times New Roman" w:hAnsi="Times New Roman" w:eastAsia="Times New Roman" w:cs="Times New Roman"/>
        </w:rPr>
        <w:t>“Nagu ifa nurimiirfame jaha bara daroja pastore ifa jama. Israil eree gurfata ta warqame qorata nati keenya ifa godhachuuf eegameera. Bara kana keessatti Waaqayyo harka Isaa diriirsee saba tokko ofitti walitti qabuuf saboota hunda keessaa, sanyii hunda keessaa, fi afaan hunda keessaa hojjechaa jira. Sochii dhufaatii keessatti inni dhaala Isaaaf hojjete, akkuma Israaʼeloota Gibxii keessaa baasuudhaan isaanii hojjete sana. Gaddisa guddaa bara 1844 keessatti amantiin saba Isaa akkuma tan Ibrootaa Galaana Diimaa biratti qoratamteetti qoratamte.” Testimonies, volume 8, 115, 116.</w:t>
      </w:r>
    </w:p>
    <w:p>
      <w:pPr>
        <w:pStyle w:val="ArticleBody"/>
        <w:jc w:val="left"/>
      </w:pPr>
      <w:r>
        <w:rPr>
          <w:rFonts w:ascii="Times New Roman" w:hAnsi="Times New Roman" w:eastAsia="Times New Roman" w:cs="Times New Roman"/>
        </w:rPr>
        <w:t>Ni muhimu kuona kwamba Kristo alipoingia Yerusalemu, uvuvio wa saa ile ulizaa mlipuko wa sifa, ambao Mafarisayo walitafuta kuunyamazisha. Kiini cha wimbo huo wa sifa kilikuwa rejeo la Yesu kuwa Mwana wa Daudi, alama yenyewe ambayo Kristo aliitumia kuweka mwisho wa mazungumzo yake ya maneno na Wayahudi wenye ubishi. Jambo lililowakera sana Wayahudi lilikuwa utambuzi kwamba walipomwita Yesu, Mwana wa Daudi, kwa maana ya kufuatisha walikuwa wakirejelea kuingia kwa ushindi kwa Mfalme Daudi katika Yerusalemu.</w:t>
      </w:r>
    </w:p>
    <w:p>
      <w:pPr>
        <w:pStyle w:val="ArticleBody"/>
        <w:jc w:val="left"/>
      </w:pPr>
      <w:r>
        <w:rPr>
          <w:rFonts w:ascii="Times New Roman" w:hAnsi="Times New Roman" w:eastAsia="Times New Roman" w:cs="Times New Roman"/>
        </w:rPr>
        <w:t>En la historia de la obra de David de llevar el arca a Jerusalén, el poder del mensaje fue representado por el poder de David.</w:t>
      </w:r>
    </w:p>
    <w:p>
      <w:pPr>
        <w:pStyle w:val="ArticleScripture"/>
        <w:jc w:val="left"/>
      </w:pPr>
      <w:r>
        <w:rPr>
          <w:rFonts w:ascii="Times New Roman" w:hAnsi="Times New Roman" w:eastAsia="Times New Roman" w:cs="Times New Roman"/>
        </w:rPr>
        <w:t>Na Daudi akaendelea mbele, akazidi kuwa mkuu, naye BWANA, Mungu wa majeshi, alikuwa pamoja naye. 2 Samweli 5:10.</w:t>
      </w:r>
    </w:p>
    <w:p>
      <w:pPr>
        <w:pStyle w:val="ArticleBody"/>
        <w:jc w:val="left"/>
      </w:pP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दाऊद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दाऊद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उज्जाह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w:t>
      </w:r>
      <w:r>
        <w:rPr>
          <w:rFonts w:ascii="Nirmala UI" w:hAnsi="Nirmala UI" w:eastAsia="Nirmala UI" w:cs="Nirmala UI"/>
        </w:rPr>
        <w:t>भाँति</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प्रारम्भ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बन्धुआई</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अवज्ञा</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संबद्ध</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धृष्ट</w:t>
      </w:r>
      <w:r>
        <w:rPr>
          <w:rFonts w:ascii="Times New Roman" w:hAnsi="Times New Roman" w:eastAsia="Times New Roman" w:cs="Times New Roman"/>
        </w:rPr>
        <w:t xml:space="preserve"> </w:t>
      </w:r>
      <w:r>
        <w:rPr>
          <w:rFonts w:ascii="Nirmala UI" w:hAnsi="Nirmala UI" w:eastAsia="Nirmala UI" w:cs="Nirmala UI"/>
        </w:rPr>
        <w:t>अनुमान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उज्जाह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दाऊद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बलवान</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अवज्ञाकारी</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खतने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उल्लंघन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उज्जाह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दाऊद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देखभाल</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उज्जाह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आशीष</w:t>
      </w:r>
      <w:r>
        <w:rPr>
          <w:rFonts w:ascii="Times New Roman" w:hAnsi="Times New Roman" w:eastAsia="Times New Roman" w:cs="Times New Roman"/>
        </w:rPr>
        <w:t xml:space="preserve"> </w:t>
      </w:r>
      <w:r>
        <w:rPr>
          <w:rFonts w:ascii="Nirmala UI" w:hAnsi="Nirmala UI" w:eastAsia="Nirmala UI" w:cs="Nirmala UI"/>
        </w:rPr>
        <w:t>पा</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दाऊद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प्रस्थान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दाऊद</w:t>
      </w:r>
      <w:r>
        <w:rPr>
          <w:rFonts w:ascii="Times New Roman" w:hAnsi="Times New Roman" w:eastAsia="Times New Roman" w:cs="Times New Roman"/>
        </w:rPr>
        <w:t xml:space="preserve"> </w:t>
      </w:r>
      <w:r>
        <w:rPr>
          <w:rFonts w:ascii="Nirmala UI" w:hAnsi="Nirmala UI" w:eastAsia="Nirmala UI" w:cs="Nirmala UI"/>
        </w:rPr>
        <w:t>नाचते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नग्नता</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हुई।</w:t>
      </w:r>
    </w:p>
    <w:p>
      <w:pPr>
        <w:pStyle w:val="ArticleBody"/>
        <w:jc w:val="left"/>
      </w:pPr>
      <w:r>
        <w:rPr>
          <w:rFonts w:ascii="Times New Roman" w:hAnsi="Times New Roman" w:eastAsia="Times New Roman" w:cs="Times New Roman"/>
        </w:rPr>
        <w:t>سه خط از جنبش‌های اصلاحی که همگی به ۱۸۴۳ و ۱۸۴۴، یعنی آن دوره‌ای از زمان که مردان عادل و انبیا آرزومند دیدن و شنیدن آن بودند، می‌پردازند. ویژگی‌های ورود فرشتهٔ دوم، و بدین‌سان مشخص شدن زمانی از درنگ و ناامیدی، همگی به‌آسانی قابل مشاهده‌اند. حقایق عمیق‌تر آشکار می‌سازند که این ناامیدی صرفاً سوءبرداشتی از جانب موسی، یا عُزّه، یا مرتا و مریم نبود، بلکه ناامیدی‌ای بود که با ردّ یک اصل بنیادینِ مرتبط با همان تاریخی پیوند داشت که در آن، آن ناامیدی به وقوع پیوست. برای موسی، آن اصل نشانهٔ ختنه بود؛ برای عُزّه، گستاخی در قبال اوامر خداوند دربارهٔ تابوت بود؛ و برای مرتا و مریم، کمبود ایمان به قدرت خلّاق مسیح برای قیام بخشیدن بود.</w:t>
      </w:r>
    </w:p>
    <w:p>
      <w:pPr>
        <w:pStyle w:val="ArticleBody"/>
        <w:jc w:val="left"/>
      </w:pPr>
      <w:r>
        <w:rPr>
          <w:rFonts w:ascii="Times New Roman" w:hAnsi="Times New Roman" w:eastAsia="Times New Roman" w:cs="Times New Roman"/>
        </w:rPr>
        <w:t>Avec Moïse, le thème absolument central de son ministère était l’établissement d’une relation d’alliance avec un peuple choisi, et Moïse oublia le signe de cette alliance. Avec Uzza, il s’agissait du principe même de la sainteté de la loi de Dieu, qui était incarnée dans l’arche. Avec Marthe et Marie, il s’agissait du centre même du ministère du Christ, commençant par Son baptême et s’achevant par Sa mort, Son ensevelissement et Sa résurrection, tels que préfigurés au commencement de Son ministère. La première déception de 1843 fut provoquée par une erreur dans certains des chiffres figurant sur la carte, erreur qui constituait un accomplissement de la prophétie d’Habacuc. Cette erreur touchait au principe fondamental du mouvement de Miller — le principe d’un jour pour une année.</w:t>
      </w:r>
    </w:p>
    <w:p>
      <w:pPr>
        <w:pStyle w:val="ArticleBody"/>
        <w:jc w:val="left"/>
      </w:pPr>
      <w:r>
        <w:rPr>
          <w:rFonts w:ascii="Times New Roman" w:hAnsi="Times New Roman" w:eastAsia="Times New Roman" w:cs="Times New Roman"/>
        </w:rPr>
        <w:t>„Cele șapte tunete” reprezintă mișcarea adventă din 1840 până în 1844, însă în cadrul acelei mișcări se află istoria din 1843 până în 1844, care începe și se încheie cu o dezamăgire, așezând astfel asupra acelei istorii semnătura lui Alfa și Omega. Iar această istorie este tocmai istoria la care Isus și Ellen White arată ca fiind istoria sacră pe care cei neprihăniți au dorit întotdeauna să o vadă.</w:t>
      </w:r>
    </w:p>
    <w:p>
      <w:pPr>
        <w:pStyle w:val="ArticleBody"/>
        <w:jc w:val="left"/>
      </w:pPr>
      <w:r>
        <w:rPr>
          <w:rFonts w:ascii="Times New Roman" w:hAnsi="Times New Roman" w:eastAsia="Times New Roman" w:cs="Times New Roman"/>
        </w:rPr>
        <w:t>Toz sing bilong Moses, David, Christ na ol Millerite i skulim olsem taim tok piksa bilong tenpela vergins i kamap gen long pinis bilong dispela graun, bai i gat wanpela strongim, i no bilong namba tu ensel, tasol bilong namba tri ensel i go pas long wanpela bel hevi, na dispela i statim wanpela taim bilong wet.</w:t>
      </w:r>
    </w:p>
    <w:p>
      <w:pPr>
        <w:pStyle w:val="ArticleBody"/>
        <w:jc w:val="left"/>
      </w:pP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天使</w:t>
      </w:r>
      <w:r>
        <w:rPr>
          <w:rFonts w:ascii="MS Gothic" w:hAnsi="MS Gothic" w:eastAsia="MS Gothic" w:cs="MS Gothic"/>
        </w:rPr>
        <w:t>が</w:t>
      </w:r>
      <w:r>
        <w:rPr>
          <w:rFonts w:ascii="Times New Roman" w:hAnsi="Times New Roman" w:eastAsia="Times New Roman" w:cs="Times New Roman"/>
        </w:rPr>
        <w:t>1840</w:t>
      </w:r>
      <w:r>
        <w:rPr>
          <w:rFonts w:ascii="Microsoft YaHei" w:hAnsi="Microsoft YaHei" w:eastAsia="Microsoft YaHei" w:cs="Microsoft YaHei"/>
        </w:rPr>
        <w:t>年</w:t>
      </w:r>
      <w:r>
        <w:rPr>
          <w:rFonts w:ascii="Times New Roman" w:hAnsi="Times New Roman" w:eastAsia="Times New Roman" w:cs="Times New Roman"/>
        </w:rPr>
        <w:t>8</w:t>
      </w:r>
      <w:r>
        <w:rPr>
          <w:rFonts w:ascii="Microsoft YaHei" w:hAnsi="Microsoft YaHei" w:eastAsia="Microsoft YaHei" w:cs="Microsoft YaHei"/>
        </w:rPr>
        <w:t>月</w:t>
      </w:r>
      <w:r>
        <w:rPr>
          <w:rFonts w:ascii="Times New Roman" w:hAnsi="Times New Roman" w:eastAsia="Times New Roman" w:cs="Times New Roman"/>
        </w:rPr>
        <w:t>11</w:t>
      </w:r>
      <w:r>
        <w:rPr>
          <w:rFonts w:ascii="Microsoft YaHei" w:hAnsi="Microsoft YaHei" w:eastAsia="Microsoft YaHei" w:cs="Microsoft YaHei"/>
        </w:rPr>
        <w:t>日</w:t>
      </w:r>
      <w:r>
        <w:rPr>
          <w:rFonts w:ascii="MS Gothic" w:hAnsi="MS Gothic" w:eastAsia="MS Gothic" w:cs="MS Gothic"/>
        </w:rPr>
        <w:t>に</w:t>
      </w:r>
      <w:r>
        <w:rPr>
          <w:rFonts w:ascii="Microsoft YaHei" w:hAnsi="Microsoft YaHei" w:eastAsia="Microsoft YaHei" w:cs="Microsoft YaHei"/>
        </w:rPr>
        <w:t>降</w:t>
      </w:r>
      <w:r>
        <w:rPr>
          <w:rFonts w:ascii="MS Gothic" w:hAnsi="MS Gothic" w:eastAsia="MS Gothic" w:cs="MS Gothic"/>
        </w:rPr>
        <w:t>ったとき</w:t>
      </w:r>
      <w:r>
        <w:rPr>
          <w:rFonts w:ascii="Microsoft YaHei" w:hAnsi="Microsoft YaHei" w:eastAsia="Microsoft YaHei" w:cs="Microsoft YaHei"/>
        </w:rPr>
        <w:t>、</w:t>
      </w:r>
      <w:r>
        <w:rPr>
          <w:rFonts w:ascii="MS Gothic" w:hAnsi="MS Gothic" w:eastAsia="MS Gothic" w:cs="MS Gothic"/>
        </w:rPr>
        <w:t>それはミラー</w:t>
      </w:r>
      <w:r>
        <w:rPr>
          <w:rFonts w:ascii="Microsoft YaHei" w:hAnsi="Microsoft YaHei" w:eastAsia="Microsoft YaHei" w:cs="Microsoft YaHei"/>
        </w:rPr>
        <w:t>派</w:t>
      </w:r>
      <w:r>
        <w:rPr>
          <w:rFonts w:ascii="MS Gothic" w:hAnsi="MS Gothic" w:eastAsia="MS Gothic" w:cs="MS Gothic"/>
        </w:rPr>
        <w:t>の</w:t>
      </w:r>
      <w:r>
        <w:rPr>
          <w:rFonts w:ascii="Microsoft YaHei" w:hAnsi="Microsoft YaHei" w:eastAsia="Microsoft YaHei" w:cs="Microsoft YaHei"/>
        </w:rPr>
        <w:t>主要</w:t>
      </w:r>
      <w:r>
        <w:rPr>
          <w:rFonts w:ascii="MS Gothic" w:hAnsi="MS Gothic" w:eastAsia="MS Gothic" w:cs="MS Gothic"/>
        </w:rPr>
        <w:t>な</w:t>
      </w:r>
      <w:r>
        <w:rPr>
          <w:rFonts w:ascii="Microsoft YaHei" w:hAnsi="Microsoft YaHei" w:eastAsia="Microsoft YaHei" w:cs="Microsoft YaHei"/>
        </w:rPr>
        <w:t>預言的規則</w:t>
      </w:r>
      <w:r>
        <w:rPr>
          <w:rFonts w:ascii="MS Gothic" w:hAnsi="MS Gothic" w:eastAsia="MS Gothic" w:cs="MS Gothic"/>
        </w:rPr>
        <w:t>を</w:t>
      </w:r>
      <w:r>
        <w:rPr>
          <w:rFonts w:ascii="Microsoft YaHei" w:hAnsi="Microsoft YaHei" w:eastAsia="Microsoft YaHei" w:cs="Microsoft YaHei"/>
        </w:rPr>
        <w:t>確証</w:t>
      </w:r>
      <w:r>
        <w:rPr>
          <w:rFonts w:ascii="MS Gothic" w:hAnsi="MS Gothic" w:eastAsia="MS Gothic" w:cs="MS Gothic"/>
        </w:rPr>
        <w:t>し</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失望</w:t>
      </w:r>
      <w:r>
        <w:rPr>
          <w:rFonts w:ascii="MS Gothic" w:hAnsi="MS Gothic" w:eastAsia="MS Gothic" w:cs="MS Gothic"/>
        </w:rPr>
        <w:t>はまさにその</w:t>
      </w:r>
      <w:r>
        <w:rPr>
          <w:rFonts w:ascii="Microsoft YaHei" w:hAnsi="Microsoft YaHei" w:eastAsia="Microsoft YaHei" w:cs="Microsoft YaHei"/>
        </w:rPr>
        <w:t>規則</w:t>
      </w:r>
      <w:r>
        <w:rPr>
          <w:rFonts w:ascii="MS Gothic" w:hAnsi="MS Gothic" w:eastAsia="MS Gothic" w:cs="MS Gothic"/>
        </w:rPr>
        <w:t>と</w:t>
      </w:r>
      <w:r>
        <w:rPr>
          <w:rFonts w:ascii="Microsoft YaHei" w:hAnsi="Microsoft YaHei" w:eastAsia="Microsoft YaHei" w:cs="Microsoft YaHei"/>
        </w:rPr>
        <w:t>特定的</w:t>
      </w:r>
      <w:r>
        <w:rPr>
          <w:rFonts w:ascii="MS Gothic" w:hAnsi="MS Gothic" w:eastAsia="MS Gothic" w:cs="MS Gothic"/>
        </w:rPr>
        <w:t>に</w:t>
      </w:r>
      <w:r>
        <w:rPr>
          <w:rFonts w:ascii="Microsoft YaHei" w:hAnsi="Microsoft YaHei" w:eastAsia="Microsoft YaHei" w:cs="Microsoft YaHei"/>
        </w:rPr>
        <w:t>結</w:t>
      </w:r>
      <w:r>
        <w:rPr>
          <w:rFonts w:ascii="MS Gothic" w:hAnsi="MS Gothic" w:eastAsia="MS Gothic" w:cs="MS Gothic"/>
        </w:rPr>
        <w:t>び</w:t>
      </w:r>
      <w:r>
        <w:rPr>
          <w:rFonts w:ascii="Microsoft YaHei" w:hAnsi="Microsoft YaHei" w:eastAsia="Microsoft YaHei" w:cs="Microsoft YaHei"/>
        </w:rPr>
        <w:t>付</w:t>
      </w:r>
      <w:r>
        <w:rPr>
          <w:rFonts w:ascii="MS Gothic" w:hAnsi="MS Gothic" w:eastAsia="MS Gothic" w:cs="MS Gothic"/>
        </w:rPr>
        <w:t>けられることになっていた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失望</w:t>
      </w:r>
      <w:r>
        <w:rPr>
          <w:rFonts w:ascii="MS Gothic" w:hAnsi="MS Gothic" w:eastAsia="MS Gothic" w:cs="MS Gothic"/>
        </w:rPr>
        <w:t>と</w:t>
      </w:r>
      <w:r>
        <w:rPr>
          <w:rFonts w:ascii="Microsoft YaHei" w:hAnsi="Microsoft YaHei" w:eastAsia="Microsoft YaHei" w:cs="Microsoft YaHei"/>
        </w:rPr>
        <w:t>遅延</w:t>
      </w:r>
      <w:r>
        <w:rPr>
          <w:rFonts w:ascii="MS Gothic" w:hAnsi="MS Gothic" w:eastAsia="MS Gothic" w:cs="MS Gothic"/>
        </w:rPr>
        <w:t>の</w:t>
      </w:r>
      <w:r>
        <w:rPr>
          <w:rFonts w:ascii="Microsoft YaHei" w:hAnsi="Microsoft YaHei" w:eastAsia="Microsoft YaHei" w:cs="Microsoft YaHei"/>
        </w:rPr>
        <w:t>時</w:t>
      </w:r>
      <w:r>
        <w:rPr>
          <w:rFonts w:ascii="MS Gothic" w:hAnsi="MS Gothic" w:eastAsia="MS Gothic" w:cs="MS Gothic"/>
        </w:rPr>
        <w:t>が</w:t>
      </w:r>
      <w:r>
        <w:rPr>
          <w:rFonts w:ascii="Microsoft YaHei" w:hAnsi="Microsoft YaHei" w:eastAsia="Microsoft YaHei" w:cs="Microsoft YaHei"/>
        </w:rPr>
        <w:t>真夜中</w:t>
      </w:r>
      <w:r>
        <w:rPr>
          <w:rFonts w:ascii="MS Gothic" w:hAnsi="MS Gothic" w:eastAsia="MS Gothic" w:cs="MS Gothic"/>
        </w:rPr>
        <w:t>の</w:t>
      </w:r>
      <w:r>
        <w:rPr>
          <w:rFonts w:ascii="Microsoft YaHei" w:hAnsi="Microsoft YaHei" w:eastAsia="Microsoft YaHei" w:cs="Microsoft YaHei"/>
        </w:rPr>
        <w:t>叫</w:t>
      </w:r>
      <w:r>
        <w:rPr>
          <w:rFonts w:ascii="MS Gothic" w:hAnsi="MS Gothic" w:eastAsia="MS Gothic" w:cs="MS Gothic"/>
        </w:rPr>
        <w:t>びにおいて</w:t>
      </w:r>
      <w:r>
        <w:rPr>
          <w:rFonts w:ascii="Microsoft YaHei" w:hAnsi="Microsoft YaHei" w:eastAsia="Microsoft YaHei" w:cs="Microsoft YaHei"/>
        </w:rPr>
        <w:t>終</w:t>
      </w:r>
      <w:r>
        <w:rPr>
          <w:rFonts w:ascii="MS Gothic" w:hAnsi="MS Gothic" w:eastAsia="MS Gothic" w:cs="MS Gothic"/>
        </w:rPr>
        <w:t>わったとき</w:t>
      </w:r>
      <w:r>
        <w:rPr>
          <w:rFonts w:ascii="Microsoft YaHei" w:hAnsi="Microsoft YaHei" w:eastAsia="Microsoft YaHei" w:cs="Microsoft YaHei"/>
        </w:rPr>
        <w:t>、</w:t>
      </w:r>
      <w:r>
        <w:rPr>
          <w:rFonts w:ascii="MS Gothic" w:hAnsi="MS Gothic" w:eastAsia="MS Gothic" w:cs="MS Gothic"/>
        </w:rPr>
        <w:t>そのメッセージもまた</w:t>
      </w:r>
      <w:r>
        <w:rPr>
          <w:rFonts w:ascii="Microsoft YaHei" w:hAnsi="Microsoft YaHei" w:eastAsia="Microsoft YaHei" w:cs="Microsoft YaHei"/>
        </w:rPr>
        <w:t>一日</w:t>
      </w:r>
      <w:r>
        <w:rPr>
          <w:rFonts w:ascii="MS Gothic" w:hAnsi="MS Gothic" w:eastAsia="MS Gothic" w:cs="MS Gothic"/>
        </w:rPr>
        <w:t>を</w:t>
      </w:r>
      <w:r>
        <w:rPr>
          <w:rFonts w:ascii="Microsoft YaHei" w:hAnsi="Microsoft YaHei" w:eastAsia="Microsoft YaHei" w:cs="Microsoft YaHei"/>
        </w:rPr>
        <w:t>一年</w:t>
      </w:r>
      <w:r>
        <w:rPr>
          <w:rFonts w:ascii="MS Gothic" w:hAnsi="MS Gothic" w:eastAsia="MS Gothic" w:cs="MS Gothic"/>
        </w:rPr>
        <w:t>とする</w:t>
      </w:r>
      <w:r>
        <w:rPr>
          <w:rFonts w:ascii="Microsoft YaHei" w:hAnsi="Microsoft YaHei" w:eastAsia="Microsoft YaHei" w:cs="Microsoft YaHei"/>
        </w:rPr>
        <w:t>原則</w:t>
      </w:r>
      <w:r>
        <w:rPr>
          <w:rFonts w:ascii="MS Gothic" w:hAnsi="MS Gothic" w:eastAsia="MS Gothic" w:cs="MS Gothic"/>
        </w:rPr>
        <w:t>に</w:t>
      </w:r>
      <w:r>
        <w:rPr>
          <w:rFonts w:ascii="Microsoft YaHei" w:hAnsi="Microsoft YaHei" w:eastAsia="Microsoft YaHei" w:cs="Microsoft YaHei"/>
        </w:rPr>
        <w:t>関係</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キリストが</w:t>
      </w:r>
      <w:r>
        <w:rPr>
          <w:rFonts w:ascii="Times New Roman" w:hAnsi="Times New Roman" w:eastAsia="Times New Roman" w:cs="Times New Roman"/>
        </w:rPr>
        <w:t>1844</w:t>
      </w:r>
      <w:r>
        <w:rPr>
          <w:rFonts w:ascii="Microsoft YaHei" w:hAnsi="Microsoft YaHei" w:eastAsia="Microsoft YaHei" w:cs="Microsoft YaHei"/>
        </w:rPr>
        <w:t>年</w:t>
      </w:r>
      <w:r>
        <w:rPr>
          <w:rFonts w:ascii="Times New Roman" w:hAnsi="Times New Roman" w:eastAsia="Times New Roman" w:cs="Times New Roman"/>
        </w:rPr>
        <w:t>10</w:t>
      </w:r>
      <w:r>
        <w:rPr>
          <w:rFonts w:ascii="Microsoft YaHei" w:hAnsi="Microsoft YaHei" w:eastAsia="Microsoft YaHei" w:cs="Microsoft YaHei"/>
        </w:rPr>
        <w:t>月</w:t>
      </w:r>
      <w:r>
        <w:rPr>
          <w:rFonts w:ascii="Times New Roman" w:hAnsi="Times New Roman" w:eastAsia="Times New Roman" w:cs="Times New Roman"/>
        </w:rPr>
        <w:t>22</w:t>
      </w:r>
      <w:r>
        <w:rPr>
          <w:rFonts w:ascii="Microsoft YaHei" w:hAnsi="Microsoft YaHei" w:eastAsia="Microsoft YaHei" w:cs="Microsoft YaHei"/>
        </w:rPr>
        <w:t>日</w:t>
      </w:r>
      <w:r>
        <w:rPr>
          <w:rFonts w:ascii="MS Gothic" w:hAnsi="MS Gothic" w:eastAsia="MS Gothic" w:cs="MS Gothic"/>
        </w:rPr>
        <w:t>に</w:t>
      </w:r>
      <w:r>
        <w:rPr>
          <w:rFonts w:ascii="Microsoft YaHei" w:hAnsi="Microsoft YaHei" w:eastAsia="Microsoft YaHei" w:cs="Microsoft YaHei"/>
        </w:rPr>
        <w:t>来</w:t>
      </w:r>
      <w:r>
        <w:rPr>
          <w:rFonts w:ascii="MS Gothic" w:hAnsi="MS Gothic" w:eastAsia="MS Gothic" w:cs="MS Gothic"/>
        </w:rPr>
        <w:t>られるとの</w:t>
      </w:r>
      <w:r>
        <w:rPr>
          <w:rFonts w:ascii="Microsoft YaHei" w:hAnsi="Microsoft YaHei" w:eastAsia="Microsoft YaHei" w:cs="Microsoft YaHei"/>
        </w:rPr>
        <w:t>特定</w:t>
      </w:r>
      <w:r>
        <w:rPr>
          <w:rFonts w:ascii="MS Gothic" w:hAnsi="MS Gothic" w:eastAsia="MS Gothic" w:cs="MS Gothic"/>
        </w:rPr>
        <w:t>も</w:t>
      </w:r>
      <w:r>
        <w:rPr>
          <w:rFonts w:ascii="Microsoft YaHei" w:hAnsi="Microsoft YaHei" w:eastAsia="Microsoft YaHei" w:cs="Microsoft YaHei"/>
        </w:rPr>
        <w:t>同様</w:t>
      </w:r>
      <w:r>
        <w:rPr>
          <w:rFonts w:ascii="MS Gothic" w:hAnsi="MS Gothic" w:eastAsia="MS Gothic" w:cs="MS Gothic"/>
        </w:rPr>
        <w:t>であった</w:t>
      </w:r>
      <w:r>
        <w:rPr>
          <w:rFonts w:ascii="Times New Roman" w:hAnsi="Times New Roman" w:eastAsia="Times New Roman" w:cs="Times New Roman"/>
        </w:rPr>
        <w:t>.1840</w:t>
      </w:r>
      <w:r>
        <w:rPr>
          <w:rFonts w:ascii="Microsoft YaHei" w:hAnsi="Microsoft YaHei" w:eastAsia="Microsoft YaHei" w:cs="Microsoft YaHei"/>
        </w:rPr>
        <w:t>年</w:t>
      </w:r>
      <w:r>
        <w:rPr>
          <w:rFonts w:ascii="MS Gothic" w:hAnsi="MS Gothic" w:eastAsia="MS Gothic" w:cs="MS Gothic"/>
        </w:rPr>
        <w:t>から</w:t>
      </w:r>
      <w:r>
        <w:rPr>
          <w:rFonts w:ascii="Times New Roman" w:hAnsi="Times New Roman" w:eastAsia="Times New Roman" w:cs="Times New Roman"/>
        </w:rPr>
        <w:t>1844</w:t>
      </w:r>
      <w:r>
        <w:rPr>
          <w:rFonts w:ascii="Microsoft YaHei" w:hAnsi="Microsoft YaHei" w:eastAsia="Microsoft YaHei" w:cs="Microsoft YaHei"/>
        </w:rPr>
        <w:t>年</w:t>
      </w:r>
      <w:r>
        <w:rPr>
          <w:rFonts w:ascii="MS Gothic" w:hAnsi="MS Gothic" w:eastAsia="MS Gothic" w:cs="MS Gothic"/>
        </w:rPr>
        <w:t>までの</w:t>
      </w:r>
      <w:r>
        <w:rPr>
          <w:rFonts w:ascii="Microsoft YaHei" w:hAnsi="Microsoft YaHei" w:eastAsia="Microsoft YaHei" w:cs="Microsoft YaHei"/>
        </w:rPr>
        <w:t>四</w:t>
      </w:r>
      <w:r>
        <w:rPr>
          <w:rFonts w:ascii="MS Gothic" w:hAnsi="MS Gothic" w:eastAsia="MS Gothic" w:cs="MS Gothic"/>
        </w:rPr>
        <w:t>つの</w:t>
      </w:r>
      <w:r>
        <w:rPr>
          <w:rFonts w:ascii="Microsoft YaHei" w:hAnsi="Microsoft YaHei" w:eastAsia="Microsoft YaHei" w:cs="Microsoft YaHei"/>
        </w:rPr>
        <w:t>道標</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すべて</w:t>
      </w:r>
      <w:r>
        <w:rPr>
          <w:rFonts w:ascii="Microsoft YaHei" w:hAnsi="Microsoft YaHei" w:eastAsia="Microsoft YaHei" w:cs="Microsoft YaHei"/>
        </w:rPr>
        <w:t>一日</w:t>
      </w:r>
      <w:r>
        <w:rPr>
          <w:rFonts w:ascii="MS Gothic" w:hAnsi="MS Gothic" w:eastAsia="MS Gothic" w:cs="MS Gothic"/>
        </w:rPr>
        <w:t>を</w:t>
      </w:r>
      <w:r>
        <w:rPr>
          <w:rFonts w:ascii="Microsoft YaHei" w:hAnsi="Microsoft YaHei" w:eastAsia="Microsoft YaHei" w:cs="Microsoft YaHei"/>
        </w:rPr>
        <w:t>一年</w:t>
      </w:r>
      <w:r>
        <w:rPr>
          <w:rFonts w:ascii="MS Gothic" w:hAnsi="MS Gothic" w:eastAsia="MS Gothic" w:cs="MS Gothic"/>
        </w:rPr>
        <w:t>とする</w:t>
      </w:r>
      <w:r>
        <w:rPr>
          <w:rFonts w:ascii="Microsoft YaHei" w:hAnsi="Microsoft YaHei" w:eastAsia="Microsoft YaHei" w:cs="Microsoft YaHei"/>
        </w:rPr>
        <w:t>原則</w:t>
      </w:r>
      <w:r>
        <w:rPr>
          <w:rFonts w:ascii="MS Gothic" w:hAnsi="MS Gothic" w:eastAsia="MS Gothic" w:cs="MS Gothic"/>
        </w:rPr>
        <w:t>に</w:t>
      </w:r>
      <w:r>
        <w:rPr>
          <w:rFonts w:ascii="Microsoft YaHei" w:hAnsi="Microsoft YaHei" w:eastAsia="Microsoft YaHei" w:cs="Microsoft YaHei"/>
        </w:rPr>
        <w:t>関連</w:t>
      </w:r>
      <w:r>
        <w:rPr>
          <w:rFonts w:ascii="MS Gothic" w:hAnsi="MS Gothic" w:eastAsia="MS Gothic" w:cs="MS Gothic"/>
        </w:rPr>
        <w:t>していた</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យូដាត្រូវបានតែងតាំងឲ្យជាអ្នករក្សាទុកក្រឹត្យវិន័យរបស់ព្រះ</w:t>
      </w:r>
      <w:r>
        <w:rPr>
          <w:rFonts w:ascii="Times New Roman" w:hAnsi="Times New Roman" w:eastAsia="Times New Roman" w:cs="Times New Roman"/>
        </w:rPr>
        <w:t xml:space="preserve"> </w:t>
      </w:r>
      <w:r>
        <w:rPr>
          <w:rFonts w:ascii="Leelawadee UI" w:hAnsi="Leelawadee UI" w:eastAsia="Leelawadee UI" w:cs="Leelawadee UI"/>
        </w:rPr>
        <w:t>ហើយប្រធានបទដែលត្រូវបានតំណាងនៅក្នុងខ្សែបន្ទាត់របស់ម៉ូសេ</w:t>
      </w:r>
      <w:r>
        <w:rPr>
          <w:rFonts w:ascii="Times New Roman" w:hAnsi="Times New Roman" w:eastAsia="Times New Roman" w:cs="Times New Roman"/>
        </w:rPr>
        <w:t xml:space="preserve"> </w:t>
      </w:r>
      <w:r>
        <w:rPr>
          <w:rFonts w:ascii="Leelawadee UI" w:hAnsi="Leelawadee UI" w:eastAsia="Leelawadee UI" w:cs="Leelawadee UI"/>
        </w:rPr>
        <w:t>គឺក្រឹត្យវិន័យរបស់ព្រះ</w:t>
      </w:r>
      <w:r>
        <w:rPr>
          <w:rFonts w:ascii="Times New Roman" w:hAnsi="Times New Roman" w:eastAsia="Times New Roman" w:cs="Times New Roman"/>
        </w:rPr>
        <w:t xml:space="preserve"> </w:t>
      </w:r>
      <w:r>
        <w:rPr>
          <w:rFonts w:ascii="Leelawadee UI" w:hAnsi="Leelawadee UI" w:eastAsia="Leelawadee UI" w:cs="Leelawadee UI"/>
        </w:rPr>
        <w:t>និងបញ្ញត្តិទាំងឡាយ។</w:t>
      </w:r>
      <w:r>
        <w:rPr>
          <w:rFonts w:ascii="Times New Roman" w:hAnsi="Times New Roman" w:eastAsia="Times New Roman" w:cs="Times New Roman"/>
        </w:rPr>
        <w:t xml:space="preserve"> </w:t>
      </w:r>
      <w:r>
        <w:rPr>
          <w:rFonts w:ascii="Leelawadee UI" w:hAnsi="Leelawadee UI" w:eastAsia="Leelawadee UI" w:cs="Leelawadee UI"/>
        </w:rPr>
        <w:t>នៅក្នុងប្រវត្តិសាស្ត្ររបស់ដាវីឌ</w:t>
      </w:r>
      <w:r>
        <w:rPr>
          <w:rFonts w:ascii="Times New Roman" w:hAnsi="Times New Roman" w:eastAsia="Times New Roman" w:cs="Times New Roman"/>
        </w:rPr>
        <w:t xml:space="preserve"> </w:t>
      </w:r>
      <w:r>
        <w:rPr>
          <w:rFonts w:ascii="Leelawadee UI" w:hAnsi="Leelawadee UI" w:eastAsia="Leelawadee UI" w:cs="Leelawadee UI"/>
        </w:rPr>
        <w:t>វាក៏ជាក្រឹត្យវិន័យរបស់ព្រះដដែល។</w:t>
      </w:r>
      <w:r>
        <w:rPr>
          <w:rFonts w:ascii="Times New Roman" w:hAnsi="Times New Roman" w:eastAsia="Times New Roman" w:cs="Times New Roman"/>
        </w:rPr>
        <w:t xml:space="preserve"> </w:t>
      </w:r>
      <w:r>
        <w:rPr>
          <w:rFonts w:ascii="Leelawadee UI" w:hAnsi="Leelawadee UI" w:eastAsia="Leelawadee UI" w:cs="Leelawadee UI"/>
        </w:rPr>
        <w:t>នៅក្នុងប្រវត្តិសាស្ត្ររបស់ព្រះគ្រីស្ទ</w:t>
      </w:r>
      <w:r>
        <w:rPr>
          <w:rFonts w:ascii="Times New Roman" w:hAnsi="Times New Roman" w:eastAsia="Times New Roman" w:cs="Times New Roman"/>
        </w:rPr>
        <w:t xml:space="preserve"> </w:t>
      </w:r>
      <w:r>
        <w:rPr>
          <w:rFonts w:ascii="Leelawadee UI" w:hAnsi="Leelawadee UI" w:eastAsia="Leelawadee UI" w:cs="Leelawadee UI"/>
        </w:rPr>
        <w:t>វាក៏ជាក្រឹត្យវិន័យរបស់ព្រះដែរ</w:t>
      </w:r>
      <w:r>
        <w:rPr>
          <w:rFonts w:ascii="Times New Roman" w:hAnsi="Times New Roman" w:eastAsia="Times New Roman" w:cs="Times New Roman"/>
        </w:rPr>
        <w:t xml:space="preserve"> </w:t>
      </w:r>
      <w:r>
        <w:rPr>
          <w:rFonts w:ascii="Leelawadee UI" w:hAnsi="Leelawadee UI" w:eastAsia="Leelawadee UI" w:cs="Leelawadee UI"/>
        </w:rPr>
        <w:t>ពីព្រោះ</w:t>
      </w:r>
      <w:r>
        <w:rPr>
          <w:rFonts w:ascii="Times New Roman" w:hAnsi="Times New Roman" w:eastAsia="Times New Roman" w:cs="Times New Roman"/>
        </w:rPr>
        <w:t xml:space="preserve"> </w:t>
      </w:r>
      <w:r>
        <w:rPr>
          <w:rFonts w:ascii="Leelawadee UI" w:hAnsi="Leelawadee UI" w:eastAsia="Leelawadee UI" w:cs="Leelawadee UI"/>
        </w:rPr>
        <w:t>បើគ្មានការបង្ហូរឈាមទេ</w:t>
      </w:r>
      <w:r>
        <w:rPr>
          <w:rFonts w:ascii="Times New Roman" w:hAnsi="Times New Roman" w:eastAsia="Times New Roman" w:cs="Times New Roman"/>
        </w:rPr>
        <w:t xml:space="preserve"> </w:t>
      </w:r>
      <w:r>
        <w:rPr>
          <w:rFonts w:ascii="Leelawadee UI" w:hAnsi="Leelawadee UI" w:eastAsia="Leelawadee UI" w:cs="Leelawadee UI"/>
        </w:rPr>
        <w:t>នោះក៏គ្មានការអត់ទោសចំពោះអំពើបាបដែលត្រូវបានសម្ដែងឲ្យមនុស្សមានបាបបានដឹងដោយក្រឹត្យវិន័យរបស់ព្រះឡើយ។</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អាដវេនទីសត៍ត្រូវបានតែងតាំងឲ្យជាអ្នករក្សាទុក</w:t>
      </w:r>
      <w:r>
        <w:rPr>
          <w:rFonts w:ascii="Times New Roman" w:hAnsi="Times New Roman" w:eastAsia="Times New Roman" w:cs="Times New Roman"/>
        </w:rPr>
        <w:t xml:space="preserve"> </w:t>
      </w:r>
      <w:r>
        <w:rPr>
          <w:rFonts w:ascii="Leelawadee UI" w:hAnsi="Leelawadee UI" w:eastAsia="Leelawadee UI" w:cs="Leelawadee UI"/>
        </w:rPr>
        <w:t>មិនត្រឹមតែក្រឹត្យវិន័យរបស់ព្រះប៉ុណ្ណោះទេ</w:t>
      </w:r>
      <w:r>
        <w:rPr>
          <w:rFonts w:ascii="Times New Roman" w:hAnsi="Times New Roman" w:eastAsia="Times New Roman" w:cs="Times New Roman"/>
        </w:rPr>
        <w:t xml:space="preserve"> </w:t>
      </w:r>
      <w:r>
        <w:rPr>
          <w:rFonts w:ascii="Leelawadee UI" w:hAnsi="Leelawadee UI" w:eastAsia="Leelawadee UI" w:cs="Leelawadee UI"/>
        </w:rPr>
        <w:t>ប៉ុន្តែទាំងព្រះបន្ទូលទំនាយផងដែរ។</w:t>
      </w:r>
    </w:p>
    <w:p>
      <w:pPr>
        <w:pStyle w:val="ArticleBody"/>
        <w:jc w:val="left"/>
      </w:pPr>
      <w:r>
        <w:rPr>
          <w:rFonts w:ascii="Times New Roman" w:hAnsi="Times New Roman" w:eastAsia="Times New Roman" w:cs="Times New Roman"/>
        </w:rPr>
        <w:t>Por lo tanto, el tema en la línea de la historia millerita son las reglas proféticas de Dios. Al final del adventismo, una vez más se tratará de las reglas de la interpretación profética, pero desde 1844 ya no debe aplicarse el tiempo profético. Las reglas del fin se basan en que el Alfa y la Omega ilustran el fin desde el principio.</w:t>
      </w:r>
    </w:p>
    <w:p>
      <w:pPr>
        <w:pStyle w:val="ArticleBody"/>
        <w:jc w:val="left"/>
      </w:pPr>
      <w:r>
        <w:rPr>
          <w:rFonts w:ascii="Times New Roman" w:hAnsi="Times New Roman" w:eastAsia="Times New Roman" w:cs="Times New Roman"/>
        </w:rPr>
        <w:t>عندما انتهت السيادة العثمانية إتمامًا للويل الثاني، الممثِّل للنشاط النبوي للإسلام، تحققت نبوة الثلاثمئة وإحدى وتسعين سنة وخمسة عشر يومًا الواردة في رؤيا 9:15، وتأكد مبدأ «اليوم عوضًا عن سنة»، الذي هو صميم عمل ميلر.</w:t>
      </w:r>
    </w:p>
    <w:p>
      <w:pPr>
        <w:pStyle w:val="ArticleBody"/>
        <w:jc w:val="left"/>
      </w:pPr>
      <w:r>
        <w:rPr>
          <w:rFonts w:ascii="Times New Roman" w:hAnsi="Times New Roman" w:eastAsia="Times New Roman" w:cs="Times New Roman"/>
        </w:rPr>
        <w:t>Waanaa Islaam bara Fulbaana 11, 2001 tti rukutee, dhufaatiin wayyoo sadaffaa raawwii Mul’ata 8:13 tiin guutamee, qajeelfamni garaa hojii Future for America ta’e sun mirkanaa’e; qajeelfamni sunis salphaatti yoo ibsamu, seenaa irra deebi’uu isaati. Raajiin malakataa wayyoo tokkoo Islaamiin bakka bu’ame sun yeroo ergamaan Mul’ata boqonnaa kudhan keessaa bara 1840 fi ergamaan Mul’ata boqonnaa kudha saddeet keessaa bara 2001 raawwataman mirkanaa’e. Seenaan irra deebi’e. Wanti itti aanu akka eegamu immoo abdii kutannaa dha.</w:t>
      </w:r>
    </w:p>
    <w:p>
      <w:pPr>
        <w:pStyle w:val="ArticleBody"/>
        <w:jc w:val="left"/>
      </w:pPr>
      <w:r>
        <w:rPr>
          <w:rFonts w:ascii="Nirmala UI" w:hAnsi="Nirmala UI" w:eastAsia="Nirmala UI" w:cs="Nirmala UI"/>
        </w:rPr>
        <w:t>ਪਰੇਸ਼ਾਨੀ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ਦੇਰੀ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ਲਿਆਉਂਦੀ।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ਪਰਾਭਵ</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ਕਾਰਜ</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ਨਿਰੁਤਸਾਹ</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ਤਿਤਰ</w:t>
      </w:r>
      <w:r>
        <w:rPr>
          <w:rFonts w:ascii="Times New Roman" w:hAnsi="Times New Roman" w:eastAsia="Times New Roman" w:cs="Times New Roman"/>
        </w:rPr>
        <w:t>-</w:t>
      </w:r>
      <w:r>
        <w:rPr>
          <w:rFonts w:ascii="Nirmala UI" w:hAnsi="Nirmala UI" w:eastAsia="Nirmala UI" w:cs="Nirmala UI"/>
        </w:rPr>
        <w:t>ਬਿਤਰ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ਪਰਾਭਵ</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ਅਣਗਹਿਲੀ</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w:t>
      </w:r>
      <w:r>
        <w:rPr>
          <w:rFonts w:ascii="Nirmala UI" w:hAnsi="Nirmala UI" w:eastAsia="Nirmala UI" w:cs="Nirmala UI"/>
        </w:rPr>
        <w:t>ਅਸਲ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ਪ੍ਰਥਮ</w:t>
      </w:r>
      <w:r>
        <w:rPr>
          <w:rFonts w:ascii="Times New Roman" w:hAnsi="Times New Roman" w:eastAsia="Times New Roman" w:cs="Times New Roman"/>
        </w:rPr>
        <w:t xml:space="preserve"> </w:t>
      </w:r>
      <w:r>
        <w:rPr>
          <w:rFonts w:ascii="Nirmala UI" w:hAnsi="Nirmala UI" w:eastAsia="Nirmala UI" w:cs="Nirmala UI"/>
        </w:rPr>
        <w:t>ਨਿਯਮ</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ਐਡਵੈਂਟਿਜ਼ਮ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11 </w:t>
      </w:r>
      <w:r>
        <w:rPr>
          <w:rFonts w:ascii="Nirmala UI" w:hAnsi="Nirmala UI" w:eastAsia="Nirmala UI" w:cs="Nirmala UI"/>
        </w:rPr>
        <w:t>ਸਤੰਬਰ</w:t>
      </w:r>
      <w:r>
        <w:rPr>
          <w:rFonts w:ascii="Times New Roman" w:hAnsi="Times New Roman" w:eastAsia="Times New Roman" w:cs="Times New Roman"/>
        </w:rPr>
        <w:t xml:space="preserve"> 2001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18 </w:t>
      </w:r>
      <w:r>
        <w:rPr>
          <w:rFonts w:ascii="Nirmala UI" w:hAnsi="Nirmala UI" w:eastAsia="Nirmala UI" w:cs="Nirmala UI"/>
        </w:rPr>
        <w:t>ਜੁਲਾਈ</w:t>
      </w:r>
      <w:r>
        <w:rPr>
          <w:rFonts w:ascii="Times New Roman" w:hAnsi="Times New Roman" w:eastAsia="Times New Roman" w:cs="Times New Roman"/>
        </w:rPr>
        <w:t xml:space="preserve"> 2020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ਨਿਰਾਸ਼ਾ</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ਦੱਸਿਆ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ਸੈਮੂਅਲ</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22 </w:t>
      </w:r>
      <w:r>
        <w:rPr>
          <w:rFonts w:ascii="Nirmala UI" w:hAnsi="Nirmala UI" w:eastAsia="Nirmala UI" w:cs="Nirmala UI"/>
        </w:rPr>
        <w:t>ਅਕਤੂਬਰ</w:t>
      </w:r>
      <w:r>
        <w:rPr>
          <w:rFonts w:ascii="Times New Roman" w:hAnsi="Times New Roman" w:eastAsia="Times New Roman" w:cs="Times New Roman"/>
        </w:rPr>
        <w:t xml:space="preserve"> 1844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ਤਾਰੀਖ਼</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ਸਕੇ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1843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ਚਾਰਟ</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ਕੁਝ</w:t>
      </w:r>
      <w:r>
        <w:rPr>
          <w:rFonts w:ascii="Times New Roman" w:hAnsi="Times New Roman" w:eastAsia="Times New Roman" w:cs="Times New Roman"/>
        </w:rPr>
        <w:t xml:space="preserve"> </w:t>
      </w:r>
      <w:r>
        <w:rPr>
          <w:rFonts w:ascii="Nirmala UI" w:hAnsi="Nirmala UI" w:eastAsia="Nirmala UI" w:cs="Nirmala UI"/>
        </w:rPr>
        <w:t>ਅੰਕੜਿਆਂ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ਭੁੱਲ</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ਹੱਥ</w:t>
      </w:r>
      <w:r>
        <w:rPr>
          <w:rFonts w:ascii="Times New Roman" w:hAnsi="Times New Roman" w:eastAsia="Times New Roman" w:cs="Times New Roman"/>
        </w:rPr>
        <w:t xml:space="preserve"> </w:t>
      </w:r>
      <w:r>
        <w:rPr>
          <w:rFonts w:ascii="Nirmala UI" w:hAnsi="Nirmala UI" w:eastAsia="Nirmala UI" w:cs="Nirmala UI"/>
        </w:rPr>
        <w:t>ਹਟਾ</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ਮਿਲਰਾਈਟਸ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ਵੇਖਿਆ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1843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ਵਰ੍ਹਾ</w:t>
      </w:r>
      <w:r>
        <w:rPr>
          <w:rFonts w:ascii="Times New Roman" w:hAnsi="Times New Roman" w:eastAsia="Times New Roman" w:cs="Times New Roman"/>
        </w:rPr>
        <w:t xml:space="preserve"> </w:t>
      </w:r>
      <w:r>
        <w:rPr>
          <w:rFonts w:ascii="Nirmala UI" w:hAnsi="Nirmala UI" w:eastAsia="Nirmala UI" w:cs="Nirmala UI"/>
        </w:rPr>
        <w:t>ਨਿਰਧਾਰਤ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ਵਾਸਤੇ</w:t>
      </w:r>
      <w:r>
        <w:rPr>
          <w:rFonts w:ascii="Times New Roman" w:hAnsi="Times New Roman" w:eastAsia="Times New Roman" w:cs="Times New Roman"/>
        </w:rPr>
        <w:t xml:space="preserve"> </w:t>
      </w:r>
      <w:r>
        <w:rPr>
          <w:rFonts w:ascii="Nirmala UI" w:hAnsi="Nirmala UI" w:eastAsia="Nirmala UI" w:cs="Nirmala UI"/>
        </w:rPr>
        <w:t>ਪ੍ਰੇਰਿਤ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ਠੀਕ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ਮੰਨਿਆ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22 </w:t>
      </w:r>
      <w:r>
        <w:rPr>
          <w:rFonts w:ascii="Nirmala UI" w:hAnsi="Nirmala UI" w:eastAsia="Nirmala UI" w:cs="Nirmala UI"/>
        </w:rPr>
        <w:t>ਅਕਤੂਬਰ</w:t>
      </w:r>
      <w:r>
        <w:rPr>
          <w:rFonts w:ascii="Times New Roman" w:hAnsi="Times New Roman" w:eastAsia="Times New Roman" w:cs="Times New Roman"/>
        </w:rPr>
        <w:t xml:space="preserve"> 1844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ਸਮਰਥਾ</w:t>
      </w:r>
      <w:r>
        <w:rPr>
          <w:rFonts w:ascii="Times New Roman" w:hAnsi="Times New Roman" w:eastAsia="Times New Roman" w:cs="Times New Roman"/>
        </w:rPr>
        <w:t xml:space="preserve"> </w:t>
      </w:r>
      <w:r>
        <w:rPr>
          <w:rFonts w:ascii="Nirmala UI" w:hAnsi="Nirmala UI" w:eastAsia="Nirmala UI" w:cs="Nirmala UI"/>
        </w:rPr>
        <w:t>ਦਿੱਤੀ।</w:t>
      </w:r>
    </w:p>
    <w:p>
      <w:pPr>
        <w:pStyle w:val="ArticleScripture"/>
        <w:jc w:val="left"/>
      </w:pPr>
      <w:r>
        <w:rPr>
          <w:rFonts w:ascii="Times New Roman" w:hAnsi="Times New Roman" w:eastAsia="Times New Roman" w:cs="Times New Roman"/>
        </w:rPr>
        <w:t>“Yesus dan seluruh bala tentara sorga memandang dengan simpati dan kasih kepada mereka yang, dengan pengharapan yang manis, telah lama merindukan untuk melihat Dia yang dikasihi oleh jiwa mereka. Malaikat-malaikat melayang-layang di sekeliling mereka untuk menopang mereka pada saat pencobaan mereka. Mereka yang telah lalai menerima pekabaran sorgawi itu dibiarkan dalam kegelapan, dan murka Allah menyala terhadap mereka, karena mereka tidak mau menerima terang yang telah dikirimkan-Nya kepada mereka dari sorga. Orang-orang yang setia namun kecewa itu, yang tidak dapat memahami mengapa Tuhan mereka tidak datang, tidak dibiarkan dalam kegelapan. Sekali lagi mereka dituntun kepada Alkitab mereka untuk menyelidiki masa-masa nubuatan. Tangan Tuhan disingkirkan dari angka-angka itu, dan kesalahan itu dijelaskan. Mereka melihat bahwa masa-masa nubuatan itu mencapai tahun 1844, dan bahwa bukti yang sama yang telah mereka kemukakan untuk menunjukkan bahwa masa-masa nubuatan itu berakhir pada tahun 1843, membuktikan bahwa masa-masa itu akan berakhir pada tahun 1844. Terang dari Firman Allah bersinar atas kedudukan mereka, dan mereka menemukan suatu masa penangguhan—‘Sekalipun penglihatan itu berlambat-lambat, nantikanlah itu.’ Dalam kasih mereka akan kedatangan Kristus yang segera, mereka telah mengabaikan kelambatan penglihatan itu, yang dimaksudkan untuk menyatakan siapa sesungguhnya orang-orang yang menanti. Sekali lagi mereka memiliki suatu titik waktu. Namun aku melihat bahwa banyak dari antara mereka tidak dapat bangkit melampaui kekecewaan mereka yang sangat berat untuk memiliki derajat semangat dan tenaga yang telah menandai iman mereka pada tahun 1843.” Early Writings, 236, 237.</w:t>
      </w:r>
    </w:p>
    <w:p>
      <w:pPr>
        <w:pStyle w:val="ArticleBody"/>
        <w:jc w:val="left"/>
      </w:pPr>
      <w:r>
        <w:rPr>
          <w:rFonts w:ascii="Times New Roman" w:hAnsi="Times New Roman" w:eastAsia="Times New Roman" w:cs="Times New Roman"/>
        </w:rPr>
        <w:t>Tunapaswa kutazamia kwamba ushahidi uliosababisha utabiri wa Uislamu kuishambulia Marekani tarehe 18 Julai 2020, ungethibitisha kwamba katika sheria ya Jumapili inayokaribia kuja upesi, Uislamu ndiyo hukumu inayokuja juu ya Marekani, huku kipengele cha wakati kikiwa hakihusianishwi tena na tukio hilo.</w:t>
      </w:r>
    </w:p>
    <w:p>
      <w:pPr>
        <w:pStyle w:val="ArticleBody"/>
        <w:jc w:val="left"/>
      </w:pPr>
      <w:r>
        <w:rPr>
          <w:rFonts w:ascii="Times New Roman" w:hAnsi="Times New Roman" w:eastAsia="Times New Roman" w:cs="Times New Roman"/>
        </w:rPr>
        <w:t>Cztery główne drogowskazy w historii od 1840 do 1844 roku. Każdy drogowskaz jest związany z zastosowaniem podstawowej zasady Millera — zasady dnia za rok.</w:t>
      </w:r>
    </w:p>
    <w:p>
      <w:pPr>
        <w:pStyle w:val="ArticleBody"/>
        <w:jc w:val="left"/>
      </w:pPr>
      <w:r>
        <w:rPr>
          <w:rFonts w:ascii="Times New Roman" w:hAnsi="Times New Roman" w:eastAsia="Times New Roman" w:cs="Times New Roman"/>
        </w:rPr>
        <w:t>ff дахь 2001 оны түүхэнд, Ням гаргийн хуулийн үе хүртэлх дөрвөн үндсэн замын тэмдэг бий. 2001 оны 9 дүгээр сарын 11 нь Ислам байв. 2020 оны 7 дугаар сарын 18-ны бүтэлгүй зөгнөл ч Исламын тухай байсан. Замын тэмдэг бүр Future for America-ийн үндсэн дүрэм болох түүхийн давталтын хэрэглээтэй холбоотой. “Долоон аянга” нь ирээдүйн, өөрсдийн дарааллаар илчлэгдэх үйл явдлуудыг төлөөлдөг. Дөрвөн замын тэмдгийн эхнийх нь 2001 оны 9 дүгээр сарын 11 бөгөөд энэ нь гурав дахь гамшгийн биелэл дотор Исламын зүгээс Америкийн Нэгдсэн Улсад хийсэн дайралтыг тодорхойлсон. Бидний түүхэн дэх Ням гаргийн хуулийг төлөөлөх сүүлчийн замын тэмдэг нь заавал Исламын тухай байх ёстой. Учир нь Альфа ба Омега нь төгсгөлийг эхлэлээс нь үргэлж дүрслэн харуулдаг бөгөөд Альфа ба Омега бол энэ л түүхийн төлөө “долоон аянга”-ыг лацдан хаасан Нэгэн мөн. Ням гаргийн хуулийн үед Ислам Америкийн Нэгдсэн Улсад халдан довтлох болно.</w:t>
      </w:r>
    </w:p>
    <w:p>
      <w:pPr>
        <w:pStyle w:val="ArticleBody"/>
        <w:jc w:val="left"/>
      </w:pPr>
      <w:r>
        <w:rPr>
          <w:rFonts w:ascii="Times New Roman" w:hAnsi="Times New Roman" w:eastAsia="Times New Roman" w:cs="Times New Roman"/>
        </w:rPr>
        <w:t>Ceci est l’un des trois éléments principaux du descèlement des sept tonnerres qui est maintenant en train d’être révélé. Une fois que Moïse eut proclamé le message préfigurant le Cri de Minuit dans sa ligne d’histoire, les derniers mouvements furent rapides. Dix plaies surnaturelles et dévastatrices, jusqu’à ce que la prophétie concernant les premiers-nés fût accomplie, produisant le cri de minuit en Égypte. Une fois que le Christ entra dans Jérusalem, les étapes rapides menant à la croix étaient en cours. Lorsque le message fut proclamé, il n’y avait plus de retour en arrière. Depuis le camp-meeting d’Exeter du 12 août 1844, moins de deux mois plus tard, la prédiction fut accomplie.</w:t>
      </w:r>
    </w:p>
    <w:p>
      <w:pPr>
        <w:pStyle w:val="ArticleScripture"/>
        <w:jc w:val="left"/>
      </w:pPr>
      <w:r>
        <w:rPr>
          <w:rFonts w:ascii="Times New Roman" w:hAnsi="Times New Roman" w:eastAsia="Times New Roman" w:cs="Times New Roman"/>
        </w:rPr>
        <w:t>۽ خداوند جو ڪلام مون وٽ آيو، فرمائيندي: اي ابنِ آدم، هيءَ ڪهڙي مثل آهي جيڪا اوهان وٽ اسرائيل جي ملڪ ۾ هلي ٿي، جو چوندا آهيو: ڏينهن ڊگها ٿين ٿا وڃن، ۽ هر رويا ناڪام ٿئي ٿو؟ تنهن ڪري انهن کي چئو: خداوند خدا هيئن فرمائي ٿو؛ آءٌ هن مثل کي بند ڪرائيندس، ۽ پوءِ هو ان کي اسرائيل ۾ مثل ڪري وڌيڪ ڪڏهن به استعمال نه ڪندا؛ پر انهن کي چئو: ڏينهن ويجها اچي پهتا آهن، ۽ هر رويا جي پوري ٿيڻ جو وقت به. ڇو ته اسرائيل جي گهر ۾ پوءِ نه ڪو ڪوڙو رويا رهندو، ۽ نه خوشامدي فالگيري. ڇاڪاڻتہ آءٌ خداوند آهيان: آءٌ ڳالهائيندس، ۽ جيڪو ڪلام آءٌ ڳالهائيندس سو پورو ٿيندو؛ ان ۾ وڌيڪ دير نه ٿيندي: ڇو ته او باغي گهرانا، اوهان جي ئي ڏينهن ۾ آءٌ ڪلام چوندس ۽ ان کي پورو به ڪندس، خداوند خدا فرمائي ٿو. وري خداوند جو ڪلام مون وٽ آيو، فرمائيندي: اي ابنِ آدم، ڏس، اسرائيل جي گهر وارا چون ٿا: جيڪو رويا هو ڏسي ٿو، سو گهڻن ڏينهن کان پوءِ لاءِ آهي، ۽ هو ڏورانهن زمانن بابت نبوت ڪري ٿو. تنهن ڪري انهن کي چئو: خداوند خدا هيئن فرمائي ٿو؛ منهنجي ڪنهن به ڪلام ۾ هاڻي وڌيڪ دير نه ٿيندي، پر جيڪو ڪلام آءٌ چيو آهي سو پورو ڪيو ويندو، خداوند خدا فرمائي ٿو. حزقي ايل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L’avenir de l’Amérique et le 18 juillet 2020 — Numéro trois</dc:title>
  <dc:subject>Enyimpela ameho abonako, nendlebe letevako.</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