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zu zukünfte und 18. Juli 2020 – Nummer Sechs</w:t>
      </w:r>
    </w:p>
    <w:p>
      <w:pPr>
        <w:pStyle w:val="ArticleSubtitle"/>
        <w:jc w:val="left"/>
      </w:pPr>
      <w:r>
        <w:rPr>
          <w:rFonts w:ascii="Arial" w:hAnsi="Arial" w:eastAsia="Arial" w:cs="Arial"/>
        </w:rPr>
        <w:t>Ff знамение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Na baada ya siku tatu na nusu roho ya uzima itokayo kwa Mungu ikawingia ndani yao, nao wakasimama kwa miguu yao; hofu kuu ikawapata wale waliowaona. Nao wakasikia sauti kuu kutoka mbinguni ikiwaambia, Njoni huku juu. Nao wakapaa kwenda mbinguni katika wingu; na adui zao wakawaona. Ufunuo 11:11, 12.</w:t>
      </w:r>
    </w:p>
    <w:p>
      <w:pPr>
        <w:pStyle w:val="ArticleBody"/>
        <w:jc w:val="left"/>
      </w:pPr>
      <w:r>
        <w:rPr>
          <w:rFonts w:ascii="Times New Roman" w:hAnsi="Times New Roman" w:eastAsia="Times New Roman" w:cs="Times New Roman"/>
        </w:rPr>
        <w:t>Fi du pétrinés dans la rue, Élie et Moïse reçoivent le Consolateur, et alors ils se tiennent sur leurs pieds. Les ossements de la vallée d’Ézéchiel entendent d’abord un bruit, puis éprouvent un ébranlement, mais ils étaient encore sans souffle.</w:t>
      </w:r>
    </w:p>
    <w:p>
      <w:pPr>
        <w:pStyle w:val="ArticleScripture"/>
        <w:jc w:val="left"/>
      </w:pPr>
      <w:r>
        <w:rPr>
          <w:rFonts w:ascii="Times New Roman" w:hAnsi="Times New Roman" w:eastAsia="Times New Roman" w:cs="Times New Roman"/>
        </w:rPr>
        <w:t>Alors je prophétisai comme il m’avait été commandé ; et tandis que je prophétisais, il y eut un bruit, et voici, un tremblement ; et les os se rapprochèrent, os à son os. Et je regardai, et voici, les nerfs et la chair montèrent sur eux, et la peau les recouvrit par-dessus ; mais il n’y avait point de souffle en eux. Ézéchiel 37:7, 8.</w:t>
      </w:r>
    </w:p>
    <w:p>
      <w:pPr>
        <w:pStyle w:val="ArticleBody"/>
        <w:jc w:val="left"/>
      </w:pPr>
      <w:r>
        <w:rPr>
          <w:rFonts w:ascii="Times New Roman" w:hAnsi="Times New Roman" w:eastAsia="Times New Roman" w:cs="Times New Roman"/>
        </w:rPr>
        <w:t>Mi baa ti tun àwọn ara náà dá padà sípò, wọ́n gbọ́ ìhìn iṣẹ́ àwọn ẹ̀fúùfù mẹ́rin náà.</w:t>
      </w:r>
    </w:p>
    <w:p>
      <w:pPr>
        <w:pStyle w:val="ArticleScripture"/>
        <w:jc w:val="left"/>
      </w:pPr>
      <w:r>
        <w:rPr>
          <w:rFonts w:ascii="Times New Roman" w:hAnsi="Times New Roman" w:eastAsia="Times New Roman" w:cs="Times New Roman"/>
        </w:rPr>
        <w:t>Puis il me dit : Prophétise au vent, prophétise, fils de l’homme, et dis au vent : Ainsi parle le Seigneur, l’Éternel : Viens des quatre vents, ô souffle, et souffle sur ces morts, afin qu’ils revivent. Je prophétisai donc, selon l’ordre qu’il m’avait donné ; et le souffle entra en eux, et ils reprirent vie, et se tinrent sur leurs pieds : une armée extrêmement nombreuse. Ézéchiel 37:9, 10.</w:t>
      </w:r>
    </w:p>
    <w:p>
      <w:pPr>
        <w:pStyle w:val="ArticleBody"/>
        <w:jc w:val="left"/>
      </w:pPr>
      <w:r>
        <w:rPr>
          <w:rFonts w:ascii="Nirmala UI" w:hAnsi="Nirmala UI" w:eastAsia="Nirmala UI" w:cs="Nirmala UI"/>
        </w:rPr>
        <w:t>बिलकुल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दुविधा</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निःसंदेह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सरल</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फ़्रांसीसी</w:t>
      </w:r>
      <w:r>
        <w:rPr>
          <w:rFonts w:ascii="Times New Roman" w:hAnsi="Times New Roman" w:eastAsia="Times New Roman" w:cs="Times New Roman"/>
        </w:rPr>
        <w:t xml:space="preserve"> </w:t>
      </w:r>
      <w:r>
        <w:rPr>
          <w:rFonts w:ascii="Nirmala UI" w:hAnsi="Nirmala UI" w:eastAsia="Nirmala UI" w:cs="Nirmala UI"/>
        </w:rPr>
        <w:t>क्रान्ति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पूर्वधारणा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आपको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सामंजस्य</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ठहराई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Puis il me dit : Fils de l’homme, ces os, c’est toute la maison d’Israël. Voici, ils disent : Nos os sont desséchés, notre espérance est perdue, nous sommes retranchés. C’est pourquoi prophétise, et dis-leur : Ainsi parle le Seigneur, l’Éternel : Voici, ô mon peuple, j’ouvrirai vos sépulcres, je vous ferai remonter hors de vos sépulcres, et je vous ramènerai dans le pays d’Israël. Et vous saurez que je suis l’Éternel, lorsque j’ouvrirai vos sépulcres, ô mon peuple, et que je vous ferai remonter hors de vos sépulcres. Je mettrai mon Esprit en vous, et vous vivrez ; je vous rétablirai dans votre pays, et vous saurez que moi, l’Éternel, j’ai parlé et agi, dit l’Éternel. Ézéchiel 37:11–14.</w:t>
      </w:r>
    </w:p>
    <w:p>
      <w:pPr>
        <w:pStyle w:val="ArticleBody"/>
        <w:jc w:val="left"/>
      </w:pPr>
      <w:r>
        <w:rPr>
          <w:rFonts w:ascii="Times New Roman" w:hAnsi="Times New Roman" w:eastAsia="Times New Roman" w:cs="Times New Roman"/>
        </w:rPr>
        <w:t>Le Christ monta au ciel avec une nuée, et Il revient avec des nuées, et les nuées représentent les anges. Moïse et Élie montent au ciel dans une nuée qui représente le message du troisième ange volant au milieu du ciel au moment de la loi du dimanche aux États-Unis. Moïse et Élie montent au ciel au moment de la loi du dimanche, en relation avec un message de l’islam.</w:t>
      </w:r>
    </w:p>
    <w:p>
      <w:pPr>
        <w:pStyle w:val="ArticleBody"/>
        <w:jc w:val="left"/>
      </w:pPr>
      <w:r>
        <w:rPr>
          <w:rFonts w:ascii="Times New Roman" w:hAnsi="Times New Roman" w:eastAsia="Times New Roman" w:cs="Times New Roman"/>
        </w:rPr>
        <w:t>Ésaïe met en évidence nombre des vérités liées à cette histoire, et cela dans le passage même auquel Jésus se référa pour identifier son œuvre. Il prit les prophètes Élie et Élisée comme exemples d’un message prophétique qui n’avait pas été reçu par leurs propres compatriotes, et cela provoqua aussitôt la colère de ceux de l’Église à Nazareth, au point qu’ils cherchèrent à le faire mourir.</w:t>
      </w:r>
    </w:p>
    <w:p>
      <w:pPr>
        <w:pStyle w:val="ArticleScripture"/>
        <w:jc w:val="left"/>
      </w:pPr>
      <w:r>
        <w:rPr>
          <w:rFonts w:ascii="Times New Roman" w:hAnsi="Times New Roman" w:eastAsia="Times New Roman" w:cs="Times New Roman"/>
        </w:rPr>
        <w:t>Señor Yahweh Espíritu oĩ che ári; Yahweh che moñakarai marandu porã amombe’u hag̃ua umi imboriahúva-pe; che mbou ikatu hag̃uáicha ajokua umi py’aite ojejokóva, aikuaauka hag̃ua sãso umi oñemoingéva présope, ha okẽ jepe’a umi oñeñapytĩvape; aikuaauka hag̃ua arýpe Yahweh oguerohoryva’ekue, ha ore Jára ñembopochy ára; ambopy’aguapy hag̃ua opa umi hasẽvape; amoĩ hag̃ua Sión-pe umi hasẽvape, ame’ẽ hag̃ua chupekuéra porãgue tanimbu rendaguépe, vy’a ñandy óleo jehasa’asy rendaguépe, ha ñemomba’eguasu ao pyahe hag̃ua pytu pohýi rendaguépe; ikatu hag̃uáicha oñehenói chupekuéra tekojoja yvyramáta, Yahweh ñoty, ha’e hag̃ua oñemomba’eguasu. Ha ha’ekuéra omopu’ãta umi yma guare tenda oñehundíva, omopu’ã jeýta umi ymaite guive ojeheja va’ekue, ha omyatyrõta umi táva oñembyaíva, umi ñehundi heta ñemoñare aja guare. Ha ambue tetãyguakuéra opytáta omongaru pene ovechakuéra, ha umi pytagua ra’ykuéra ha’éta pene aradorkuéra ha pene parral ñangarekohára. Péro peẽ pene reráta Yahweh pa’ikuéra; tapichakuéra pene renóita ñande Ruete rembijokuáiha. Peẽ pe’úta umi tetã ambuegua mba’erepy, ha iñemomba’eguasúpe peñemomba’eguasúta. Pende tĩndýpe, mokõi pehupytyta; ha ñemotĩ rendaguépe ovy’áta hikuái iñerensia rehe; upévare ijyvýpe ohupytýta mokõi; vy’a opa’ỹva oĩta hesekuéra. Che Yahweh ahayhu tekojoja, ahecha vai mondaha mymbajuka hag̃ua reheve; ha ambohapéta hembiapo añetegua rupi, ha ajapóta hendivekuéra peteĩ ñe’ẽme’ẽ opa’ỹva. Ha iñemoñarekuéra ojekuaáta umi tetã ambuegua apytépe, ha heñóiva’erãkuéra tavayguakuéra apytépe; opa umi ohecháva chupekuéra ohechakuaáta, ha’ekuéraha pe ñemoñare Yahweh ohovasáva. Avy’aitéta Yahweh-pe, che ánga ovy’áta che Jára rehe; pórke che moñemonde salvación ao reheve, che aojaho’i tekojoja manto reheve, peteĩ noviomicha oñembokatupyry hag̃ua jeguaka reheve, ha peteĩ novia oñembojegua hag̃ua ipyapy kuéra reheve. Yvy oguenohẽháicha hoky pyahu, ha kokue omokakuaaháicha ipype oñeñotỹva; péicha Señor Yahweh omokakuaáta tekojoja ha ñemomba’eguasu opa tetãnguéra renondépe.</w:t>
      </w:r>
    </w:p>
    <w:p>
      <w:pPr>
        <w:pStyle w:val="ArticleScripture"/>
        <w:jc w:val="left"/>
      </w:pPr>
      <w:r>
        <w:rPr>
          <w:rFonts w:ascii="Times New Roman" w:hAnsi="Times New Roman" w:eastAsia="Times New Roman" w:cs="Times New Roman"/>
        </w:rPr>
        <w:t>Por amor de Sião não me calarei, e por amor de Jerusalém não descansarei, até que a sua justiça saia como o resplendor, e a sua salvação como uma tocha acesa. E os gentios verão a tua justiça, e todos os reis a tua glória; e serás chamada por um nome novo, que a boca do Senhor nomeará. Também serás uma coroa de glória na mão do Senhor, e um diadema real na mão do teu Deus. Nunca mais serás chamada Desamparada; nem a tua terra jamais será chamada Desolada; mas serás chamada Hefzibá, e a tua terra, Beulá; porque o Senhor se deleita em ti, e a tua terra será desposada. Porque, como o jovem desposa a virgem, assim teus filhos te desposarão; e, como o noivo se regozija da noiva, assim o teu Deus se regozijará de ti. Sobre os teus muros, ó Jerusalém, pus guardas, que nunca se calarão, nem de dia nem de noite; vós, os que fazeis menção do Senhor, não vos caleis. E não lhe deis descanso, até que estabeleça Jerusalém e a ponha por louvor na terra. O Senhor jurou pela sua mão direita e pelo braço da sua força: Certamente nunca mais darei o teu trigo por mantimento aos teus inimigos; nem os filhos dos estrangeiros beberão o teu vinho, pelo qual trabalhaste; mas os que o ajuntarem o comerão e louvarão ao Senhor; e os que o recolherem o beberão nos átrios da minha santidade. Passai, passai pelas portas; preparai o caminho do povo; aplainai, aplainai a estrada; tirai dela as pedras; arvorai uma bandeira para os povos. Eis que o Senhor proclamou até à extremidade da terra: Dizei à filha de Sião: Eis que a tua salvação vem; eis que o seu galardão está com ele, e a sua obra diante dele. E chamar-lhes-ão Povo Santo, Remidos do Senhor; e a ti te chamarão Procurada, Cidade não desamparada. Isaías 61:1–62:12.</w:t>
      </w:r>
    </w:p>
    <w:p>
      <w:pPr>
        <w:pStyle w:val="ArticleBody"/>
        <w:jc w:val="left"/>
      </w:pP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かつて</w:t>
      </w:r>
      <w:r>
        <w:rPr>
          <w:rFonts w:ascii="Microsoft YaHei" w:hAnsi="Microsoft YaHei" w:eastAsia="Microsoft YaHei" w:cs="Microsoft YaHei"/>
        </w:rPr>
        <w:t>「見捨</w:t>
      </w:r>
      <w:r>
        <w:rPr>
          <w:rFonts w:ascii="MS Gothic" w:hAnsi="MS Gothic" w:eastAsia="MS Gothic" w:cs="MS Gothic"/>
        </w:rPr>
        <w:t>てられた</w:t>
      </w:r>
      <w:r>
        <w:rPr>
          <w:rFonts w:ascii="Microsoft YaHei" w:hAnsi="Microsoft YaHei" w:eastAsia="Microsoft YaHei" w:cs="Microsoft YaHei"/>
        </w:rPr>
        <w:t>」者</w:t>
      </w:r>
      <w:r>
        <w:rPr>
          <w:rFonts w:ascii="MS Gothic" w:hAnsi="MS Gothic" w:eastAsia="MS Gothic" w:cs="MS Gothic"/>
        </w:rPr>
        <w:t>でありながら</w:t>
      </w:r>
      <w:r>
        <w:rPr>
          <w:rFonts w:ascii="Microsoft YaHei" w:hAnsi="Microsoft YaHei" w:eastAsia="Microsoft YaHei" w:cs="Microsoft YaHei"/>
        </w:rPr>
        <w:t>、後</w:t>
      </w:r>
      <w:r>
        <w:rPr>
          <w:rFonts w:ascii="MS Gothic" w:hAnsi="MS Gothic" w:eastAsia="MS Gothic" w:cs="MS Gothic"/>
        </w:rPr>
        <w:t>に</w:t>
      </w:r>
      <w:r>
        <w:rPr>
          <w:rFonts w:ascii="Microsoft YaHei" w:hAnsi="Microsoft YaHei" w:eastAsia="Microsoft YaHei" w:cs="Microsoft YaHei"/>
        </w:rPr>
        <w:t>「見捨</w:t>
      </w:r>
      <w:r>
        <w:rPr>
          <w:rFonts w:ascii="MS Gothic" w:hAnsi="MS Gothic" w:eastAsia="MS Gothic" w:cs="MS Gothic"/>
        </w:rPr>
        <w:t>てられることのない</w:t>
      </w:r>
      <w:r>
        <w:rPr>
          <w:rFonts w:ascii="Microsoft YaHei" w:hAnsi="Microsoft YaHei" w:eastAsia="Microsoft YaHei" w:cs="Microsoft YaHei"/>
        </w:rPr>
        <w:t>」「都」</w:t>
      </w:r>
      <w:r>
        <w:rPr>
          <w:rFonts w:ascii="MS Gothic" w:hAnsi="MS Gothic" w:eastAsia="MS Gothic" w:cs="MS Gothic"/>
        </w:rPr>
        <w:t>となる</w:t>
      </w:r>
      <w:r>
        <w:rPr>
          <w:rFonts w:ascii="Microsoft YaHei" w:hAnsi="Microsoft YaHei" w:eastAsia="Microsoft YaHei" w:cs="Microsoft YaHei"/>
        </w:rPr>
        <w:t>十四万四千人</w:t>
      </w:r>
      <w:r>
        <w:rPr>
          <w:rFonts w:ascii="MS Gothic" w:hAnsi="MS Gothic" w:eastAsia="MS Gothic" w:cs="MS Gothic"/>
        </w:rPr>
        <w:t>と</w:t>
      </w:r>
      <w:r>
        <w:rPr>
          <w:rFonts w:ascii="Microsoft YaHei" w:hAnsi="Microsoft YaHei" w:eastAsia="Microsoft YaHei" w:cs="Microsoft YaHei"/>
        </w:rPr>
        <w:t>、「永遠</w:t>
      </w:r>
      <w:r>
        <w:rPr>
          <w:rFonts w:ascii="MS Gothic" w:hAnsi="MS Gothic" w:eastAsia="MS Gothic" w:cs="MS Gothic"/>
        </w:rPr>
        <w:t>の</w:t>
      </w:r>
      <w:r>
        <w:rPr>
          <w:rFonts w:ascii="Microsoft YaHei" w:hAnsi="Microsoft YaHei" w:eastAsia="Microsoft YaHei" w:cs="Microsoft YaHei"/>
        </w:rPr>
        <w:t>契約」</w:t>
      </w:r>
      <w:r>
        <w:rPr>
          <w:rFonts w:ascii="MS Gothic" w:hAnsi="MS Gothic" w:eastAsia="MS Gothic" w:cs="MS Gothic"/>
        </w:rPr>
        <w:t>を</w:t>
      </w:r>
      <w:r>
        <w:rPr>
          <w:rFonts w:ascii="Microsoft YaHei" w:hAnsi="Microsoft YaHei" w:eastAsia="Microsoft YaHei" w:cs="Microsoft YaHei"/>
        </w:rPr>
        <w:t>結</w:t>
      </w:r>
      <w:r>
        <w:rPr>
          <w:rFonts w:ascii="MS Gothic" w:hAnsi="MS Gothic" w:eastAsia="MS Gothic" w:cs="MS Gothic"/>
        </w:rPr>
        <w:t>ばれる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「荒</w:t>
      </w:r>
      <w:r>
        <w:rPr>
          <w:rFonts w:ascii="MS Gothic" w:hAnsi="MS Gothic" w:eastAsia="MS Gothic" w:cs="MS Gothic"/>
        </w:rPr>
        <w:t>れ</w:t>
      </w:r>
      <w:r>
        <w:rPr>
          <w:rFonts w:ascii="Microsoft YaHei" w:hAnsi="Microsoft YaHei" w:eastAsia="Microsoft YaHei" w:cs="Microsoft YaHei"/>
        </w:rPr>
        <w:t>果</w:t>
      </w:r>
      <w:r>
        <w:rPr>
          <w:rFonts w:ascii="MS Gothic" w:hAnsi="MS Gothic" w:eastAsia="MS Gothic" w:cs="MS Gothic"/>
        </w:rPr>
        <w:t>てた</w:t>
      </w:r>
      <w:r>
        <w:rPr>
          <w:rFonts w:ascii="Microsoft YaHei" w:hAnsi="Microsoft YaHei" w:eastAsia="Microsoft YaHei" w:cs="Microsoft YaHei"/>
        </w:rPr>
        <w:t>」者</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大路</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死</w:t>
      </w:r>
      <w:r>
        <w:rPr>
          <w:rFonts w:ascii="MS Gothic" w:hAnsi="MS Gothic" w:eastAsia="MS Gothic" w:cs="MS Gothic"/>
        </w:rPr>
        <w:t>んでいた</w:t>
      </w:r>
      <w:r>
        <w:rPr>
          <w:rFonts w:ascii="Times New Roman" w:hAnsi="Times New Roman" w:eastAsia="Times New Roman" w:cs="Times New Roman"/>
        </w:rPr>
        <w:t>.</w:t>
      </w:r>
      <w:r>
        <w:rPr>
          <w:rFonts w:ascii="MS Gothic" w:hAnsi="MS Gothic" w:eastAsia="MS Gothic" w:cs="MS Gothic"/>
        </w:rPr>
        <w:t>イザヤは</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祭司」、主</w:t>
      </w:r>
      <w:r>
        <w:rPr>
          <w:rFonts w:ascii="MS Gothic" w:hAnsi="MS Gothic" w:eastAsia="MS Gothic" w:cs="MS Gothic"/>
        </w:rPr>
        <w:t>の</w:t>
      </w:r>
      <w:r>
        <w:rPr>
          <w:rFonts w:ascii="Microsoft YaHei" w:hAnsi="Microsoft YaHei" w:eastAsia="Microsoft YaHei" w:cs="Microsoft YaHei"/>
        </w:rPr>
        <w:t>「奉仕者」、「聖</w:t>
      </w:r>
      <w:r>
        <w:rPr>
          <w:rFonts w:ascii="MS Gothic" w:hAnsi="MS Gothic" w:eastAsia="MS Gothic" w:cs="MS Gothic"/>
        </w:rPr>
        <w:t>なる</w:t>
      </w:r>
      <w:r>
        <w:rPr>
          <w:rFonts w:ascii="Microsoft YaHei" w:hAnsi="Microsoft YaHei" w:eastAsia="Microsoft YaHei" w:cs="Microsoft YaHei"/>
        </w:rPr>
        <w:t>民」、</w:t>
      </w:r>
      <w:r>
        <w:rPr>
          <w:rFonts w:ascii="MS Gothic" w:hAnsi="MS Gothic" w:eastAsia="MS Gothic" w:cs="MS Gothic"/>
        </w:rPr>
        <w:t>そしてシオンの</w:t>
      </w:r>
      <w:r>
        <w:rPr>
          <w:rFonts w:ascii="Microsoft YaHei" w:hAnsi="Microsoft YaHei" w:eastAsia="Microsoft YaHei" w:cs="Microsoft YaHei"/>
        </w:rPr>
        <w:t>城壁</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つ</w:t>
      </w:r>
      <w:r>
        <w:rPr>
          <w:rFonts w:ascii="Microsoft YaHei" w:hAnsi="Microsoft YaHei" w:eastAsia="Microsoft YaHei" w:cs="Microsoft YaHei"/>
        </w:rPr>
        <w:t>「見張</w:t>
      </w:r>
      <w:r>
        <w:rPr>
          <w:rFonts w:ascii="MS Gothic" w:hAnsi="MS Gothic" w:eastAsia="MS Gothic" w:cs="MS Gothic"/>
        </w:rPr>
        <w:t>り</w:t>
      </w:r>
      <w:r>
        <w:rPr>
          <w:rFonts w:ascii="Microsoft YaHei" w:hAnsi="Microsoft YaHei" w:eastAsia="Microsoft YaHei" w:cs="Microsoft YaHei"/>
        </w:rPr>
        <w:t>人」</w:t>
      </w:r>
      <w:r>
        <w:rPr>
          <w:rFonts w:ascii="MS Gothic" w:hAnsi="MS Gothic" w:eastAsia="MS Gothic" w:cs="MS Gothic"/>
        </w:rPr>
        <w:t>として</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Kinyume na wale waliofurahia juu ya miili yao iliyokufa, ndipo Mungu naye hufurahi juu yao “kama bwana arusi afurahivyo juu ya bibi arusi.” Basi bibi arusi amekwisha kufanywa tayari. Kama vile katika ahadi kwa Filadelfia Bwana anawapa “jina jipya,” naye hutambulisha jina lao kuwa “Hephzibah” na “Beulah.” Hephzibah maana yake ni furaha yangu i ndani yake, na Beulah maana yake ni kuolewa. Bwana huwaoa wale wanaowakilishwa na Eliya na Musa.</w:t>
      </w:r>
    </w:p>
    <w:p>
      <w:pPr>
        <w:pStyle w:val="ArticleBody"/>
        <w:jc w:val="left"/>
      </w:pPr>
      <w:r>
        <w:rPr>
          <w:rFonts w:ascii="Times New Roman" w:hAnsi="Times New Roman" w:eastAsia="Times New Roman" w:cs="Times New Roman"/>
        </w:rPr>
        <w:t>Das Werk, das ihnen aufgetragen ist, besteht darin, den Weg für die zweite Wiederkunft Christi zu bereiten, indem sie die „gute Botschaft“ von Christus und seiner Gerechtigkeit „bis an das Ende der Welt“ verkündigen. Sie sind durch den Tröster in der Ausgießung des Geistes gesalbt worden und werden dann „als Banner“ erhoben werden, wenn „eine große Stimme vom Himmel“ „zu ihnen“ spricht: „Kommt herauf!“ Dann werden sie sein wie „eine Krone der Herrlichkeit“ und „ein königlicher Diadem“ in der Hand des Herrn. Sacharja bezeichnet dieselbe Krone als ein Feldzeichen und verlegt das Ereignis zugleich in die Zeit des Spätregens.</w:t>
      </w:r>
    </w:p>
    <w:p>
      <w:pPr>
        <w:pStyle w:val="ArticleScripture"/>
        <w:jc w:val="left"/>
      </w:pPr>
      <w:r>
        <w:rPr>
          <w:rFonts w:ascii="Times New Roman" w:hAnsi="Times New Roman" w:eastAsia="Times New Roman" w:cs="Times New Roman"/>
        </w:rPr>
        <w:t>Na i ten dzień Pan, ich Bóg, wybawi ich jako trzodę swego ludu; albowiem będą jak kamienie korony, wzniesione jako sztandar nad Jego ziemią. Bo jakże wielka jest Jego dobroć i jakże wielkie jest Jego piękno! Zboże rozweseli młodzieńców, a młode wino dziewice. Proście Pana o deszcz w czasie deszczu późnego; wtedy Pan uczyni jasne obłoki i da im ulewy deszczu, każdemu trawę na polu. Zachariasza 9:16–10:1.</w:t>
      </w:r>
    </w:p>
    <w:p>
      <w:pPr>
        <w:pStyle w:val="ArticleBody"/>
        <w:jc w:val="left"/>
      </w:pPr>
      <w:r>
        <w:rPr>
          <w:rFonts w:ascii="Times New Roman" w:hAnsi="Times New Roman" w:eastAsia="Times New Roman" w:cs="Times New Roman"/>
        </w:rPr>
        <w:t>Wọ́n yóò jẹ́ “agbo àwọn ènìyàn Rẹ̀,” ṣùgbọ́n Olúwa ní agbo kejì kan tí ó ṣì wà ní Babiloni nígbà náà, tí yóò sì pè pẹ̀lú. Iṣẹ́ wọn yóò jẹ́ láti tún àwọn ibi ahoro “àtijọ́” kọ́, àti àwọn “ìparun” ọ̀pọ̀lọpọ̀ ìran. Wọ́n yóò jẹ́ àwọn tí yóò padà wá, tí yóò sì tún àwọn ọ̀nà àtijọ́ tí a ti kọ̀ sílẹ̀ tí a sì ti bò mọ́lẹ̀ nínú Adventism àti lẹ́yìn Adventism múlẹ̀. Wọ́n yóò padà sí àwọn òtítọ́ ìpìlẹ̀ ti Millerite, wọ́n yóò sì fi wọ́n hàn nínú ìwà mímọ́ wọn fún Adventism Laodicea; wọ́n yóò sì tún fi ìránṣẹ́ kan hàn fún àwọn tí wọ́n wà lẹ́yìn Adventism nípa àwọn òtítọ́ “àtijọ́” tí ó ní í ṣe pẹ̀lú òfin Ọlọ́run, pàápàá jùlọ ọjọ́ Ìsinmi. Ní ṣíṣe bẹ́ẹ̀, wọ́n yóò lo àwọn ìtàn ọ̀pọ̀lọpọ̀ ìran láti ṣàfihàn ìtàn tuntun náà. Iṣẹ́ wọn yóò ṣẹlẹ̀ ní àkókò òjò ìkẹyìn, nígbà tí ìdájọ́ Ọlọ́run wà ní ilẹ̀. Nígbà tí Olúwa, pẹ̀lú ọwọ́ ọ̀tún Rẹ̀, bá gbé wọn sókè gẹ́gẹ́ bí àmi asia, gbogbo ayé tí ó ti ṣáájú yọ̀ lórí òkú wọn tí ó dùbúlẹ̀ ní ojú pópó yóò rí àmi asia náà, yóò sì gbọ́ ipè ìkìlọ̀ ti àwọn olùṣọ́.</w:t>
      </w:r>
    </w:p>
    <w:p>
      <w:pPr>
        <w:pStyle w:val="ArticleScripture"/>
        <w:jc w:val="left"/>
      </w:pPr>
      <w:r>
        <w:rPr>
          <w:rFonts w:ascii="Times New Roman" w:hAnsi="Times New Roman" w:eastAsia="Times New Roman" w:cs="Times New Roman"/>
        </w:rPr>
        <w:t>Vous tous, habitants du monde, et vous qui demeurez sur la terre, voyez, lorsqu’il élève une bannière sur les montagnes; et lorsqu’il sonne de la trompette, écoutez. Ésaïe 18:3.</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ብሞቱ</w:t>
      </w:r>
      <w:r>
        <w:rPr>
          <w:rFonts w:ascii="Times New Roman" w:hAnsi="Times New Roman" w:eastAsia="Times New Roman" w:cs="Times New Roman"/>
        </w:rPr>
        <w:t xml:space="preserve"> </w:t>
      </w:r>
      <w:r>
        <w:rPr>
          <w:rFonts w:ascii="Ebrima" w:hAnsi="Ebrima" w:eastAsia="Ebrima" w:cs="Ebrima"/>
        </w:rPr>
        <w:t>ሰብኦም</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ዝበሎም</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ንሳቶም</w:t>
      </w:r>
      <w:r>
        <w:rPr>
          <w:rFonts w:ascii="Times New Roman" w:hAnsi="Times New Roman" w:eastAsia="Times New Roman" w:cs="Times New Roman"/>
        </w:rPr>
        <w:t xml:space="preserve"> </w:t>
      </w:r>
      <w:r>
        <w:rPr>
          <w:rFonts w:ascii="Ebrima" w:hAnsi="Ebrima" w:eastAsia="Ebrima" w:cs="Ebrima"/>
        </w:rPr>
        <w:t>ተንሲኦም</w:t>
      </w:r>
      <w:r>
        <w:rPr>
          <w:rFonts w:ascii="Times New Roman" w:hAnsi="Times New Roman" w:eastAsia="Times New Roman" w:cs="Times New Roman"/>
        </w:rPr>
        <w:t xml:space="preserve"> </w:t>
      </w:r>
      <w:r>
        <w:rPr>
          <w:rFonts w:ascii="Ebrima" w:hAnsi="Ebrima" w:eastAsia="Ebrima" w:cs="Ebrima"/>
        </w:rPr>
        <w:t>ክቐውሙ</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ረኣዩ፡</w:t>
      </w:r>
      <w:r>
        <w:rPr>
          <w:rFonts w:ascii="Times New Roman" w:hAnsi="Times New Roman" w:eastAsia="Times New Roman" w:cs="Times New Roman"/>
        </w:rPr>
        <w:t xml:space="preserve"> “</w:t>
      </w:r>
      <w:r>
        <w:rPr>
          <w:rFonts w:ascii="Ebrima" w:hAnsi="Ebrima" w:eastAsia="Ebrima" w:cs="Ebrima"/>
        </w:rPr>
        <w:t>ዓብዪ</w:t>
      </w:r>
      <w:r>
        <w:rPr>
          <w:rFonts w:ascii="Times New Roman" w:hAnsi="Times New Roman" w:eastAsia="Times New Roman" w:cs="Times New Roman"/>
        </w:rPr>
        <w:t xml:space="preserve"> </w:t>
      </w:r>
      <w:r>
        <w:rPr>
          <w:rFonts w:ascii="Ebrima" w:hAnsi="Ebrima" w:eastAsia="Ebrima" w:cs="Ebrima"/>
        </w:rPr>
        <w:t>ፍርሃት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ዝረኣይዎም</w:t>
      </w:r>
      <w:r>
        <w:rPr>
          <w:rFonts w:ascii="Times New Roman" w:hAnsi="Times New Roman" w:eastAsia="Times New Roman" w:cs="Times New Roman"/>
        </w:rPr>
        <w:t xml:space="preserve"> </w:t>
      </w:r>
      <w:r>
        <w:rPr>
          <w:rFonts w:ascii="Ebrima" w:hAnsi="Ebrima" w:eastAsia="Ebrima" w:cs="Ebrima"/>
        </w:rPr>
        <w:t>ወደቐ።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Ða sceal se Assyrisca feallan þurh sweord, na þurh rices mannes; and sweord, na þurh meanes mannes, hine forswelgan sceal; ac he fleah fram þam sweorde, and his geongan men beoð forhtode. And he forþfærð to his fæstenne for ege, and his ealdormen beoð afyrhte æt þære guðfanan, cwyð se Dryhten, þæs fyr is on Sion, and his ofen on Hierusalem. Esaias 31:8, 9.</w:t>
      </w:r>
    </w:p>
    <w:p>
      <w:pPr>
        <w:pStyle w:val="ArticleBody"/>
        <w:jc w:val="left"/>
      </w:pPr>
      <w:r>
        <w:rPr>
          <w:rFonts w:ascii="Times New Roman" w:hAnsi="Times New Roman" w:eastAsia="Times New Roman" w:cs="Times New Roman"/>
        </w:rPr>
        <w:t>Tous les témoignages du prophète convergent dans le livre de l’Apocalypse. L’Assyrien représente le roi du nord dans Daniel onze, versets quarante à quarante-cinq, qui parvient à sa fin sans que personne lui porte secours. Lorsque les cent quarante-quatre mille, qui sont les sentinelles de Dieu, sonneront de la trompette, le monde entier l’entendra et sera saisi de crainte. Ceux qui sont représentés par les deux prophètes seront « oints » par le Consolateur « pour annoncer de bonnes nouvelles », lesquelles sont les « nouvelles de l’orient et du nord » qui « troubleront » le roi du nord dans Daniel, chapitre onze, verset quarante-quatre, et cela marque le commencement de la persécution liée à la crise de la loi du dimanche. En ce temps-là, les nations répondront au message leur enjoignant de sortir de Babylone, et viendront se joindre aux sacrificateurs de l’Éternel, lesquels sont aussi représentés comme « un rejeton d’Isaï », identifiant ainsi la méthodologie biblique qu’ils emploieront pour présenter le message d’avertissement aux nations.</w:t>
      </w:r>
    </w:p>
    <w:p>
      <w:pPr>
        <w:pStyle w:val="ArticleScripture"/>
        <w:jc w:val="left"/>
      </w:pPr>
      <w:r>
        <w:rPr>
          <w:rFonts w:ascii="Times New Roman" w:hAnsi="Times New Roman" w:eastAsia="Times New Roman" w:cs="Times New Roman"/>
        </w:rPr>
        <w:t>Futhi ngalolo suku kuyakuba khona impande kaJese, eyakuma ibe yisibonakaliso kubantu; kuyo izizwe ziyakufuna; nokuphumula kwayo kuyakuba ngenkazimulo. Kuyakuthi ngalolo suku iNkosi iphinde yelule isandla sayo okwesibili ukuba ibuyise insali yabantu bayo esele, isuke e-Asiriya, naseGibithe, nasePathrosi, naseKushe, nase-Elamu, naseShinari, naseHamathi, naseziqhingini zolwandle. Iyomisa isibonakaliso ezizweni, ibuthele ndawonye abaxoshiweyo bakwa-Israyeli, iqoqe ndawonye abahlakazekileyo bakwaJuda emakhoneni amane omhlaba. Isaya 11:10–12.</w:t>
      </w:r>
    </w:p>
    <w:p>
      <w:pPr>
        <w:pStyle w:val="ArticleBody"/>
        <w:jc w:val="left"/>
      </w:pPr>
      <w:r>
        <w:rPr>
          <w:rFonts w:ascii="Times New Roman" w:hAnsi="Times New Roman" w:eastAsia="Times New Roman" w:cs="Times New Roman"/>
        </w:rPr>
        <w:t>Le Seigneur rassembla Son peuple le 11 septembre 2001 avec le message qui identifiait l’attaque de l’islam comme l’arrivée du troisième malheur. Le Seigneur rassemble de nouveau Son peuple une seconde fois après qu’il a été mort dans la rue. Lorsqu’Il le fait, ceux qui sont rassemblés sont désignés comme « les bannis d’Israël », les « dispersés de Juda ». Ils furent chassés dans les rues le 18 juillet 2020, mais ils sont rassemblés une seconde fois pour être l’étendard qui rassemble l’autre troupeau de Dieu, encore à Babylone. Le rassemblement de ceux qui sont encore à Babylone commence lors de la loi du dimanche aux États-Unis, laquelle est la seconde des deux voix d’Apocalypse dix-huit.</w:t>
      </w:r>
    </w:p>
    <w:p>
      <w:pPr>
        <w:pStyle w:val="ArticleBody"/>
        <w:jc w:val="left"/>
      </w:pPr>
      <w:r>
        <w:rPr>
          <w:rFonts w:ascii="Times New Roman" w:hAnsi="Times New Roman" w:eastAsia="Times New Roman" w:cs="Times New Roman"/>
        </w:rPr>
        <w:t>۱ پہلا اجتماع ۱۱ ستمبر ۲۰۰۱ء کو وقوع پذیر ہوا، جب اسلام نے ریاستہائے متحدۂ امریکہ پر ضرب لگائی۔ جس عَلَم کے طور پر انہیں دوسری بار جمع کیا جانا ہے، اس حیثیت سے وہ یسیٰ کی جڑ کے طور پر پیش کیے گئے ہیں؛ اور یہ ایک ایسی علامت ہے جو الفا اور اومیگا کے کام کی نمائندگی کرتی ہے، اور کسی چیز کے اختتام کو کسی چیز کے آغاز کے ساتھ واضح کرتی ہے۔ پہلا اجتماع ریاستہائے متحدۂ امریکہ پر ایک اسلامی ضرب سے ممیز ہوا، اور اسی طرح وہ دوسرے اجتماع کے طور پر ریاستہائے متحدۂ امریکہ پر ایک اسلامی ضرب کی تصویر کشی اور نشان دہی کرتا ہے۔ جب یسیٰ کی جڑ غیرقوموں کے لیے عَلَم کے طور پر قائم ہوگی تو اُس کا “آرام” جلالی ہوگا، کیونکہ وہ عَلَم اُن لوگوں کی راہنمائی کرے گا جو ابھی تک بابل میں ہیں، تاکہ وہ ساتویں دن کے سبت کی بائبلی قدیم راہ کی طرف واپس آئیں؛ یوں اتوار کے قانون کے بحران کے وقت غیرقوموں کے لیے عَلَم کے بلند کیے جانے پر نشان لگے گی۔</w:t>
      </w:r>
    </w:p>
    <w:p>
      <w:pPr>
        <w:pStyle w:val="ArticleBody"/>
        <w:jc w:val="left"/>
      </w:pPr>
      <w:r>
        <w:rPr>
          <w:rFonts w:ascii="Nirmala UI" w:hAnsi="Nirmala UI" w:eastAsia="Nirmala UI" w:cs="Nirmala UI"/>
        </w:rPr>
        <w:t>चिह्नधारी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शुद्धियों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अक्षरशः</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सके।</w:t>
      </w:r>
    </w:p>
    <w:p>
      <w:pPr>
        <w:pStyle w:val="ArticleScripture"/>
        <w:jc w:val="left"/>
      </w:pP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ਸਾਹਮਣੇ</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ਤਖਤੀ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ਦਰਜ</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ਸੁਣਨਾ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ਦਰਸ਼ੀਆਂ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ਭਵਿੱਖਬਕਤਿਆਂ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ਸਿੱਧੀਆਂ</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ਚਿਕਣੀਆਂ</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ਭਵਿੱਖਬਾਣੀਆਂ</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ਜਾਓ</w:t>
      </w:r>
      <w:r>
        <w:rPr>
          <w:rFonts w:ascii="Times New Roman" w:hAnsi="Times New Roman" w:eastAsia="Times New Roman" w:cs="Times New Roman"/>
        </w:rPr>
        <w:t xml:space="preserve">, </w:t>
      </w:r>
      <w:r>
        <w:rPr>
          <w:rFonts w:ascii="Nirmala UI" w:hAnsi="Nirmala UI" w:eastAsia="Nirmala UI" w:cs="Nirmala UI"/>
        </w:rPr>
        <w:t>ਮਾਰਗ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ਜਾਓ</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ਸਾਹਮਣੇ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ਦੂਰ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ਦਿਓ।</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ਯੂੰ</w:t>
      </w:r>
      <w:r>
        <w:rPr>
          <w:rFonts w:ascii="Times New Roman" w:hAnsi="Times New Roman" w:eastAsia="Times New Roman" w:cs="Times New Roman"/>
        </w:rPr>
        <w:t xml:space="preserve"> </w:t>
      </w:r>
      <w:r>
        <w:rPr>
          <w:rFonts w:ascii="Nirmala UI" w:hAnsi="Nirmala UI" w:eastAsia="Nirmala UI" w:cs="Nirmala UI"/>
        </w:rPr>
        <w:t>ਫਰਮਾਉਂਦਾ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ਤੁੱਛ</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ਅੱਤਿਆਚਾਰ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ਟੇਢਪਣ</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ਭਰੋਸਾ</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ਟਿਕੇ</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ਅਪਰਾਧ</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ਡਿੱਗਣ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ਕੰਧ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ਫੂਲ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ਨਿਕਲ</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ਟੁੱਟਣਾ</w:t>
      </w:r>
      <w:r>
        <w:rPr>
          <w:rFonts w:ascii="Times New Roman" w:hAnsi="Times New Roman" w:eastAsia="Times New Roman" w:cs="Times New Roman"/>
        </w:rPr>
        <w:t xml:space="preserve"> </w:t>
      </w:r>
      <w:r>
        <w:rPr>
          <w:rFonts w:ascii="Nirmala UI" w:hAnsi="Nirmala UI" w:eastAsia="Nirmala UI" w:cs="Nirmala UI"/>
        </w:rPr>
        <w:t>ਅਚਾਨਕ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ਕੁੰਭਾਰ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ਭਾਂਡੇ</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ਟੁੱਟਣ</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ਤੋੜੇਗਾ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ਟੁਕੜੇ</w:t>
      </w:r>
      <w:r>
        <w:rPr>
          <w:rFonts w:ascii="Times New Roman" w:hAnsi="Times New Roman" w:eastAsia="Times New Roman" w:cs="Times New Roman"/>
        </w:rPr>
        <w:t xml:space="preserve"> </w:t>
      </w:r>
      <w:r>
        <w:rPr>
          <w:rFonts w:ascii="Nirmala UI" w:hAnsi="Nirmala UI" w:eastAsia="Nirmala UI" w:cs="Nirmala UI"/>
        </w:rPr>
        <w:t>ਟੁਕੜੇ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ਰਹਿਮ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ਇਤਨਾ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ਠੀਕਰਾ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ਅੰਗੀਠੀ</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ਖੱਡੇ</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ਪਾਣੀ</w:t>
      </w:r>
      <w:r>
        <w:rPr>
          <w:rFonts w:ascii="Times New Roman" w:hAnsi="Times New Roman" w:eastAsia="Times New Roman" w:cs="Times New Roman"/>
        </w:rPr>
        <w:t xml:space="preserve"> </w:t>
      </w:r>
      <w:r>
        <w:rPr>
          <w:rFonts w:ascii="Nirmala UI" w:hAnsi="Nirmala UI" w:eastAsia="Nirmala UI" w:cs="Nirmala UI"/>
        </w:rPr>
        <w:t>ਕੱਢਿਆ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ਯੂੰ</w:t>
      </w:r>
      <w:r>
        <w:rPr>
          <w:rFonts w:ascii="Times New Roman" w:hAnsi="Times New Roman" w:eastAsia="Times New Roman" w:cs="Times New Roman"/>
        </w:rPr>
        <w:t xml:space="preserve"> </w:t>
      </w:r>
      <w:r>
        <w:rPr>
          <w:rFonts w:ascii="Nirmala UI" w:hAnsi="Nirmala UI" w:eastAsia="Nirmala UI" w:cs="Nirmala UI"/>
        </w:rPr>
        <w:t>ਫਰਮਾਉਂਦਾ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ਵਿਸ਼ਰਾਮ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ਮੁਕਤੀ</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ਭਰੋਸੇ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ਤਾਕਤ</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ਮਨਿਆ</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ਘੋੜਿਆਂ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ਭੱਜਾਂਗੇ</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ਭੱਜੋਗੇ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ਸਵਾਰੀਆਂ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ਚੜ੍ਹਾਂਗੇ</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ਡਾਂਟਣ</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ਭੱਜਣਗੇ</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ਡਾਂਟਣ</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ਭੱਜੋਗੇ</w:t>
      </w:r>
      <w:r>
        <w:rPr>
          <w:rFonts w:ascii="Times New Roman" w:hAnsi="Times New Roman" w:eastAsia="Times New Roman" w:cs="Times New Roman"/>
        </w:rPr>
        <w:t xml:space="preserve">: </w:t>
      </w:r>
      <w:r>
        <w:rPr>
          <w:rFonts w:ascii="Nirmala UI" w:hAnsi="Nirmala UI" w:eastAsia="Nirmala UI" w:cs="Nirmala UI"/>
        </w:rPr>
        <w:t>ਇਤਨਾ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ਡੰਡੇ</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ਟਿੱਬੇ</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ਛੱਡੇ</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ਉਡੀਕ</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ਅਨੁਗ੍ਰਹ</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ਠਹਿਰਾਇਆ</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ਦਇਆ</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ਧੰਨ</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ਉਡੀਕ</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ਸਿਓਨ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ਵੱਸਣਗੇ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ਰੋਵੇਂਗਾ</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ਆਵਾਜ਼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ਨਿਸ਼ਚੇ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ਅਨੁਗ੍ਰਹ</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ਸੁਣੇਗਾ</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30:8–19.</w:t>
      </w:r>
    </w:p>
    <w:p>
      <w:pPr>
        <w:pStyle w:val="ArticleBody"/>
        <w:jc w:val="left"/>
      </w:pPr>
      <w:r>
        <w:rPr>
          <w:rFonts w:ascii="Times New Roman" w:hAnsi="Times New Roman" w:eastAsia="Times New Roman" w:cs="Times New Roman"/>
        </w:rPr>
        <w:t>Mu 1863, Ubuvugabutumwa bw’Abadivantisiti bwatangiye inzira yo kwanga ubutumwa bw’ubuhanuzi bwa William Miller nk’uko bwari bugaragajwe ku bisate bibiri byera bya Habakuki. Yesu agaragaza iherezo yifashishije intangiriro. Muri uyu murongo, abagome bo mu ntangiriro y’Ubwadivantisiti na bo bagereranya abagome bo ku iherezo ry’Ubwadivantisiti. Muri izo mpande zombi, ubwo bugome bugaragaza ukwanga ubutumwa n’uburyo bw’ubuhanuzi bwa buri mateka, igihe babwira “aberekwa” bati: “Ntimubone; kandi babwira abahanuzi bati: Ntimuduhanurire ibitunganye, ahubwo mutubwire ibidushimisha, muhanuze iby’ubushukanyi.”</w:t>
      </w:r>
    </w:p>
    <w:p>
      <w:pPr>
        <w:pStyle w:val="ArticleBody"/>
        <w:jc w:val="left"/>
      </w:pPr>
      <w:r>
        <w:rPr>
          <w:rFonts w:ascii="Times New Roman" w:hAnsi="Times New Roman" w:eastAsia="Times New Roman" w:cs="Times New Roman"/>
        </w:rPr>
        <w:t>Ils décident aussi d’abandonner le sentier lorsqu’ils proclament : « Ôtez-vous du chemin, détournez-vous de la voie, faites cesser de devant nous le Saint d’Israël. » Le sentier des justes est celui des « anciens sentiers » de Jérémie, chapitre 6, versets 16 et 17. Les rebelles décident de ne pas marcher dans les vérités fondamentales, ni d’écouter le son de la trompette que font retentir les sentinelles qui ont été élevées, représentant le mouvement millérite et le mouvement de Future for America.</w:t>
      </w:r>
    </w:p>
    <w:p>
      <w:pPr>
        <w:pStyle w:val="ArticleScripture"/>
        <w:jc w:val="left"/>
      </w:pPr>
      <w:r>
        <w:rPr>
          <w:rFonts w:ascii="Times New Roman" w:hAnsi="Times New Roman" w:eastAsia="Times New Roman" w:cs="Times New Roman"/>
        </w:rPr>
        <w:t>Dette siger Herren: Stå på vejene og se til, og spørg efter de gamle stier, hvor den gode vej er, og vandr på den; så skal I finde hvile for jeres sjæle. Men de sagde: Vi vil ikke vandre på den. Og jeg satte vægtere over jer og sagde: Lyt til basunens lyd. Men de sagde: Vi vil ikke lytte. Hør derfor, I folkeslag, og vid, du menighed, hvad der er iblandt dem. Hør, du jord: Se, jeg bringer ulykke over dette folk, frugten af deres tanker, fordi de ikke har lyttet til mine ord og til min lov, men forkastet den. Jeremias 6:16–19.</w:t>
      </w:r>
    </w:p>
    <w:p>
      <w:pPr>
        <w:pStyle w:val="ArticleBody"/>
        <w:jc w:val="left"/>
      </w:pPr>
      <w:r>
        <w:rPr>
          <w:rFonts w:ascii="Times New Roman" w:hAnsi="Times New Roman" w:eastAsia="Times New Roman" w:cs="Times New Roman"/>
        </w:rPr>
        <w:t>Kukana kwaasi kwa waasi kutembea katika njia za kale pia kunawakilishwa kuwa ni shauku yao ya “kumfanya Mtakatifu wa Israeli aondoke mbele yao”, na kunawakilisha kuukataa ujumbe wa Kilio cha Usiku wa Manane, ambao msingi wake ni Alfa na Omega kuonyesha mwisho wa Uadventista kwa mwanzo wake.</w:t>
      </w:r>
    </w:p>
    <w:p>
      <w:pPr>
        <w:pStyle w:val="ArticleScripture"/>
        <w:jc w:val="left"/>
      </w:pPr>
      <w:r>
        <w:rPr>
          <w:rFonts w:ascii="Times New Roman" w:hAnsi="Times New Roman" w:eastAsia="Times New Roman" w:cs="Times New Roman"/>
        </w:rPr>
        <w:t>“Wɔde hann a ɛhyerɛn sii wɔn akyi wɔ ɔkwan no mfiase, na ɔbɔfo bi ka kyerɛɛ me sɛ saa hann yi ne ‘anadwo mfinimfini su.’ Saa hann yi hyerɛn faa ɔkwan no nyinaa so, na ɛmaa hann maa wɔn anan, na amma wɔn ansuntiw.”</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उठाकर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उत्साह</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लहराता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w:t>
      </w:r>
      <w:r>
        <w:rPr>
          <w:rFonts w:ascii="Nirmala UI" w:hAnsi="Nirmala UI" w:eastAsia="Nirmala UI" w:cs="Nirmala UI"/>
        </w:rPr>
        <w:t>हालेलूयाह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उतावलेपन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ठोकर</w:t>
      </w:r>
      <w:r>
        <w:rPr>
          <w:rFonts w:ascii="Times New Roman" w:hAnsi="Times New Roman" w:eastAsia="Times New Roman" w:cs="Times New Roman"/>
        </w:rPr>
        <w:t xml:space="preserve"> </w:t>
      </w:r>
      <w:r>
        <w:rPr>
          <w:rFonts w:ascii="Nirmala UI" w:hAnsi="Nirmala UI" w:eastAsia="Nirmala UI" w:cs="Nirmala UI"/>
        </w:rPr>
        <w:t>खाकर</w:t>
      </w:r>
      <w:r>
        <w:rPr>
          <w:rFonts w:ascii="Times New Roman" w:hAnsi="Times New Roman" w:eastAsia="Times New Roman" w:cs="Times New Roman"/>
        </w:rPr>
        <w:t xml:space="preserve"> </w:t>
      </w:r>
      <w:r>
        <w:rPr>
          <w:rFonts w:ascii="Nirmala UI" w:hAnsi="Nirmala UI" w:eastAsia="Nirmala UI" w:cs="Nirmala UI"/>
        </w:rPr>
        <w:t>लक्ष्य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गिरकर</w:t>
      </w:r>
      <w:r>
        <w:rPr>
          <w:rFonts w:ascii="Times New Roman" w:hAnsi="Times New Roman" w:eastAsia="Times New Roman" w:cs="Times New Roman"/>
        </w:rPr>
        <w:t xml:space="preserve"> </w:t>
      </w:r>
      <w:r>
        <w:rPr>
          <w:rFonts w:ascii="Nirmala UI" w:hAnsi="Nirmala UI" w:eastAsia="Nirmala UI" w:cs="Nirmala UI"/>
        </w:rPr>
        <w:t>अधोलोक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अन्धकारमय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Christian Experience and Teachings of Ellen G. White, 57.</w:t>
      </w:r>
    </w:p>
    <w:p>
      <w:pPr>
        <w:pStyle w:val="ArticleBody"/>
        <w:jc w:val="left"/>
      </w:pP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उपासकों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असमर्थता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सहायक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“whose breaking cometh suddenly at an instant. And he shall break it as the breaking of the potters’ vessel that is broken in pieces; he shall not spare: so that there shall not be found in the bursting of it a sherd to take fire from the hearth, or to take water withal out of the pit.”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सहायक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Yagona xavfsizlik “qaytish”dadir; bu — birinchi ko‘ngilsizlik chog‘ida umidlari puchga chiqqanlarni ifoda etganida, Yeremiyoga berilgan va’dadir. Agar Xudoning xalqi Unga qaytsa, U ham ularga qaytar edi; ammo isyonchilar rad etadilar, va yo‘lni yoritib turgan nur so‘ndi. Dastlabki nur Yarim Tun Nidosi edi, va oldinga eltuvchi yo‘l Masihning ulug‘vor o‘ng qo‘li bilan to abadgacha yoritilgan edi. Masih o‘sha yo‘lda yurganlarning oldida edi, va orqadagi nur ham o‘sha nur bo‘lishi kerak, chunki Masih yo‘lning oxirini yo‘lning boshi bilan tasvirlaydi. Yarim Tun Nidosi bo‘lgan va hozir ham hozirgi haqiqatdir.</w:t>
      </w:r>
    </w:p>
    <w:p>
      <w:pPr>
        <w:pStyle w:val="ArticleScripture"/>
        <w:jc w:val="left"/>
      </w:pPr>
      <w:r>
        <w:rPr>
          <w:rFonts w:ascii="Times New Roman" w:hAnsi="Times New Roman" w:eastAsia="Times New Roman" w:cs="Times New Roman"/>
        </w:rPr>
        <w:t>« On me renvoie souvent à la parabole des dix vierges, dont cinq étaient sages et cinq insensées. Cette parabole s’est accomplie et s’accomplira jusque dans ses moindres détails, car elle s’applique d’une manière particulière à notre époque et, à l’instar du message du troisième ange, elle s’est accomplie et continuera d’être la vérité présente jusqu’à la fin des temps. » Review and Herald, 19 août 1890.</w:t>
      </w:r>
    </w:p>
    <w:p>
      <w:pPr>
        <w:pStyle w:val="ArticleBody"/>
        <w:jc w:val="left"/>
      </w:pPr>
      <w:r>
        <w:rPr>
          <w:rFonts w:ascii="Times New Roman" w:hAnsi="Times New Roman" w:eastAsia="Times New Roman" w:cs="Times New Roman"/>
        </w:rPr>
        <w:t>Un désir de faire cesser de devant eux le Saint d’Israël est un rejet non seulement du Christ, mais du Christ en tant qu’Alpha et Oméga. C’est le rejet du message du Cri de Minuit. Le message du Cri de Minuit, au commencement de l’adventisme, fut une correction de la prédiction qui avait échoué.</w:t>
      </w:r>
    </w:p>
    <w:p>
      <w:pPr>
        <w:pStyle w:val="ArticleBody"/>
        <w:jc w:val="left"/>
      </w:pPr>
      <w:r>
        <w:rPr>
          <w:rFonts w:ascii="Nirmala UI" w:hAnsi="Nirmala UI" w:eastAsia="Nirmala UI" w:cs="Nirmala UI"/>
        </w:rPr>
        <w:t>शांति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विद्रोहियों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धर्मियों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प्रदर्शित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घटकर</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डाँट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आई</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बाँटने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ध्वजदंड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पहाड़ी</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उन्नीस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p>
    <w:p>
      <w:pPr>
        <w:pStyle w:val="ArticleBody"/>
        <w:jc w:val="left"/>
      </w:pPr>
      <w:r>
        <w:rPr>
          <w:rFonts w:ascii="Times New Roman" w:hAnsi="Times New Roman" w:eastAsia="Times New Roman" w:cs="Times New Roman"/>
        </w:rPr>
        <w:t>La peur qu’éprouvent les vierges folles est celle qui est représentée lorsque les vierges sages sont ramenées à la vie et se tiennent sur leurs pieds. Il est alors trop tard pour revenir de la déception du 18 juillet 2020, et la chose suivante qui doit arriver est l’ascension vers le ciel qui a lieu lors de la loi du dimanche. C’est alors qu’a lieu un grand tremblement de terre.</w:t>
      </w:r>
    </w:p>
    <w:p>
      <w:pPr>
        <w:pStyle w:val="ArticleScripture"/>
        <w:jc w:val="left"/>
      </w:pP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시각에</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지진이</w:t>
      </w:r>
      <w:r>
        <w:rPr>
          <w:rFonts w:ascii="Times New Roman" w:hAnsi="Times New Roman" w:eastAsia="Times New Roman" w:cs="Times New Roman"/>
        </w:rPr>
        <w:t xml:space="preserve"> </w:t>
      </w:r>
      <w:r>
        <w:rPr>
          <w:rFonts w:ascii="Malgun Gothic" w:hAnsi="Malgun Gothic" w:eastAsia="Malgun Gothic" w:cs="Malgun Gothic"/>
        </w:rPr>
        <w:t>일어나</w:t>
      </w:r>
      <w:r>
        <w:rPr>
          <w:rFonts w:ascii="Times New Roman" w:hAnsi="Times New Roman" w:eastAsia="Times New Roman" w:cs="Times New Roman"/>
        </w:rPr>
        <w:t xml:space="preserve"> </w:t>
      </w:r>
      <w:r>
        <w:rPr>
          <w:rFonts w:ascii="Malgun Gothic" w:hAnsi="Malgun Gothic" w:eastAsia="Malgun Gothic" w:cs="Malgun Gothic"/>
        </w:rPr>
        <w:t>성의</w:t>
      </w:r>
      <w:r>
        <w:rPr>
          <w:rFonts w:ascii="Times New Roman" w:hAnsi="Times New Roman" w:eastAsia="Times New Roman" w:cs="Times New Roman"/>
        </w:rPr>
        <w:t xml:space="preserve"> </w:t>
      </w:r>
      <w:r>
        <w:rPr>
          <w:rFonts w:ascii="Malgun Gothic" w:hAnsi="Malgun Gothic" w:eastAsia="Malgun Gothic" w:cs="Malgun Gothic"/>
        </w:rPr>
        <w:t>십분의</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무너졌고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지진으로</w:t>
      </w:r>
      <w:r>
        <w:rPr>
          <w:rFonts w:ascii="Times New Roman" w:hAnsi="Times New Roman" w:eastAsia="Times New Roman" w:cs="Times New Roman"/>
        </w:rPr>
        <w:t xml:space="preserve"> </w:t>
      </w:r>
      <w:r>
        <w:rPr>
          <w:rFonts w:ascii="Malgun Gothic" w:hAnsi="Malgun Gothic" w:eastAsia="Malgun Gothic" w:cs="Malgun Gothic"/>
        </w:rPr>
        <w:t>사람</w:t>
      </w:r>
      <w:r>
        <w:rPr>
          <w:rFonts w:ascii="Times New Roman" w:hAnsi="Times New Roman" w:eastAsia="Times New Roman" w:cs="Times New Roman"/>
        </w:rPr>
        <w:t xml:space="preserve"> </w:t>
      </w:r>
      <w:r>
        <w:rPr>
          <w:rFonts w:ascii="Malgun Gothic" w:hAnsi="Malgun Gothic" w:eastAsia="Malgun Gothic" w:cs="Malgun Gothic"/>
        </w:rPr>
        <w:t>칠천</w:t>
      </w:r>
      <w:r>
        <w:rPr>
          <w:rFonts w:ascii="Times New Roman" w:hAnsi="Times New Roman" w:eastAsia="Times New Roman" w:cs="Times New Roman"/>
        </w:rPr>
        <w:t xml:space="preserve"> </w:t>
      </w:r>
      <w:r>
        <w:rPr>
          <w:rFonts w:ascii="Malgun Gothic" w:hAnsi="Malgun Gothic" w:eastAsia="Malgun Gothic" w:cs="Malgun Gothic"/>
        </w:rPr>
        <w:t>명이</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당하였으며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두려워하여</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영광을</w:t>
      </w:r>
      <w:r>
        <w:rPr>
          <w:rFonts w:ascii="Times New Roman" w:hAnsi="Times New Roman" w:eastAsia="Times New Roman" w:cs="Times New Roman"/>
        </w:rPr>
        <w:t xml:space="preserve"> </w:t>
      </w:r>
      <w:r>
        <w:rPr>
          <w:rFonts w:ascii="Malgun Gothic" w:hAnsi="Malgun Gothic" w:eastAsia="Malgun Gothic" w:cs="Malgun Gothic"/>
        </w:rPr>
        <w:t>돌렸다</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화는</w:t>
      </w:r>
      <w:r>
        <w:rPr>
          <w:rFonts w:ascii="Times New Roman" w:hAnsi="Times New Roman" w:eastAsia="Times New Roman" w:cs="Times New Roman"/>
        </w:rPr>
        <w:t xml:space="preserve"> </w:t>
      </w:r>
      <w:r>
        <w:rPr>
          <w:rFonts w:ascii="Malgun Gothic" w:hAnsi="Malgun Gothic" w:eastAsia="Malgun Gothic" w:cs="Malgun Gothic"/>
        </w:rPr>
        <w:t>지나갔으나</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화가</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이르는도다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11:13, 14.</w:t>
      </w:r>
    </w:p>
    <w:p>
      <w:pPr>
        <w:pStyle w:val="ArticleBody"/>
        <w:jc w:val="left"/>
      </w:pPr>
      <w:r>
        <w:rPr>
          <w:rFonts w:ascii="Times New Roman" w:hAnsi="Times New Roman" w:eastAsia="Times New Roman" w:cs="Times New Roman"/>
        </w:rPr>
        <w:t>En la Révélation chapitre onze, il est indiqué que, durant la Révolution française, le dixième de la ville tomba; et, dans cette histoire, la nation de France, nation composée de deux cornes prophétiques représentées sous les figures de Sodome et de l’Égypte, fut renversée. Les deux cornes de la France sont typologiques des deux cornes des États-Unis.</w:t>
      </w:r>
    </w:p>
    <w:p>
      <w:pPr>
        <w:pStyle w:val="ArticleBody"/>
        <w:jc w:val="left"/>
      </w:pP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538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भूमिका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करेंगे।</w:t>
      </w:r>
    </w:p>
    <w:p>
      <w:pPr>
        <w:pStyle w:val="ArticleBody"/>
        <w:jc w:val="left"/>
      </w:pPr>
      <w:r>
        <w:rPr>
          <w:rFonts w:ascii="Times New Roman" w:hAnsi="Times New Roman" w:eastAsia="Times New Roman" w:cs="Times New Roman"/>
        </w:rPr>
        <w:t>Usa sa mga pangunang isyu niini nga artikulo mao nga kini usa ka mensahe nga mopatindog sa katawohan sa Dios, kay ang Manlalaban nga mopatindog kanila nagrepresentar sa lana, nga dili lamang nagrepresentar sa Balaang Espiritu kondili usab sa mga komunikasyon nga ipadala sa Dios ngadto sa Iyang katawohan. Ang mensahe sa Pinadayag onse nga mopatindog kang Moises ug Elias girepresentar usab pinaagi sa saad nga gihatag kang Jeremias.</w:t>
      </w:r>
    </w:p>
    <w:p>
      <w:pPr>
        <w:pStyle w:val="ArticleScripture"/>
        <w:jc w:val="left"/>
      </w:pPr>
      <w:r>
        <w:rPr>
          <w:rFonts w:ascii="Times New Roman" w:hAnsi="Times New Roman" w:eastAsia="Times New Roman" w:cs="Times New Roman"/>
        </w:rPr>
        <w:t>Darum spricht der HERR also: Wenn du umkehrst, so will ich dich wiederbringen, dass du vor mir stehst; und wenn du das Köstliche vom Gemeinen scheidest, sollst du sein wie mein Mund. Sie sollen zu dir umkehren; du aber sollst nicht zu ihnen umkehren. Und ich will dich diesem Volk zur festen ehernen Mauer machen; und sie werden wider dich kämpfen, aber sie sollen dich nicht überwältigen; denn ich bin mit dir, um dich zu retten und dich zu befreien, spricht der HERR. Und ich will dich erretten aus der Hand der Bösen und dich erlösen aus der Hand der Schrecklichen. Jeremia 15,19–21.</w:t>
      </w:r>
    </w:p>
    <w:p>
      <w:pPr>
        <w:pStyle w:val="ArticleBody"/>
        <w:jc w:val="left"/>
      </w:pPr>
      <w:r>
        <w:rPr>
          <w:rFonts w:ascii="Times New Roman" w:hAnsi="Times New Roman" w:eastAsia="Times New Roman" w:cs="Times New Roman"/>
        </w:rPr>
        <w:t>Այդ նույն կոչը արել էր Եսայիան, երբ ասաց. «Որովհետև այսպես է ասում Տեր Աստվածը՝ Իսրայելի Սուրբը. Դարձի և հանդարտության մեջ պիտի փրկվեք»։ Եսայիան հավելեց, որ այդ «դարձը» կապված էր առակի հապաղման ժամանակի հետ, որովհետև նա գրեց. «Ուստի Տերը պիտի սպասի, որպեսզի ձեզ ողորմած լինի, և ուստի պիտի բարձրանա, որպեսզի ձեզ գթա. որովհետև Տերը դատաստանի Աստված է. երանի՛ բոլոր նրանց, որ սպասում են Նրան»։</w:t>
      </w:r>
    </w:p>
    <w:p>
      <w:pPr>
        <w:pStyle w:val="ArticleBody"/>
        <w:jc w:val="left"/>
      </w:pPr>
      <w:r>
        <w:rPr>
          <w:rFonts w:ascii="Leelawadee UI" w:hAnsi="Leelawadee UI" w:eastAsia="Leelawadee UI" w:cs="Leelawadee UI"/>
        </w:rPr>
        <w:t>ជាសិទ្ធិពិសេសនៃការធ្វើជាព្រះ</w:t>
      </w:r>
      <w:r>
        <w:rPr>
          <w:rFonts w:ascii="Times New Roman" w:hAnsi="Times New Roman" w:eastAsia="Times New Roman" w:cs="Times New Roman"/>
        </w:rPr>
        <w:t xml:space="preserve"> “</w:t>
      </w:r>
      <w:r>
        <w:rPr>
          <w:rFonts w:ascii="Leelawadee UI" w:hAnsi="Leelawadee UI" w:eastAsia="Leelawadee UI" w:cs="Leelawadee UI"/>
        </w:rPr>
        <w:t>ព្រះឱស្ឋ</w:t>
      </w:r>
      <w:r>
        <w:rPr>
          <w:rFonts w:ascii="Times New Roman" w:hAnsi="Times New Roman" w:eastAsia="Times New Roman" w:cs="Times New Roman"/>
        </w:rPr>
        <w:t xml:space="preserve">” </w:t>
      </w:r>
      <w:r>
        <w:rPr>
          <w:rFonts w:ascii="Leelawadee UI" w:hAnsi="Leelawadee UI" w:eastAsia="Leelawadee UI" w:cs="Leelawadee UI"/>
        </w:rPr>
        <w:t>របស់ព្រះ</w:t>
      </w:r>
      <w:r>
        <w:rPr>
          <w:rFonts w:ascii="Times New Roman" w:hAnsi="Times New Roman" w:eastAsia="Times New Roman" w:cs="Times New Roman"/>
        </w:rPr>
        <w:t xml:space="preserve"> </w:t>
      </w:r>
      <w:r>
        <w:rPr>
          <w:rFonts w:ascii="Leelawadee UI" w:hAnsi="Leelawadee UI" w:eastAsia="Leelawadee UI" w:cs="Leelawadee UI"/>
        </w:rPr>
        <w:t>ដូចដែលយេរេមាបានកំណត់សម្គាល់</w:t>
      </w:r>
      <w:r>
        <w:rPr>
          <w:rFonts w:ascii="Times New Roman" w:hAnsi="Times New Roman" w:eastAsia="Times New Roman" w:cs="Times New Roman"/>
        </w:rPr>
        <w:t xml:space="preserve"> </w:t>
      </w:r>
      <w:r>
        <w:rPr>
          <w:rFonts w:ascii="Leelawadee UI" w:hAnsi="Leelawadee UI" w:eastAsia="Leelawadee UI" w:cs="Leelawadee UI"/>
        </w:rPr>
        <w:t>គឺជាសិទ្ធិពិសេសនៃការនិយាយជំនួសព្រះ</w:t>
      </w:r>
      <w:r>
        <w:rPr>
          <w:rFonts w:ascii="Times New Roman" w:hAnsi="Times New Roman" w:eastAsia="Times New Roman" w:cs="Times New Roman"/>
        </w:rPr>
        <w:t xml:space="preserve"> </w:t>
      </w:r>
      <w:r>
        <w:rPr>
          <w:rFonts w:ascii="Leelawadee UI" w:hAnsi="Leelawadee UI" w:eastAsia="Leelawadee UI" w:cs="Leelawadee UI"/>
        </w:rPr>
        <w:t>នៅក្នុងពេលដែលសហរដ្ឋអាមេរិក</w:t>
      </w:r>
      <w:r>
        <w:rPr>
          <w:rFonts w:ascii="Times New Roman" w:hAnsi="Times New Roman" w:eastAsia="Times New Roman" w:cs="Times New Roman"/>
        </w:rPr>
        <w:t xml:space="preserve"> “</w:t>
      </w:r>
      <w:r>
        <w:rPr>
          <w:rFonts w:ascii="Leelawadee UI" w:hAnsi="Leelawadee UI" w:eastAsia="Leelawadee UI" w:cs="Leelawadee UI"/>
        </w:rPr>
        <w:t>និយាយដូចជានាគ</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ពាក្យដែលនឹងត្រូវបាននិយាយដោយប្រជាជនរបស់ព្រះនៅពេលនោះ</w:t>
      </w:r>
      <w:r>
        <w:rPr>
          <w:rFonts w:ascii="Times New Roman" w:hAnsi="Times New Roman" w:eastAsia="Times New Roman" w:cs="Times New Roman"/>
        </w:rPr>
        <w:t xml:space="preserve"> </w:t>
      </w:r>
      <w:r>
        <w:rPr>
          <w:rFonts w:ascii="Leelawadee UI" w:hAnsi="Leelawadee UI" w:eastAsia="Leelawadee UI" w:cs="Leelawadee UI"/>
        </w:rPr>
        <w:t>គឺជាការព្រមានប្រឆាំងនឹងសញ្ញារបស់សត្វព្រៃបាប៉ាល។</w:t>
      </w:r>
      <w:r>
        <w:rPr>
          <w:rFonts w:ascii="Times New Roman" w:hAnsi="Times New Roman" w:eastAsia="Times New Roman" w:cs="Times New Roman"/>
        </w:rPr>
        <w:t xml:space="preserve"> </w:t>
      </w:r>
      <w:r>
        <w:rPr>
          <w:rFonts w:ascii="Leelawadee UI" w:hAnsi="Leelawadee UI" w:eastAsia="Leelawadee UI" w:cs="Leelawadee UI"/>
        </w:rPr>
        <w:t>ដើម្បីមានចំណែកក្នុងចលនាដ៏រុងរឿងនោះ</w:t>
      </w:r>
      <w:r>
        <w:rPr>
          <w:rFonts w:ascii="Times New Roman" w:hAnsi="Times New Roman" w:eastAsia="Times New Roman" w:cs="Times New Roman"/>
        </w:rPr>
        <w:t xml:space="preserve"> </w:t>
      </w:r>
      <w:r>
        <w:rPr>
          <w:rFonts w:ascii="Leelawadee UI" w:hAnsi="Leelawadee UI" w:eastAsia="Leelawadee UI" w:cs="Leelawadee UI"/>
        </w:rPr>
        <w:t>តម្រូវឲ្យយើងត្រឡប់មកវិញ។</w:t>
      </w:r>
    </w:p>
    <w:p>
      <w:pPr>
        <w:pStyle w:val="ArticleScripture"/>
        <w:jc w:val="left"/>
      </w:pP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ફરવા</w:t>
      </w:r>
      <w:r>
        <w:rPr>
          <w:rFonts w:ascii="Times New Roman" w:hAnsi="Times New Roman" w:eastAsia="Times New Roman" w:cs="Times New Roman"/>
        </w:rPr>
        <w:t xml:space="preserve"> </w:t>
      </w:r>
      <w:r>
        <w:rPr>
          <w:rFonts w:ascii="Nirmala UI" w:hAnsi="Nirmala UI" w:eastAsia="Nirmala UI" w:cs="Nirmala UI"/>
        </w:rPr>
        <w:t>ઇચ્છે</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ઇઝરાયલ</w:t>
      </w:r>
      <w:r>
        <w:rPr>
          <w:rFonts w:ascii="Times New Roman" w:hAnsi="Times New Roman" w:eastAsia="Times New Roman" w:cs="Times New Roman"/>
        </w:rPr>
        <w:t xml:space="preserve">, </w:t>
      </w:r>
      <w:r>
        <w:rPr>
          <w:rFonts w:ascii="Nirmala UI" w:hAnsi="Nirmala UI" w:eastAsia="Nirmala UI" w:cs="Nirmala UI"/>
        </w:rPr>
        <w:t>યહોવા</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દૃષ્ટિમાંથી</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ઘૃણાસ્પદ</w:t>
      </w:r>
      <w:r>
        <w:rPr>
          <w:rFonts w:ascii="Times New Roman" w:hAnsi="Times New Roman" w:eastAsia="Times New Roman" w:cs="Times New Roman"/>
        </w:rPr>
        <w:t xml:space="preserve"> </w:t>
      </w:r>
      <w:r>
        <w:rPr>
          <w:rFonts w:ascii="Nirmala UI" w:hAnsi="Nirmala UI" w:eastAsia="Nirmala UI" w:cs="Nirmala UI"/>
        </w:rPr>
        <w:t>વસ્તુઓ</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નાખે</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અસ્થિર</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થશ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શપથ</w:t>
      </w:r>
      <w:r>
        <w:rPr>
          <w:rFonts w:ascii="Times New Roman" w:hAnsi="Times New Roman" w:eastAsia="Times New Roman" w:cs="Times New Roman"/>
        </w:rPr>
        <w:t xml:space="preserve"> </w:t>
      </w:r>
      <w:r>
        <w:rPr>
          <w:rFonts w:ascii="Nirmala UI" w:hAnsi="Nirmala UI" w:eastAsia="Nirmala UI" w:cs="Nirmala UI"/>
        </w:rPr>
        <w:t>ખાશ</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w:t>
      </w:r>
      <w:r>
        <w:rPr>
          <w:rFonts w:ascii="Nirmala UI" w:hAnsi="Nirmala UI" w:eastAsia="Nirmala UI" w:cs="Nirmala UI"/>
        </w:rPr>
        <w:t>યહોવા</w:t>
      </w:r>
      <w:r>
        <w:rPr>
          <w:rFonts w:ascii="Times New Roman" w:hAnsi="Times New Roman" w:eastAsia="Times New Roman" w:cs="Times New Roman"/>
        </w:rPr>
        <w:t xml:space="preserve"> </w:t>
      </w:r>
      <w:r>
        <w:rPr>
          <w:rFonts w:ascii="Nirmala UI" w:hAnsi="Nirmala UI" w:eastAsia="Nirmala UI" w:cs="Nirmala UI"/>
        </w:rPr>
        <w:t>જીવિત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સત્યમાં</w:t>
      </w:r>
      <w:r>
        <w:rPr>
          <w:rFonts w:ascii="Times New Roman" w:hAnsi="Times New Roman" w:eastAsia="Times New Roman" w:cs="Times New Roman"/>
        </w:rPr>
        <w:t xml:space="preserve">, </w:t>
      </w:r>
      <w:r>
        <w:rPr>
          <w:rFonts w:ascii="Nirmala UI" w:hAnsi="Nirmala UI" w:eastAsia="Nirmala UI" w:cs="Nirmala UI"/>
        </w:rPr>
        <w:t>ન્યાયમાં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ધર્મમાં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રાષ્ટ્રો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અંદર</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ધન્ય</w:t>
      </w:r>
      <w:r>
        <w:rPr>
          <w:rFonts w:ascii="Times New Roman" w:hAnsi="Times New Roman" w:eastAsia="Times New Roman" w:cs="Times New Roman"/>
        </w:rPr>
        <w:t xml:space="preserve"> </w:t>
      </w:r>
      <w:r>
        <w:rPr>
          <w:rFonts w:ascii="Nirmala UI" w:hAnsi="Nirmala UI" w:eastAsia="Nirmala UI" w:cs="Nirmala UI"/>
        </w:rPr>
        <w:t>ગણશે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અંદર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ગૌરવ</w:t>
      </w:r>
      <w:r>
        <w:rPr>
          <w:rFonts w:ascii="Times New Roman" w:hAnsi="Times New Roman" w:eastAsia="Times New Roman" w:cs="Times New Roman"/>
        </w:rPr>
        <w:t xml:space="preserve"> </w:t>
      </w:r>
      <w:r>
        <w:rPr>
          <w:rFonts w:ascii="Nirmala UI" w:hAnsi="Nirmala UI" w:eastAsia="Nirmala UI" w:cs="Nirmala UI"/>
        </w:rPr>
        <w:t>પામશે</w:t>
      </w:r>
      <w:r>
        <w:rPr>
          <w:rFonts w:ascii="Times New Roman" w:hAnsi="Times New Roman" w:eastAsia="Times New Roman" w:cs="Times New Roman"/>
        </w:rPr>
        <w:t xml:space="preserve">. </w:t>
      </w:r>
      <w:r>
        <w:rPr>
          <w:rFonts w:ascii="Nirmala UI" w:hAnsi="Nirmala UI" w:eastAsia="Nirmala UI" w:cs="Nirmala UI"/>
        </w:rPr>
        <w:t>કેમ</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યહોવા</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પુરુષો</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યરુશાલેમના</w:t>
      </w:r>
      <w:r>
        <w:rPr>
          <w:rFonts w:ascii="Times New Roman" w:hAnsi="Times New Roman" w:eastAsia="Times New Roman" w:cs="Times New Roman"/>
        </w:rPr>
        <w:t xml:space="preserve"> </w:t>
      </w:r>
      <w:r>
        <w:rPr>
          <w:rFonts w:ascii="Nirmala UI" w:hAnsi="Nirmala UI" w:eastAsia="Nirmala UI" w:cs="Nirmala UI"/>
        </w:rPr>
        <w:t>નિવાસીઓને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પ્રમાણે</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તમારી</w:t>
      </w:r>
      <w:r>
        <w:rPr>
          <w:rFonts w:ascii="Times New Roman" w:hAnsi="Times New Roman" w:eastAsia="Times New Roman" w:cs="Times New Roman"/>
        </w:rPr>
        <w:t xml:space="preserve"> </w:t>
      </w:r>
      <w:r>
        <w:rPr>
          <w:rFonts w:ascii="Nirmala UI" w:hAnsi="Nirmala UI" w:eastAsia="Nirmala UI" w:cs="Nirmala UI"/>
        </w:rPr>
        <w:t>પડતર</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ખેડો</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કાંટાઓ</w:t>
      </w:r>
      <w:r>
        <w:rPr>
          <w:rFonts w:ascii="Times New Roman" w:hAnsi="Times New Roman" w:eastAsia="Times New Roman" w:cs="Times New Roman"/>
        </w:rPr>
        <w:t xml:space="preserve"> </w:t>
      </w:r>
      <w:r>
        <w:rPr>
          <w:rFonts w:ascii="Nirmala UI" w:hAnsi="Nirmala UI" w:eastAsia="Nirmala UI" w:cs="Nirmala UI"/>
        </w:rPr>
        <w:t>વચ્ચે</w:t>
      </w:r>
      <w:r>
        <w:rPr>
          <w:rFonts w:ascii="Times New Roman" w:hAnsi="Times New Roman" w:eastAsia="Times New Roman" w:cs="Times New Roman"/>
        </w:rPr>
        <w:t xml:space="preserve"> </w:t>
      </w:r>
      <w:r>
        <w:rPr>
          <w:rFonts w:ascii="Nirmala UI" w:hAnsi="Nirmala UI" w:eastAsia="Nirmala UI" w:cs="Nirmala UI"/>
        </w:rPr>
        <w:t>વાવણી</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યહોવાને</w:t>
      </w:r>
      <w:r>
        <w:rPr>
          <w:rFonts w:ascii="Times New Roman" w:hAnsi="Times New Roman" w:eastAsia="Times New Roman" w:cs="Times New Roman"/>
        </w:rPr>
        <w:t xml:space="preserve"> </w:t>
      </w:r>
      <w:r>
        <w:rPr>
          <w:rFonts w:ascii="Nirmala UI" w:hAnsi="Nirmala UI" w:eastAsia="Nirmala UI" w:cs="Nirmala UI"/>
        </w:rPr>
        <w:t>અર્પણ</w:t>
      </w:r>
      <w:r>
        <w:rPr>
          <w:rFonts w:ascii="Times New Roman" w:hAnsi="Times New Roman" w:eastAsia="Times New Roman" w:cs="Times New Roman"/>
        </w:rPr>
        <w:t xml:space="preserve"> </w:t>
      </w:r>
      <w:r>
        <w:rPr>
          <w:rFonts w:ascii="Nirmala UI" w:hAnsi="Nirmala UI" w:eastAsia="Nirmala UI" w:cs="Nirmala UI"/>
        </w:rPr>
        <w:t>થઈને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સુનત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તમારા</w:t>
      </w:r>
      <w:r>
        <w:rPr>
          <w:rFonts w:ascii="Times New Roman" w:hAnsi="Times New Roman" w:eastAsia="Times New Roman" w:cs="Times New Roman"/>
        </w:rPr>
        <w:t xml:space="preserve"> </w:t>
      </w:r>
      <w:r>
        <w:rPr>
          <w:rFonts w:ascii="Nirmala UI" w:hAnsi="Nirmala UI" w:eastAsia="Nirmala UI" w:cs="Nirmala UI"/>
        </w:rPr>
        <w:t>હૃદયની</w:t>
      </w:r>
      <w:r>
        <w:rPr>
          <w:rFonts w:ascii="Times New Roman" w:hAnsi="Times New Roman" w:eastAsia="Times New Roman" w:cs="Times New Roman"/>
        </w:rPr>
        <w:t xml:space="preserve"> </w:t>
      </w:r>
      <w:r>
        <w:rPr>
          <w:rFonts w:ascii="Nirmala UI" w:hAnsi="Nirmala UI" w:eastAsia="Nirmala UI" w:cs="Nirmala UI"/>
        </w:rPr>
        <w:t>અગ્રચર્મ</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પુરુષો</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યરુશાલેમના</w:t>
      </w:r>
      <w:r>
        <w:rPr>
          <w:rFonts w:ascii="Times New Roman" w:hAnsi="Times New Roman" w:eastAsia="Times New Roman" w:cs="Times New Roman"/>
        </w:rPr>
        <w:t xml:space="preserve"> </w:t>
      </w:r>
      <w:r>
        <w:rPr>
          <w:rFonts w:ascii="Nirmala UI" w:hAnsi="Nirmala UI" w:eastAsia="Nirmala UI" w:cs="Nirmala UI"/>
        </w:rPr>
        <w:t>નિવાસીઓ</w:t>
      </w:r>
      <w:r>
        <w:rPr>
          <w:rFonts w:ascii="Times New Roman" w:hAnsi="Times New Roman" w:eastAsia="Times New Roman" w:cs="Times New Roman"/>
        </w:rPr>
        <w:t xml:space="preserve">; </w:t>
      </w:r>
      <w:r>
        <w:rPr>
          <w:rFonts w:ascii="Nirmala UI" w:hAnsi="Nirmala UI" w:eastAsia="Nirmala UI" w:cs="Nirmala UI"/>
        </w:rPr>
        <w:t>નહિંતર</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કોપ</w:t>
      </w:r>
      <w:r>
        <w:rPr>
          <w:rFonts w:ascii="Times New Roman" w:hAnsi="Times New Roman" w:eastAsia="Times New Roman" w:cs="Times New Roman"/>
        </w:rPr>
        <w:t xml:space="preserve"> </w:t>
      </w:r>
      <w:r>
        <w:rPr>
          <w:rFonts w:ascii="Nirmala UI" w:hAnsi="Nirmala UI" w:eastAsia="Nirmala UI" w:cs="Nirmala UI"/>
        </w:rPr>
        <w:t>અગ્નિની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બળશે</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બુઝાવી</w:t>
      </w:r>
      <w:r>
        <w:rPr>
          <w:rFonts w:ascii="Times New Roman" w:hAnsi="Times New Roman" w:eastAsia="Times New Roman" w:cs="Times New Roman"/>
        </w:rPr>
        <w:t xml:space="preserve"> </w:t>
      </w:r>
      <w:r>
        <w:rPr>
          <w:rFonts w:ascii="Nirmala UI" w:hAnsi="Nirmala UI" w:eastAsia="Nirmala UI" w:cs="Nirmala UI"/>
        </w:rPr>
        <w:t>શકશે</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તમારા</w:t>
      </w:r>
      <w:r>
        <w:rPr>
          <w:rFonts w:ascii="Times New Roman" w:hAnsi="Times New Roman" w:eastAsia="Times New Roman" w:cs="Times New Roman"/>
        </w:rPr>
        <w:t xml:space="preserve"> </w:t>
      </w:r>
      <w:r>
        <w:rPr>
          <w:rFonts w:ascii="Nirmala UI" w:hAnsi="Nirmala UI" w:eastAsia="Nirmala UI" w:cs="Nirmala UI"/>
        </w:rPr>
        <w:t>કર્મોની</w:t>
      </w:r>
      <w:r>
        <w:rPr>
          <w:rFonts w:ascii="Times New Roman" w:hAnsi="Times New Roman" w:eastAsia="Times New Roman" w:cs="Times New Roman"/>
        </w:rPr>
        <w:t xml:space="preserve"> </w:t>
      </w:r>
      <w:r>
        <w:rPr>
          <w:rFonts w:ascii="Nirmala UI" w:hAnsi="Nirmala UI" w:eastAsia="Nirmala UI" w:cs="Nirmala UI"/>
        </w:rPr>
        <w:t>દુષ્ટતાના</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યહૂદામાં</w:t>
      </w:r>
      <w:r>
        <w:rPr>
          <w:rFonts w:ascii="Times New Roman" w:hAnsi="Times New Roman" w:eastAsia="Times New Roman" w:cs="Times New Roman"/>
        </w:rPr>
        <w:t xml:space="preserve"> </w:t>
      </w:r>
      <w:r>
        <w:rPr>
          <w:rFonts w:ascii="Nirmala UI" w:hAnsi="Nirmala UI" w:eastAsia="Nirmala UI" w:cs="Nirmala UI"/>
        </w:rPr>
        <w:t>જાહેર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યરુશાલેમમાં</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દેશમાં</w:t>
      </w:r>
      <w:r>
        <w:rPr>
          <w:rFonts w:ascii="Times New Roman" w:hAnsi="Times New Roman" w:eastAsia="Times New Roman" w:cs="Times New Roman"/>
        </w:rPr>
        <w:t xml:space="preserve"> </w:t>
      </w:r>
      <w:r>
        <w:rPr>
          <w:rFonts w:ascii="Nirmala UI" w:hAnsi="Nirmala UI" w:eastAsia="Nirmala UI" w:cs="Nirmala UI"/>
        </w:rPr>
        <w:t>તુરાઈ</w:t>
      </w:r>
      <w:r>
        <w:rPr>
          <w:rFonts w:ascii="Times New Roman" w:hAnsi="Times New Roman" w:eastAsia="Times New Roman" w:cs="Times New Roman"/>
        </w:rPr>
        <w:t xml:space="preserve"> </w:t>
      </w:r>
      <w:r>
        <w:rPr>
          <w:rFonts w:ascii="Nirmala UI" w:hAnsi="Nirmala UI" w:eastAsia="Nirmala UI" w:cs="Nirmala UI"/>
        </w:rPr>
        <w:t>ફૂંકો</w:t>
      </w:r>
      <w:r>
        <w:rPr>
          <w:rFonts w:ascii="Times New Roman" w:hAnsi="Times New Roman" w:eastAsia="Times New Roman" w:cs="Times New Roman"/>
        </w:rPr>
        <w:t xml:space="preserve">; </w:t>
      </w:r>
      <w:r>
        <w:rPr>
          <w:rFonts w:ascii="Nirmala UI" w:hAnsi="Nirmala UI" w:eastAsia="Nirmala UI" w:cs="Nirmala UI"/>
        </w:rPr>
        <w:t>જોરથી</w:t>
      </w:r>
      <w:r>
        <w:rPr>
          <w:rFonts w:ascii="Times New Roman" w:hAnsi="Times New Roman" w:eastAsia="Times New Roman" w:cs="Times New Roman"/>
        </w:rPr>
        <w:t xml:space="preserve"> </w:t>
      </w:r>
      <w:r>
        <w:rPr>
          <w:rFonts w:ascii="Nirmala UI" w:hAnsi="Nirmala UI" w:eastAsia="Nirmala UI" w:cs="Nirmala UI"/>
        </w:rPr>
        <w:t>પોકારો</w:t>
      </w:r>
      <w:r>
        <w:rPr>
          <w:rFonts w:ascii="Times New Roman" w:hAnsi="Times New Roman" w:eastAsia="Times New Roman" w:cs="Times New Roman"/>
        </w:rPr>
        <w:t xml:space="preserve">, </w:t>
      </w:r>
      <w:r>
        <w:rPr>
          <w:rFonts w:ascii="Nirmala UI" w:hAnsi="Nirmala UI" w:eastAsia="Nirmala UI" w:cs="Nirmala UI"/>
        </w:rPr>
        <w:t>એકત્ર</w:t>
      </w:r>
      <w:r>
        <w:rPr>
          <w:rFonts w:ascii="Times New Roman" w:hAnsi="Times New Roman" w:eastAsia="Times New Roman" w:cs="Times New Roman"/>
        </w:rPr>
        <w:t xml:space="preserve"> </w:t>
      </w:r>
      <w:r>
        <w:rPr>
          <w:rFonts w:ascii="Nirmala UI" w:hAnsi="Nirmala UI" w:eastAsia="Nirmala UI" w:cs="Nirmala UI"/>
        </w:rPr>
        <w:t>થાઓ</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થાઓ</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ગઢવાળા</w:t>
      </w:r>
      <w:r>
        <w:rPr>
          <w:rFonts w:ascii="Times New Roman" w:hAnsi="Times New Roman" w:eastAsia="Times New Roman" w:cs="Times New Roman"/>
        </w:rPr>
        <w:t xml:space="preserve"> </w:t>
      </w:r>
      <w:r>
        <w:rPr>
          <w:rFonts w:ascii="Nirmala UI" w:hAnsi="Nirmala UI" w:eastAsia="Nirmala UI" w:cs="Nirmala UI"/>
        </w:rPr>
        <w:t>શહેરોમાં</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સિયોન</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ધ્વજ</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પાછળ</w:t>
      </w:r>
      <w:r>
        <w:rPr>
          <w:rFonts w:ascii="Times New Roman" w:hAnsi="Times New Roman" w:eastAsia="Times New Roman" w:cs="Times New Roman"/>
        </w:rPr>
        <w:t xml:space="preserve"> </w:t>
      </w:r>
      <w:r>
        <w:rPr>
          <w:rFonts w:ascii="Nirmala UI" w:hAnsi="Nirmala UI" w:eastAsia="Nirmala UI" w:cs="Nirmala UI"/>
        </w:rPr>
        <w:t>હઠો</w:t>
      </w:r>
      <w:r>
        <w:rPr>
          <w:rFonts w:ascii="Times New Roman" w:hAnsi="Times New Roman" w:eastAsia="Times New Roman" w:cs="Times New Roman"/>
        </w:rPr>
        <w:t xml:space="preserve">, </w:t>
      </w:r>
      <w:r>
        <w:rPr>
          <w:rFonts w:ascii="Nirmala UI" w:hAnsi="Nirmala UI" w:eastAsia="Nirmala UI" w:cs="Nirmala UI"/>
        </w:rPr>
        <w:t>વિલંબ</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ઉત્તર</w:t>
      </w:r>
      <w:r>
        <w:rPr>
          <w:rFonts w:ascii="Times New Roman" w:hAnsi="Times New Roman" w:eastAsia="Times New Roman" w:cs="Times New Roman"/>
        </w:rPr>
        <w:t xml:space="preserve"> </w:t>
      </w:r>
      <w:r>
        <w:rPr>
          <w:rFonts w:ascii="Nirmala UI" w:hAnsi="Nirmala UI" w:eastAsia="Nirmala UI" w:cs="Nirmala UI"/>
        </w:rPr>
        <w:t>તરફથી</w:t>
      </w:r>
      <w:r>
        <w:rPr>
          <w:rFonts w:ascii="Times New Roman" w:hAnsi="Times New Roman" w:eastAsia="Times New Roman" w:cs="Times New Roman"/>
        </w:rPr>
        <w:t xml:space="preserve"> </w:t>
      </w:r>
      <w:r>
        <w:rPr>
          <w:rFonts w:ascii="Nirmala UI" w:hAnsi="Nirmala UI" w:eastAsia="Nirmala UI" w:cs="Nirmala UI"/>
        </w:rPr>
        <w:t>અનિષ્ટ</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વિનાશ</w:t>
      </w:r>
      <w:r>
        <w:rPr>
          <w:rFonts w:ascii="Times New Roman" w:hAnsi="Times New Roman" w:eastAsia="Times New Roman" w:cs="Times New Roman"/>
        </w:rPr>
        <w:t xml:space="preserve"> </w:t>
      </w:r>
      <w:r>
        <w:rPr>
          <w:rFonts w:ascii="Nirmala UI" w:hAnsi="Nirmala UI" w:eastAsia="Nirmala UI" w:cs="Nirmala UI"/>
        </w:rPr>
        <w:t>લાવી</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સિંહ</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ઝાડપમાંથી</w:t>
      </w:r>
      <w:r>
        <w:rPr>
          <w:rFonts w:ascii="Times New Roman" w:hAnsi="Times New Roman" w:eastAsia="Times New Roman" w:cs="Times New Roman"/>
        </w:rPr>
        <w:t xml:space="preserve"> </w:t>
      </w:r>
      <w:r>
        <w:rPr>
          <w:rFonts w:ascii="Nirmala UI" w:hAnsi="Nirmala UI" w:eastAsia="Nirmala UI" w:cs="Nirmala UI"/>
        </w:rPr>
        <w:t>નીકળી</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જાતિઓનો</w:t>
      </w:r>
      <w:r>
        <w:rPr>
          <w:rFonts w:ascii="Times New Roman" w:hAnsi="Times New Roman" w:eastAsia="Times New Roman" w:cs="Times New Roman"/>
        </w:rPr>
        <w:t xml:space="preserve"> </w:t>
      </w:r>
      <w:r>
        <w:rPr>
          <w:rFonts w:ascii="Nirmala UI" w:hAnsi="Nirmala UI" w:eastAsia="Nirmala UI" w:cs="Nirmala UI"/>
        </w:rPr>
        <w:t>વિનાશક</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સ્થાનેથી</w:t>
      </w:r>
      <w:r>
        <w:rPr>
          <w:rFonts w:ascii="Times New Roman" w:hAnsi="Times New Roman" w:eastAsia="Times New Roman" w:cs="Times New Roman"/>
        </w:rPr>
        <w:t xml:space="preserve"> </w:t>
      </w:r>
      <w:r>
        <w:rPr>
          <w:rFonts w:ascii="Nirmala UI" w:hAnsi="Nirmala UI" w:eastAsia="Nirmala UI" w:cs="Nirmala UI"/>
        </w:rPr>
        <w:t>નીકળી</w:t>
      </w:r>
      <w:r>
        <w:rPr>
          <w:rFonts w:ascii="Times New Roman" w:hAnsi="Times New Roman" w:eastAsia="Times New Roman" w:cs="Times New Roman"/>
        </w:rPr>
        <w:t xml:space="preserve"> </w:t>
      </w:r>
      <w:r>
        <w:rPr>
          <w:rFonts w:ascii="Nirmala UI" w:hAnsi="Nirmala UI" w:eastAsia="Nirmala UI" w:cs="Nirmala UI"/>
        </w:rPr>
        <w:t>પડ્યો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દેશ</w:t>
      </w:r>
      <w:r>
        <w:rPr>
          <w:rFonts w:ascii="Times New Roman" w:hAnsi="Times New Roman" w:eastAsia="Times New Roman" w:cs="Times New Roman"/>
        </w:rPr>
        <w:t xml:space="preserve"> </w:t>
      </w:r>
      <w:r>
        <w:rPr>
          <w:rFonts w:ascii="Nirmala UI" w:hAnsi="Nirmala UI" w:eastAsia="Nirmala UI" w:cs="Nirmala UI"/>
        </w:rPr>
        <w:t>ઉજાડ</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દે</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શહેરો</w:t>
      </w:r>
      <w:r>
        <w:rPr>
          <w:rFonts w:ascii="Times New Roman" w:hAnsi="Times New Roman" w:eastAsia="Times New Roman" w:cs="Times New Roman"/>
        </w:rPr>
        <w:t xml:space="preserve"> </w:t>
      </w:r>
      <w:r>
        <w:rPr>
          <w:rFonts w:ascii="Nirmala UI" w:hAnsi="Nirmala UI" w:eastAsia="Nirmala UI" w:cs="Nirmala UI"/>
        </w:rPr>
        <w:t>નિવાસી</w:t>
      </w:r>
      <w:r>
        <w:rPr>
          <w:rFonts w:ascii="Times New Roman" w:hAnsi="Times New Roman" w:eastAsia="Times New Roman" w:cs="Times New Roman"/>
        </w:rPr>
        <w:t xml:space="preserve"> </w:t>
      </w:r>
      <w:r>
        <w:rPr>
          <w:rFonts w:ascii="Nirmala UI" w:hAnsi="Nirmala UI" w:eastAsia="Nirmala UI" w:cs="Nirmala UI"/>
        </w:rPr>
        <w:t>વિનાના</w:t>
      </w:r>
      <w:r>
        <w:rPr>
          <w:rFonts w:ascii="Times New Roman" w:hAnsi="Times New Roman" w:eastAsia="Times New Roman" w:cs="Times New Roman"/>
        </w:rPr>
        <w:t xml:space="preserve"> </w:t>
      </w:r>
      <w:r>
        <w:rPr>
          <w:rFonts w:ascii="Nirmala UI" w:hAnsi="Nirmala UI" w:eastAsia="Nirmala UI" w:cs="Nirmala UI"/>
        </w:rPr>
        <w:t>પડીને</w:t>
      </w:r>
      <w:r>
        <w:rPr>
          <w:rFonts w:ascii="Times New Roman" w:hAnsi="Times New Roman" w:eastAsia="Times New Roman" w:cs="Times New Roman"/>
        </w:rPr>
        <w:t xml:space="preserve"> </w:t>
      </w:r>
      <w:r>
        <w:rPr>
          <w:rFonts w:ascii="Nirmala UI" w:hAnsi="Nirmala UI" w:eastAsia="Nirmala UI" w:cs="Nirmala UI"/>
        </w:rPr>
        <w:t>ઉજ્જડ</w:t>
      </w:r>
      <w:r>
        <w:rPr>
          <w:rFonts w:ascii="Times New Roman" w:hAnsi="Times New Roman" w:eastAsia="Times New Roman" w:cs="Times New Roman"/>
        </w:rPr>
        <w:t xml:space="preserve"> </w:t>
      </w:r>
      <w:r>
        <w:rPr>
          <w:rFonts w:ascii="Nirmala UI" w:hAnsi="Nirmala UI" w:eastAsia="Nirmala UI" w:cs="Nirmala UI"/>
        </w:rPr>
        <w:t>થશે</w:t>
      </w:r>
      <w:r>
        <w:rPr>
          <w:rFonts w:ascii="Times New Roman" w:hAnsi="Times New Roman" w:eastAsia="Times New Roman" w:cs="Times New Roman"/>
        </w:rPr>
        <w:t xml:space="preserve">. </w:t>
      </w:r>
      <w:r>
        <w:rPr>
          <w:rFonts w:ascii="Nirmala UI" w:hAnsi="Nirmala UI" w:eastAsia="Nirmala UI" w:cs="Nirmala UI"/>
        </w:rPr>
        <w:t>યિરમિયા</w:t>
      </w:r>
      <w:r>
        <w:rPr>
          <w:rFonts w:ascii="Times New Roman" w:hAnsi="Times New Roman" w:eastAsia="Times New Roman" w:cs="Times New Roman"/>
        </w:rPr>
        <w:t xml:space="preserve"> 4:1–7.</w:t>
      </w:r>
    </w:p>
    <w:p>
      <w:pPr>
        <w:pStyle w:val="ArticleScripture"/>
        <w:jc w:val="left"/>
      </w:pPr>
      <w:r>
        <w:rPr>
          <w:rFonts w:ascii="Times New Roman" w:hAnsi="Times New Roman" w:eastAsia="Times New Roman" w:cs="Times New Roman"/>
        </w:rPr>
        <w:t>Mais l’Esprit de l’Éternel revêtit Gédéon, et il sonna de la trompette ; et Abiézer fut convoqué à sa suite. Il envoya des messagers dans tout Manassé, qui lui aussi fut convoqué à sa suite ; et il envoya des messagers vers Aser, vers Zabulon et vers Nephthali ; et ils montèrent à leur rencontre. Juges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zu zukünfte und 18. Juli 2020 – Nummer Sechs</dc:title>
  <dc:subject>Ff знамение</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