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L’avenir pour l’Amérique et le 18 juillet 2020 — Numéro sept</w:t>
      </w:r>
    </w:p>
    <w:p>
      <w:pPr>
        <w:pStyle w:val="ArticleSubtitle"/>
        <w:jc w:val="left"/>
      </w:pPr>
      <w:r>
        <w:rPr>
          <w:rFonts w:ascii="Arial" w:hAnsi="Arial" w:eastAsia="Arial" w:cs="Arial"/>
        </w:rPr>
        <w:t>The Archers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Leelawadee UI" w:hAnsi="Leelawadee UI" w:eastAsia="Leelawadee UI" w:cs="Leelawadee UI"/>
        </w:rPr>
        <w:t>ในบทความเมื่อไม่นานมานี้</w:t>
      </w:r>
      <w:r>
        <w:rPr>
          <w:rFonts w:ascii="Times New Roman" w:hAnsi="Times New Roman" w:eastAsia="Times New Roman" w:cs="Times New Roman"/>
        </w:rPr>
        <w:t xml:space="preserve"> </w:t>
      </w:r>
      <w:r>
        <w:rPr>
          <w:rFonts w:ascii="Leelawadee UI" w:hAnsi="Leelawadee UI" w:eastAsia="Leelawadee UI" w:cs="Leelawadee UI"/>
        </w:rPr>
        <w:t>เราได้กล่าวถึง</w:t>
      </w:r>
      <w:r>
        <w:rPr>
          <w:rFonts w:ascii="Times New Roman" w:hAnsi="Times New Roman" w:eastAsia="Times New Roman" w:cs="Times New Roman"/>
        </w:rPr>
        <w:t xml:space="preserve"> “</w:t>
      </w:r>
      <w:r>
        <w:rPr>
          <w:rFonts w:ascii="Leelawadee UI" w:hAnsi="Leelawadee UI" w:eastAsia="Leelawadee UI" w:cs="Leelawadee UI"/>
        </w:rPr>
        <w:t>ภาระแห่งหุบเขาแห่งนิมิต</w:t>
      </w:r>
      <w:r>
        <w:rPr>
          <w:rFonts w:ascii="Times New Roman" w:hAnsi="Times New Roman" w:eastAsia="Times New Roman" w:cs="Times New Roman"/>
        </w:rPr>
        <w:t xml:space="preserve">” </w:t>
      </w:r>
      <w:r>
        <w:rPr>
          <w:rFonts w:ascii="Leelawadee UI" w:hAnsi="Leelawadee UI" w:eastAsia="Leelawadee UI" w:cs="Leelawadee UI"/>
        </w:rPr>
        <w:t>ในอิสยาห์บทที่ยี่สิบสอง</w:t>
      </w:r>
      <w:r>
        <w:rPr>
          <w:rFonts w:ascii="Times New Roman" w:hAnsi="Times New Roman" w:eastAsia="Times New Roman" w:cs="Times New Roman"/>
        </w:rPr>
        <w:t xml:space="preserve"> </w:t>
      </w:r>
      <w:r>
        <w:rPr>
          <w:rFonts w:ascii="Leelawadee UI" w:hAnsi="Leelawadee UI" w:eastAsia="Leelawadee UI" w:cs="Leelawadee UI"/>
        </w:rPr>
        <w:t>ที่นั่นเราได้ชี้ว่่า</w:t>
      </w:r>
      <w:r>
        <w:rPr>
          <w:rFonts w:ascii="Times New Roman" w:hAnsi="Times New Roman" w:eastAsia="Times New Roman" w:cs="Times New Roman"/>
        </w:rPr>
        <w:t xml:space="preserve"> “</w:t>
      </w:r>
      <w:r>
        <w:rPr>
          <w:rFonts w:ascii="Leelawadee UI" w:hAnsi="Leelawadee UI" w:eastAsia="Leelawadee UI" w:cs="Leelawadee UI"/>
        </w:rPr>
        <w:t>หุบเขาแห่งนิมิต</w:t>
      </w:r>
      <w:r>
        <w:rPr>
          <w:rFonts w:ascii="Times New Roman" w:hAnsi="Times New Roman" w:eastAsia="Times New Roman" w:cs="Times New Roman"/>
        </w:rPr>
        <w:t xml:space="preserve">” </w:t>
      </w:r>
      <w:r>
        <w:rPr>
          <w:rFonts w:ascii="Leelawadee UI" w:hAnsi="Leelawadee UI" w:eastAsia="Leelawadee UI" w:cs="Leelawadee UI"/>
        </w:rPr>
        <w:t>เป็นสัญลักษณ์ทางภูมิศาสตร์ของความแตกต่างระหว่างชาวเลาดีเซียกับชาวฟีลาเดลเฟียใน</w:t>
      </w:r>
      <w:r>
        <w:rPr>
          <w:rFonts w:ascii="Times New Roman" w:hAnsi="Times New Roman" w:eastAsia="Times New Roman" w:cs="Times New Roman"/>
        </w:rPr>
        <w:t xml:space="preserve"> “</w:t>
      </w:r>
      <w:r>
        <w:rPr>
          <w:rFonts w:ascii="Leelawadee UI" w:hAnsi="Leelawadee UI" w:eastAsia="Leelawadee UI" w:cs="Leelawadee UI"/>
        </w:rPr>
        <w:t>วาระสุดท้าย</w:t>
      </w:r>
      <w:r>
        <w:rPr>
          <w:rFonts w:ascii="Times New Roman" w:hAnsi="Times New Roman" w:eastAsia="Times New Roman" w:cs="Times New Roman"/>
        </w:rPr>
        <w:t xml:space="preserve">” </w:t>
      </w:r>
      <w:r>
        <w:rPr>
          <w:rFonts w:ascii="Leelawadee UI" w:hAnsi="Leelawadee UI" w:eastAsia="Leelawadee UI" w:cs="Leelawadee UI"/>
        </w:rPr>
        <w:t>สิ่งซึ่งมัดหญิงพรหมจารีชาวเลาดีเซียที่โง่เขลาเป็นมัด</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สำหรับไฟแห่งการทำลายนั้น</w:t>
      </w:r>
      <w:r>
        <w:rPr>
          <w:rFonts w:ascii="Times New Roman" w:hAnsi="Times New Roman" w:eastAsia="Times New Roman" w:cs="Times New Roman"/>
        </w:rPr>
        <w:t xml:space="preserve"> </w:t>
      </w:r>
      <w:r>
        <w:rPr>
          <w:rFonts w:ascii="Leelawadee UI" w:hAnsi="Leelawadee UI" w:eastAsia="Leelawadee UI" w:cs="Leelawadee UI"/>
        </w:rPr>
        <w:t>คือ</w:t>
      </w:r>
      <w:r>
        <w:rPr>
          <w:rFonts w:ascii="Times New Roman" w:hAnsi="Times New Roman" w:eastAsia="Times New Roman" w:cs="Times New Roman"/>
        </w:rPr>
        <w:t xml:space="preserve"> “</w:t>
      </w:r>
      <w:r>
        <w:rPr>
          <w:rFonts w:ascii="Leelawadee UI" w:hAnsi="Leelawadee UI" w:eastAsia="Leelawadee UI" w:cs="Leelawadee UI"/>
        </w:rPr>
        <w:t>พลธนู</w:t>
      </w:r>
      <w:r>
        <w:rPr>
          <w:rFonts w:ascii="Times New Roman" w:hAnsi="Times New Roman" w:eastAsia="Times New Roman" w:cs="Times New Roman"/>
        </w:rPr>
        <w:t xml:space="preserve">” </w:t>
      </w:r>
      <w:r>
        <w:rPr>
          <w:rFonts w:ascii="Leelawadee UI" w:hAnsi="Leelawadee UI" w:eastAsia="Leelawadee UI" w:cs="Leelawadee UI"/>
        </w:rPr>
        <w:t>พลธนูในคำพยากรณ์ตามพระคัมภีร์เป็นตัวแทนของอิสลาม</w:t>
      </w:r>
    </w:p>
    <w:p>
      <w:pPr>
        <w:pStyle w:val="ArticleScripture"/>
        <w:jc w:val="left"/>
      </w:pPr>
      <w:r>
        <w:rPr>
          <w:rFonts w:ascii="Myanmar Text" w:hAnsi="Myanmar Text" w:eastAsia="Myanmar Text" w:cs="Myanmar Text"/>
        </w:rPr>
        <w:t>ဖွားမြင်တော်မူသော</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အာဗြဟံအား</w:t>
      </w:r>
      <w:r>
        <w:rPr>
          <w:rFonts w:ascii="Times New Roman" w:hAnsi="Times New Roman" w:eastAsia="Times New Roman" w:cs="Times New Roman"/>
        </w:rPr>
        <w:t xml:space="preserve"> </w:t>
      </w:r>
      <w:r>
        <w:rPr>
          <w:rFonts w:ascii="Myanmar Text" w:hAnsi="Myanmar Text" w:eastAsia="Myanmar Text" w:cs="Myanmar Text"/>
        </w:rPr>
        <w:t>မိန့်တော်မူသည်မှာ၊</w:t>
      </w:r>
      <w:r>
        <w:rPr>
          <w:rFonts w:ascii="Times New Roman" w:hAnsi="Times New Roman" w:eastAsia="Times New Roman" w:cs="Times New Roman"/>
        </w:rPr>
        <w:t xml:space="preserve"> “</w:t>
      </w:r>
      <w:r>
        <w:rPr>
          <w:rFonts w:ascii="Myanmar Text" w:hAnsi="Myanmar Text" w:eastAsia="Myanmar Text" w:cs="Myanmar Text"/>
        </w:rPr>
        <w:t>ထိုသူငယ်ကြောင့်လည်းကောင်း၊</w:t>
      </w:r>
      <w:r>
        <w:rPr>
          <w:rFonts w:ascii="Times New Roman" w:hAnsi="Times New Roman" w:eastAsia="Times New Roman" w:cs="Times New Roman"/>
        </w:rPr>
        <w:t xml:space="preserve"> </w:t>
      </w:r>
      <w:r>
        <w:rPr>
          <w:rFonts w:ascii="Myanmar Text" w:hAnsi="Myanmar Text" w:eastAsia="Myanmar Text" w:cs="Myanmar Text"/>
        </w:rPr>
        <w:t>သင်၏ကျွန်မကြောင့်လည်းကောင်း</w:t>
      </w:r>
      <w:r>
        <w:rPr>
          <w:rFonts w:ascii="Times New Roman" w:hAnsi="Times New Roman" w:eastAsia="Times New Roman" w:cs="Times New Roman"/>
        </w:rPr>
        <w:t xml:space="preserve"> </w:t>
      </w:r>
      <w:r>
        <w:rPr>
          <w:rFonts w:ascii="Myanmar Text" w:hAnsi="Myanmar Text" w:eastAsia="Myanmar Text" w:cs="Myanmar Text"/>
        </w:rPr>
        <w:t>သင်၏မျက်မှောက်၌</w:t>
      </w:r>
      <w:r>
        <w:rPr>
          <w:rFonts w:ascii="Times New Roman" w:hAnsi="Times New Roman" w:eastAsia="Times New Roman" w:cs="Times New Roman"/>
        </w:rPr>
        <w:t xml:space="preserve"> </w:t>
      </w:r>
      <w:r>
        <w:rPr>
          <w:rFonts w:ascii="Myanmar Text" w:hAnsi="Myanmar Text" w:eastAsia="Myanmar Text" w:cs="Myanmar Text"/>
        </w:rPr>
        <w:t>မဝမ်းနည်းစေနှင့်။</w:t>
      </w:r>
      <w:r>
        <w:rPr>
          <w:rFonts w:ascii="Times New Roman" w:hAnsi="Times New Roman" w:eastAsia="Times New Roman" w:cs="Times New Roman"/>
        </w:rPr>
        <w:t xml:space="preserve"> </w:t>
      </w:r>
      <w:r>
        <w:rPr>
          <w:rFonts w:ascii="Myanmar Text" w:hAnsi="Myanmar Text" w:eastAsia="Myanmar Text" w:cs="Myanmar Text"/>
        </w:rPr>
        <w:t>စာရာသည်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ပြောသမျှအရာအလုံးစုံ၌</w:t>
      </w:r>
      <w:r>
        <w:rPr>
          <w:rFonts w:ascii="Times New Roman" w:hAnsi="Times New Roman" w:eastAsia="Times New Roman" w:cs="Times New Roman"/>
        </w:rPr>
        <w:t xml:space="preserve"> </w:t>
      </w:r>
      <w:r>
        <w:rPr>
          <w:rFonts w:ascii="Myanmar Text" w:hAnsi="Myanmar Text" w:eastAsia="Myanmar Text" w:cs="Myanmar Text"/>
        </w:rPr>
        <w:t>သူ၏စကားကို</w:t>
      </w:r>
      <w:r>
        <w:rPr>
          <w:rFonts w:ascii="Times New Roman" w:hAnsi="Times New Roman" w:eastAsia="Times New Roman" w:cs="Times New Roman"/>
        </w:rPr>
        <w:t xml:space="preserve"> </w:t>
      </w:r>
      <w:r>
        <w:rPr>
          <w:rFonts w:ascii="Myanmar Text" w:hAnsi="Myanmar Text" w:eastAsia="Myanmar Text" w:cs="Myanmar Text"/>
        </w:rPr>
        <w:t>နားထောင်လော့။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ဣဇက်အားဖြင့်သာ</w:t>
      </w:r>
      <w:r>
        <w:rPr>
          <w:rFonts w:ascii="Times New Roman" w:hAnsi="Times New Roman" w:eastAsia="Times New Roman" w:cs="Times New Roman"/>
        </w:rPr>
        <w:t xml:space="preserve"> </w:t>
      </w:r>
      <w:r>
        <w:rPr>
          <w:rFonts w:ascii="Myanmar Text" w:hAnsi="Myanmar Text" w:eastAsia="Myanmar Text" w:cs="Myanmar Text"/>
        </w:rPr>
        <w:t>သင်၏အမျိုးအနွယ်ဟု</w:t>
      </w:r>
      <w:r>
        <w:rPr>
          <w:rFonts w:ascii="Times New Roman" w:hAnsi="Times New Roman" w:eastAsia="Times New Roman" w:cs="Times New Roman"/>
        </w:rPr>
        <w:t xml:space="preserve"> </w:t>
      </w:r>
      <w:r>
        <w:rPr>
          <w:rFonts w:ascii="Myanmar Text" w:hAnsi="Myanmar Text" w:eastAsia="Myanmar Text" w:cs="Myanmar Text"/>
        </w:rPr>
        <w:t>ခေါ်ဝေါ်ခြင်းခံရမည်။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ကျွန်မ၏သားကိုလည်း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လူမျိုးတစ်မျိုးဖြစ်စေမည်။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သူသည်လည်း</w:t>
      </w:r>
      <w:r>
        <w:rPr>
          <w:rFonts w:ascii="Times New Roman" w:hAnsi="Times New Roman" w:eastAsia="Times New Roman" w:cs="Times New Roman"/>
        </w:rPr>
        <w:t xml:space="preserve"> </w:t>
      </w:r>
      <w:r>
        <w:rPr>
          <w:rFonts w:ascii="Myanmar Text" w:hAnsi="Myanmar Text" w:eastAsia="Myanmar Text" w:cs="Myanmar Text"/>
        </w:rPr>
        <w:t>သင်၏အမျိုးအနွယ်ဖြစ်၏</w:t>
      </w:r>
      <w:r>
        <w:rPr>
          <w:rFonts w:ascii="Times New Roman" w:hAnsi="Times New Roman" w:eastAsia="Times New Roman" w:cs="Times New Roman"/>
        </w:rPr>
        <w:t xml:space="preserve">” </w:t>
      </w:r>
      <w:r>
        <w:rPr>
          <w:rFonts w:ascii="Myanmar Text" w:hAnsi="Myanmar Text" w:eastAsia="Myanmar Text" w:cs="Myanmar Text"/>
        </w:rPr>
        <w:t>ဟူ၍ဖြစ်၏။</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အာဗြဟံသည်</w:t>
      </w:r>
      <w:r>
        <w:rPr>
          <w:rFonts w:ascii="Times New Roman" w:hAnsi="Times New Roman" w:eastAsia="Times New Roman" w:cs="Times New Roman"/>
        </w:rPr>
        <w:t xml:space="preserve"> </w:t>
      </w:r>
      <w:r>
        <w:rPr>
          <w:rFonts w:ascii="Myanmar Text" w:hAnsi="Myanmar Text" w:eastAsia="Myanmar Text" w:cs="Myanmar Text"/>
        </w:rPr>
        <w:t>နံနက်စောစော</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မုန့်နှင့်</w:t>
      </w:r>
      <w:r>
        <w:rPr>
          <w:rFonts w:ascii="Times New Roman" w:hAnsi="Times New Roman" w:eastAsia="Times New Roman" w:cs="Times New Roman"/>
        </w:rPr>
        <w:t xml:space="preserve"> </w:t>
      </w:r>
      <w:r>
        <w:rPr>
          <w:rFonts w:ascii="Myanmar Text" w:hAnsi="Myanmar Text" w:eastAsia="Myanmar Text" w:cs="Myanmar Text"/>
        </w:rPr>
        <w:t>ရေဘူးတစ်ဘူးကို</w:t>
      </w:r>
      <w:r>
        <w:rPr>
          <w:rFonts w:ascii="Times New Roman" w:hAnsi="Times New Roman" w:eastAsia="Times New Roman" w:cs="Times New Roman"/>
        </w:rPr>
        <w:t xml:space="preserve"> </w:t>
      </w:r>
      <w:r>
        <w:rPr>
          <w:rFonts w:ascii="Myanmar Text" w:hAnsi="Myanmar Text" w:eastAsia="Myanmar Text" w:cs="Myanmar Text"/>
        </w:rPr>
        <w:t>ယူကာ</w:t>
      </w:r>
      <w:r>
        <w:rPr>
          <w:rFonts w:ascii="Times New Roman" w:hAnsi="Times New Roman" w:eastAsia="Times New Roman" w:cs="Times New Roman"/>
        </w:rPr>
        <w:t xml:space="preserve"> </w:t>
      </w:r>
      <w:r>
        <w:rPr>
          <w:rFonts w:ascii="Myanmar Text" w:hAnsi="Myanmar Text" w:eastAsia="Myanmar Text" w:cs="Myanmar Text"/>
        </w:rPr>
        <w:t>ဟာဂါအား</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ထိုအရာတို့ကို</w:t>
      </w:r>
      <w:r>
        <w:rPr>
          <w:rFonts w:ascii="Times New Roman" w:hAnsi="Times New Roman" w:eastAsia="Times New Roman" w:cs="Times New Roman"/>
        </w:rPr>
        <w:t xml:space="preserve"> </w:t>
      </w:r>
      <w:r>
        <w:rPr>
          <w:rFonts w:ascii="Myanmar Text" w:hAnsi="Myanmar Text" w:eastAsia="Myanmar Text" w:cs="Myanmar Text"/>
        </w:rPr>
        <w:t>သူမ၏ပခုံးပေါ်၌</w:t>
      </w:r>
      <w:r>
        <w:rPr>
          <w:rFonts w:ascii="Times New Roman" w:hAnsi="Times New Roman" w:eastAsia="Times New Roman" w:cs="Times New Roman"/>
        </w:rPr>
        <w:t xml:space="preserve"> </w:t>
      </w:r>
      <w:r>
        <w:rPr>
          <w:rFonts w:ascii="Myanmar Text" w:hAnsi="Myanmar Text" w:eastAsia="Myanmar Text" w:cs="Myanmar Text"/>
        </w:rPr>
        <w:t>တင်ပေး၍</w:t>
      </w:r>
      <w:r>
        <w:rPr>
          <w:rFonts w:ascii="Times New Roman" w:hAnsi="Times New Roman" w:eastAsia="Times New Roman" w:cs="Times New Roman"/>
        </w:rPr>
        <w:t xml:space="preserve"> </w:t>
      </w:r>
      <w:r>
        <w:rPr>
          <w:rFonts w:ascii="Myanmar Text" w:hAnsi="Myanmar Text" w:eastAsia="Myanmar Text" w:cs="Myanmar Text"/>
        </w:rPr>
        <w:t>သူငယ်ကိုလည်း</w:t>
      </w:r>
      <w:r>
        <w:rPr>
          <w:rFonts w:ascii="Times New Roman" w:hAnsi="Times New Roman" w:eastAsia="Times New Roman" w:cs="Times New Roman"/>
        </w:rPr>
        <w:t xml:space="preserve"> </w:t>
      </w:r>
      <w:r>
        <w:rPr>
          <w:rFonts w:ascii="Myanmar Text" w:hAnsi="Myanmar Text" w:eastAsia="Myanmar Text" w:cs="Myanmar Text"/>
        </w:rPr>
        <w:t>ပေးကာ</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လွှတ်လိုက်လေ၏။</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ထွက်သွား၍</w:t>
      </w:r>
      <w:r>
        <w:rPr>
          <w:rFonts w:ascii="Times New Roman" w:hAnsi="Times New Roman" w:eastAsia="Times New Roman" w:cs="Times New Roman"/>
        </w:rPr>
        <w:t xml:space="preserve"> </w:t>
      </w:r>
      <w:r>
        <w:rPr>
          <w:rFonts w:ascii="Myanmar Text" w:hAnsi="Myanmar Text" w:eastAsia="Myanmar Text" w:cs="Myanmar Text"/>
        </w:rPr>
        <w:t>ဗေရရှေဘမြေကန္တာရ၌</w:t>
      </w:r>
      <w:r>
        <w:rPr>
          <w:rFonts w:ascii="Times New Roman" w:hAnsi="Times New Roman" w:eastAsia="Times New Roman" w:cs="Times New Roman"/>
        </w:rPr>
        <w:t xml:space="preserve"> </w:t>
      </w:r>
      <w:r>
        <w:rPr>
          <w:rFonts w:ascii="Myanmar Text" w:hAnsi="Myanmar Text" w:eastAsia="Myanmar Text" w:cs="Myanmar Text"/>
        </w:rPr>
        <w:t>လှည့်လည်ပျောက်ကွယ်လေ၏။</w:t>
      </w:r>
      <w:r>
        <w:rPr>
          <w:rFonts w:ascii="Times New Roman" w:hAnsi="Times New Roman" w:eastAsia="Times New Roman" w:cs="Times New Roman"/>
        </w:rPr>
        <w:t xml:space="preserve"> </w:t>
      </w:r>
      <w:r>
        <w:rPr>
          <w:rFonts w:ascii="Myanmar Text" w:hAnsi="Myanmar Text" w:eastAsia="Myanmar Text" w:cs="Myanmar Text"/>
        </w:rPr>
        <w:t>ရေဘူးထဲရှိ</w:t>
      </w:r>
      <w:r>
        <w:rPr>
          <w:rFonts w:ascii="Times New Roman" w:hAnsi="Times New Roman" w:eastAsia="Times New Roman" w:cs="Times New Roman"/>
        </w:rPr>
        <w:t xml:space="preserve"> </w:t>
      </w:r>
      <w:r>
        <w:rPr>
          <w:rFonts w:ascii="Myanmar Text" w:hAnsi="Myanmar Text" w:eastAsia="Myanmar Text" w:cs="Myanmar Text"/>
        </w:rPr>
        <w:t>ရေကုန်သွားသောအခါ</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သူငယ်ကို</w:t>
      </w:r>
      <w:r>
        <w:rPr>
          <w:rFonts w:ascii="Times New Roman" w:hAnsi="Times New Roman" w:eastAsia="Times New Roman" w:cs="Times New Roman"/>
        </w:rPr>
        <w:t xml:space="preserve"> </w:t>
      </w:r>
      <w:r>
        <w:rPr>
          <w:rFonts w:ascii="Myanmar Text" w:hAnsi="Myanmar Text" w:eastAsia="Myanmar Text" w:cs="Myanmar Text"/>
        </w:rPr>
        <w:t>တောပင်တစ်ပင်၏အောက်၌</w:t>
      </w:r>
      <w:r>
        <w:rPr>
          <w:rFonts w:ascii="Times New Roman" w:hAnsi="Times New Roman" w:eastAsia="Times New Roman" w:cs="Times New Roman"/>
        </w:rPr>
        <w:t xml:space="preserve"> </w:t>
      </w:r>
      <w:r>
        <w:rPr>
          <w:rFonts w:ascii="Myanmar Text" w:hAnsi="Myanmar Text" w:eastAsia="Myanmar Text" w:cs="Myanmar Text"/>
        </w:rPr>
        <w:t>ပစ်ထားလေ၏။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လေးတစ်လက်ပစ်အကွာခန့်</w:t>
      </w:r>
      <w:r>
        <w:rPr>
          <w:rFonts w:ascii="Times New Roman" w:hAnsi="Times New Roman" w:eastAsia="Times New Roman" w:cs="Times New Roman"/>
        </w:rPr>
        <w:t xml:space="preserve"> </w:t>
      </w:r>
      <w:r>
        <w:rPr>
          <w:rFonts w:ascii="Myanmar Text" w:hAnsi="Myanmar Text" w:eastAsia="Myanmar Text" w:cs="Myanmar Text"/>
        </w:rPr>
        <w:t>ဝေးရာ၌</w:t>
      </w:r>
      <w:r>
        <w:rPr>
          <w:rFonts w:ascii="Times New Roman" w:hAnsi="Times New Roman" w:eastAsia="Times New Roman" w:cs="Times New Roman"/>
        </w:rPr>
        <w:t xml:space="preserve"> </w:t>
      </w:r>
      <w:r>
        <w:rPr>
          <w:rFonts w:ascii="Myanmar Text" w:hAnsi="Myanmar Text" w:eastAsia="Myanmar Text" w:cs="Myanmar Text"/>
        </w:rPr>
        <w:t>သူငယ်နှင့်</w:t>
      </w:r>
      <w:r>
        <w:rPr>
          <w:rFonts w:ascii="Times New Roman" w:hAnsi="Times New Roman" w:eastAsia="Times New Roman" w:cs="Times New Roman"/>
        </w:rPr>
        <w:t xml:space="preserve"> </w:t>
      </w:r>
      <w:r>
        <w:rPr>
          <w:rFonts w:ascii="Myanmar Text" w:hAnsi="Myanmar Text" w:eastAsia="Myanmar Text" w:cs="Myanmar Text"/>
        </w:rPr>
        <w:t>မျက်နှာချင်းဆိုင်ရာအရပ်၌</w:t>
      </w:r>
      <w:r>
        <w:rPr>
          <w:rFonts w:ascii="Times New Roman" w:hAnsi="Times New Roman" w:eastAsia="Times New Roman" w:cs="Times New Roman"/>
        </w:rPr>
        <w:t xml:space="preserve"> </w:t>
      </w:r>
      <w:r>
        <w:rPr>
          <w:rFonts w:ascii="Myanmar Text" w:hAnsi="Myanmar Text" w:eastAsia="Myanmar Text" w:cs="Myanmar Text"/>
        </w:rPr>
        <w:t>ထိုင်ချလေ၏။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သူငယ်၏သေခြင်းကို</w:t>
      </w:r>
      <w:r>
        <w:rPr>
          <w:rFonts w:ascii="Times New Roman" w:hAnsi="Times New Roman" w:eastAsia="Times New Roman" w:cs="Times New Roman"/>
        </w:rPr>
        <w:t xml:space="preserve"> </w:t>
      </w:r>
      <w:r>
        <w:rPr>
          <w:rFonts w:ascii="Myanmar Text" w:hAnsi="Myanmar Text" w:eastAsia="Myanmar Text" w:cs="Myanmar Text"/>
        </w:rPr>
        <w:t>ငါမမြင်ရစေနှင့်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မျက်နှာချင်းဆိုင်ရာအရပ်၌</w:t>
      </w:r>
      <w:r>
        <w:rPr>
          <w:rFonts w:ascii="Times New Roman" w:hAnsi="Times New Roman" w:eastAsia="Times New Roman" w:cs="Times New Roman"/>
        </w:rPr>
        <w:t xml:space="preserve"> </w:t>
      </w:r>
      <w:r>
        <w:rPr>
          <w:rFonts w:ascii="Myanmar Text" w:hAnsi="Myanmar Text" w:eastAsia="Myanmar Text" w:cs="Myanmar Text"/>
        </w:rPr>
        <w:t>ထိုင်လျက်</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ငိုကြွေးလေ၏။</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သူငယ်၏အသံကို</w:t>
      </w:r>
      <w:r>
        <w:rPr>
          <w:rFonts w:ascii="Times New Roman" w:hAnsi="Times New Roman" w:eastAsia="Times New Roman" w:cs="Times New Roman"/>
        </w:rPr>
        <w:t xml:space="preserve"> </w:t>
      </w:r>
      <w:r>
        <w:rPr>
          <w:rFonts w:ascii="Myanmar Text" w:hAnsi="Myanmar Text" w:eastAsia="Myanmar Text" w:cs="Myanmar Text"/>
        </w:rPr>
        <w:t>ကြားတော်မူ၍၊</w:t>
      </w:r>
      <w:r>
        <w:rPr>
          <w:rFonts w:ascii="Times New Roman" w:hAnsi="Times New Roman" w:eastAsia="Times New Roman" w:cs="Times New Roman"/>
        </w:rPr>
        <w:t xml:space="preserve"> </w:t>
      </w:r>
      <w:r>
        <w:rPr>
          <w:rFonts w:ascii="Myanmar Text" w:hAnsi="Myanmar Text" w:eastAsia="Myanmar Text" w:cs="Myanmar Text"/>
        </w:rPr>
        <w:t>ဘုရားသခင်၏ကောင်းကင်တမန်သည်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ဟာဂါကို</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ဟာဂါ၊</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အဘယ်သို့ဖြစ်သနည်း။</w:t>
      </w:r>
      <w:r>
        <w:rPr>
          <w:rFonts w:ascii="Times New Roman" w:hAnsi="Times New Roman" w:eastAsia="Times New Roman" w:cs="Times New Roman"/>
        </w:rPr>
        <w:t xml:space="preserve"> </w:t>
      </w:r>
      <w:r>
        <w:rPr>
          <w:rFonts w:ascii="Myanmar Text" w:hAnsi="Myanmar Text" w:eastAsia="Myanmar Text" w:cs="Myanmar Text"/>
        </w:rPr>
        <w:t>မကြောက်နှင့်။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သူငယ်ရှိရာအရပ်မှ</w:t>
      </w:r>
      <w:r>
        <w:rPr>
          <w:rFonts w:ascii="Times New Roman" w:hAnsi="Times New Roman" w:eastAsia="Times New Roman" w:cs="Times New Roman"/>
        </w:rPr>
        <w:t xml:space="preserve"> </w:t>
      </w:r>
      <w:r>
        <w:rPr>
          <w:rFonts w:ascii="Myanmar Text" w:hAnsi="Myanmar Text" w:eastAsia="Myanmar Text" w:cs="Myanmar Text"/>
        </w:rPr>
        <w:t>သူ၏အသံကို</w:t>
      </w:r>
      <w:r>
        <w:rPr>
          <w:rFonts w:ascii="Times New Roman" w:hAnsi="Times New Roman" w:eastAsia="Times New Roman" w:cs="Times New Roman"/>
        </w:rPr>
        <w:t xml:space="preserve"> </w:t>
      </w:r>
      <w:r>
        <w:rPr>
          <w:rFonts w:ascii="Myanmar Text" w:hAnsi="Myanmar Text" w:eastAsia="Myanmar Text" w:cs="Myanmar Text"/>
        </w:rPr>
        <w:t>ကြားတော်မူပြီ။</w:t>
      </w:r>
      <w:r>
        <w:rPr>
          <w:rFonts w:ascii="Times New Roman" w:hAnsi="Times New Roman" w:eastAsia="Times New Roman" w:cs="Times New Roman"/>
        </w:rPr>
        <w:t xml:space="preserve"> </w:t>
      </w:r>
      <w:r>
        <w:rPr>
          <w:rFonts w:ascii="Myanmar Text" w:hAnsi="Myanmar Text" w:eastAsia="Myanmar Text" w:cs="Myanmar Text"/>
        </w:rPr>
        <w:t>ထလော့၊</w:t>
      </w:r>
      <w:r>
        <w:rPr>
          <w:rFonts w:ascii="Times New Roman" w:hAnsi="Times New Roman" w:eastAsia="Times New Roman" w:cs="Times New Roman"/>
        </w:rPr>
        <w:t xml:space="preserve"> </w:t>
      </w:r>
      <w:r>
        <w:rPr>
          <w:rFonts w:ascii="Myanmar Text" w:hAnsi="Myanmar Text" w:eastAsia="Myanmar Text" w:cs="Myanmar Text"/>
        </w:rPr>
        <w:t>သူငယ်ကို</w:t>
      </w:r>
      <w:r>
        <w:rPr>
          <w:rFonts w:ascii="Times New Roman" w:hAnsi="Times New Roman" w:eastAsia="Times New Roman" w:cs="Times New Roman"/>
        </w:rPr>
        <w:t xml:space="preserve"> </w:t>
      </w:r>
      <w:r>
        <w:rPr>
          <w:rFonts w:ascii="Myanmar Text" w:hAnsi="Myanmar Text" w:eastAsia="Myanmar Text" w:cs="Myanmar Text"/>
        </w:rPr>
        <w:t>ချီယူ၍</w:t>
      </w:r>
      <w:r>
        <w:rPr>
          <w:rFonts w:ascii="Times New Roman" w:hAnsi="Times New Roman" w:eastAsia="Times New Roman" w:cs="Times New Roman"/>
        </w:rPr>
        <w:t xml:space="preserve"> </w:t>
      </w:r>
      <w:r>
        <w:rPr>
          <w:rFonts w:ascii="Myanmar Text" w:hAnsi="Myanmar Text" w:eastAsia="Myanmar Text" w:cs="Myanmar Text"/>
        </w:rPr>
        <w:t>သင်၏လက်ဖြင့်</w:t>
      </w:r>
      <w:r>
        <w:rPr>
          <w:rFonts w:ascii="Times New Roman" w:hAnsi="Times New Roman" w:eastAsia="Times New Roman" w:cs="Times New Roman"/>
        </w:rPr>
        <w:t xml:space="preserve"> </w:t>
      </w:r>
      <w:r>
        <w:rPr>
          <w:rFonts w:ascii="Myanmar Text" w:hAnsi="Myanmar Text" w:eastAsia="Myanmar Text" w:cs="Myanmar Text"/>
        </w:rPr>
        <w:t>ခိုင်ခိုင်ကိုင်လော့။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လူမျိုးကြီးတစ်မျိုးဖြစ်စေမည်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သူမ၏မျက်စိကို</w:t>
      </w:r>
      <w:r>
        <w:rPr>
          <w:rFonts w:ascii="Times New Roman" w:hAnsi="Times New Roman" w:eastAsia="Times New Roman" w:cs="Times New Roman"/>
        </w:rPr>
        <w:t xml:space="preserve"> </w:t>
      </w:r>
      <w:r>
        <w:rPr>
          <w:rFonts w:ascii="Myanmar Text" w:hAnsi="Myanmar Text" w:eastAsia="Myanmar Text" w:cs="Myanmar Text"/>
        </w:rPr>
        <w:t>ဖွင့်တော်မူသဖြင့်၊</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ရေတွင်းတစ်တွင်းကို</w:t>
      </w:r>
      <w:r>
        <w:rPr>
          <w:rFonts w:ascii="Times New Roman" w:hAnsi="Times New Roman" w:eastAsia="Times New Roman" w:cs="Times New Roman"/>
        </w:rPr>
        <w:t xml:space="preserve"> </w:t>
      </w:r>
      <w:r>
        <w:rPr>
          <w:rFonts w:ascii="Myanmar Text" w:hAnsi="Myanmar Text" w:eastAsia="Myanmar Text" w:cs="Myanmar Text"/>
        </w:rPr>
        <w:t>မြင်လေ၏။</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ရေဘူးကို</w:t>
      </w:r>
      <w:r>
        <w:rPr>
          <w:rFonts w:ascii="Times New Roman" w:hAnsi="Times New Roman" w:eastAsia="Times New Roman" w:cs="Times New Roman"/>
        </w:rPr>
        <w:t xml:space="preserve"> </w:t>
      </w:r>
      <w:r>
        <w:rPr>
          <w:rFonts w:ascii="Myanmar Text" w:hAnsi="Myanmar Text" w:eastAsia="Myanmar Text" w:cs="Myanmar Text"/>
        </w:rPr>
        <w:t>ရေဖြင့်</w:t>
      </w:r>
      <w:r>
        <w:rPr>
          <w:rFonts w:ascii="Times New Roman" w:hAnsi="Times New Roman" w:eastAsia="Times New Roman" w:cs="Times New Roman"/>
        </w:rPr>
        <w:t xml:space="preserve"> </w:t>
      </w:r>
      <w:r>
        <w:rPr>
          <w:rFonts w:ascii="Myanmar Text" w:hAnsi="Myanmar Text" w:eastAsia="Myanmar Text" w:cs="Myanmar Text"/>
        </w:rPr>
        <w:t>ဖြည့်ကာ</w:t>
      </w:r>
      <w:r>
        <w:rPr>
          <w:rFonts w:ascii="Times New Roman" w:hAnsi="Times New Roman" w:eastAsia="Times New Roman" w:cs="Times New Roman"/>
        </w:rPr>
        <w:t xml:space="preserve"> </w:t>
      </w:r>
      <w:r>
        <w:rPr>
          <w:rFonts w:ascii="Myanmar Text" w:hAnsi="Myanmar Text" w:eastAsia="Myanmar Text" w:cs="Myanmar Text"/>
        </w:rPr>
        <w:t>သူငယ်အား</w:t>
      </w:r>
      <w:r>
        <w:rPr>
          <w:rFonts w:ascii="Times New Roman" w:hAnsi="Times New Roman" w:eastAsia="Times New Roman" w:cs="Times New Roman"/>
        </w:rPr>
        <w:t xml:space="preserve"> </w:t>
      </w:r>
      <w:r>
        <w:rPr>
          <w:rFonts w:ascii="Myanmar Text" w:hAnsi="Myanmar Text" w:eastAsia="Myanmar Text" w:cs="Myanmar Text"/>
        </w:rPr>
        <w:t>သောက်စေ၏။</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သူငယ်နှင့်အတူ</w:t>
      </w:r>
      <w:r>
        <w:rPr>
          <w:rFonts w:ascii="Times New Roman" w:hAnsi="Times New Roman" w:eastAsia="Times New Roman" w:cs="Times New Roman"/>
        </w:rPr>
        <w:t xml:space="preserve"> </w:t>
      </w:r>
      <w:r>
        <w:rPr>
          <w:rFonts w:ascii="Myanmar Text" w:hAnsi="Myanmar Text" w:eastAsia="Myanmar Text" w:cs="Myanmar Text"/>
        </w:rPr>
        <w:t>ရှိတော်မူသဖြင့်၊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ကြီးပြင်းလာ၍</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နေထိုင်ကာ</w:t>
      </w:r>
      <w:r>
        <w:rPr>
          <w:rFonts w:ascii="Times New Roman" w:hAnsi="Times New Roman" w:eastAsia="Times New Roman" w:cs="Times New Roman"/>
        </w:rPr>
        <w:t xml:space="preserve"> </w:t>
      </w:r>
      <w:r>
        <w:rPr>
          <w:rFonts w:ascii="Myanmar Text" w:hAnsi="Myanmar Text" w:eastAsia="Myanmar Text" w:cs="Myanmar Text"/>
        </w:rPr>
        <w:t>လေးသမားဖြစ်လာလေ၏။</w:t>
      </w:r>
      <w:r>
        <w:rPr>
          <w:rFonts w:ascii="Times New Roman" w:hAnsi="Times New Roman" w:eastAsia="Times New Roman" w:cs="Times New Roman"/>
        </w:rPr>
        <w:t xml:space="preserve"> </w:t>
      </w:r>
      <w:r>
        <w:rPr>
          <w:rFonts w:ascii="Myanmar Text" w:hAnsi="Myanmar Text" w:eastAsia="Myanmar Text" w:cs="Myanmar Text"/>
        </w:rPr>
        <w:t>ကမ္ဘာဦးကျမ်း</w:t>
      </w:r>
      <w:r>
        <w:rPr>
          <w:rFonts w:ascii="Times New Roman" w:hAnsi="Times New Roman" w:eastAsia="Times New Roman" w:cs="Times New Roman"/>
        </w:rPr>
        <w:t xml:space="preserve"> 21:12–21</w:t>
      </w:r>
      <w:r>
        <w:rPr>
          <w:rFonts w:ascii="Myanmar Text" w:hAnsi="Myanmar Text" w:eastAsia="Myanmar Text" w:cs="Myanmar Text"/>
        </w:rPr>
        <w:t>။</w:t>
      </w:r>
    </w:p>
    <w:p>
      <w:pPr>
        <w:pStyle w:val="ArticleBody"/>
        <w:jc w:val="left"/>
      </w:pPr>
      <w:r>
        <w:rPr>
          <w:rFonts w:ascii="Times New Roman" w:hAnsi="Times New Roman" w:eastAsia="Times New Roman" w:cs="Times New Roman"/>
        </w:rPr>
        <w:t>Ismaël, le fils d’Agar, devait devenir le père de la nation de l’islam, et il était représenté comme « un archer ». La première mention d’Ismaël définit son rôle dans la prophétie biblique.</w:t>
      </w:r>
    </w:p>
    <w:p>
      <w:pPr>
        <w:pStyle w:val="ArticleScripture"/>
        <w:jc w:val="left"/>
      </w:pPr>
      <w:r>
        <w:rPr>
          <w:rFonts w:ascii="Times New Roman" w:hAnsi="Times New Roman" w:eastAsia="Times New Roman" w:cs="Times New Roman"/>
        </w:rPr>
        <w:t>En l’attaché de Lord a dit à elle, Voici, tu es avec enfant, et tu porteras un fils, et tu appelleras son nom Ishmaël; parce que le Lord a entendu ton affliction. Et il sera un homme sauvage; sa main sera contre chaque homme, et la main de chaque homme contre lui; et il demeurera en présence de tous ses frères. Genèse 16:11, 12.</w:t>
      </w:r>
    </w:p>
    <w:p>
      <w:pPr>
        <w:pStyle w:val="ArticleBody"/>
        <w:jc w:val="left"/>
      </w:pPr>
      <w:r>
        <w:rPr>
          <w:rFonts w:ascii="Times New Roman" w:hAnsi="Times New Roman" w:eastAsia="Times New Roman" w:cs="Times New Roman"/>
        </w:rPr>
        <w:t>La nation de l’Islam « sera contre tout homme », et « la main de tout homme » sera « contre lui ». Le mot traduit par « sauvage » désigne l’âne sauvage d’Arabie; ainsi, dès l’origine, Ismaël, en tant que symbole prophétique, est associé à la « famille du cheval », et il rassemblera contre sa nation toutes les nations du monde.</w:t>
      </w:r>
    </w:p>
    <w:p>
      <w:pPr>
        <w:pStyle w:val="ArticleBody"/>
        <w:jc w:val="left"/>
      </w:pPr>
      <w:r>
        <w:rPr>
          <w:rFonts w:ascii="Nirmala UI" w:hAnsi="Nirmala UI" w:eastAsia="Nirmala UI" w:cs="Nirmala UI"/>
        </w:rPr>
        <w:t>मिलरवादियों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तालिकाओं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दृश्यतः</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Et je regardai, et j’entendis un ange qui volait au milieu du ciel, disant d’une voix forte : Malheur, malheur, malheur aux habitants de la terre, à cause des autres sons de la trompette des trois anges qui doivent encore sonner ! Apocalypse 8:13.</w:t>
      </w:r>
    </w:p>
    <w:p>
      <w:pPr>
        <w:pStyle w:val="ArticleBody"/>
        <w:jc w:val="left"/>
      </w:pP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एकता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11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11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दुल्हिन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छिड़काव</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हुआ।</w:t>
      </w:r>
    </w:p>
    <w:p>
      <w:pPr>
        <w:pStyle w:val="ArticleScripture"/>
        <w:jc w:val="left"/>
      </w:pPr>
      <w:r>
        <w:rPr>
          <w:rFonts w:ascii="Times New Roman" w:hAnsi="Times New Roman" w:eastAsia="Times New Roman" w:cs="Times New Roman"/>
        </w:rPr>
        <w:t>«بدر آن زمان، در حالی که کار نجات به پایان خود نزدیک می‌شود، تنگی بر زمین عارض خواهد شد، و امت‌ها خشمگین خواهند شد، با این حال مهار خواهند شد تا مانع کار فرشتهٔ سوم نگردند. در آن زمان، «باران آخر»، یا تازگی‌ای از حضور خداوند، خواهد آمد تا به آواز بلندِ فرشتهٔ سوم قدرت ببخشد و مقدسان را آماده سازد تا در دوره‌ای که هفت بلای آخر فرو ریخته خواهد شد، استوار بایستند.» Early Writings, 85.</w:t>
      </w:r>
    </w:p>
    <w:p>
      <w:pPr>
        <w:pStyle w:val="ArticleBody"/>
        <w:jc w:val="left"/>
      </w:pPr>
      <w:r>
        <w:rPr>
          <w:rFonts w:ascii="Times New Roman" w:hAnsi="Times New Roman" w:eastAsia="Times New Roman" w:cs="Times New Roman"/>
        </w:rPr>
        <w:t>2001 թվականի սեպտեմբերի 11-ին սկսվեց ողջերի դատաստանը, ազգերը բարկացան Իսլամի՝ Միացյալ Նահանգների դեմ կատարած հարձակման պատճառով, և ուշ անձրևը սկսեց թափվել։ Դատաստանը սկսվում է Աստծո տնից, և Աստծո տան դատաստանն ավարտվում է կիրակնօրյա օրենքի ճգնաժամով, ապա սկսվում է Աստծո մյուս հոտի դատաստանը։ Այս ամենակարևոր ճշմարտության հետ շատ բան է առնչվում, սակայն այս ճշմարտությունները լավ փաստագրված են «Habakkuk’s Tables» շարքում։ Կարևոր էր այս բաները այստեղ՝ հոդվածում, ներկայացնել, նախքան Հայտնություն տասնմեկի պատմությանը վերադառնալը։</w:t>
      </w:r>
    </w:p>
    <w:p>
      <w:pPr>
        <w:pStyle w:val="ArticleScripture"/>
        <w:jc w:val="left"/>
      </w:pPr>
      <w:r>
        <w:rPr>
          <w:rFonts w:ascii="Times New Roman" w:hAnsi="Times New Roman" w:eastAsia="Times New Roman" w:cs="Times New Roman"/>
        </w:rPr>
        <w:t>و در همان ساعت زلزله‌ای عظیم رخ داد، و یک‌دهم شهر فرو ریخت، و در آن زلزله هفت هزار تن کشته شدند؛ و باقی‌ماندگان هراسان شدند و خدای آسمان را جلال دادند. وایِ دوم گذشت؛ و اینک، وایِ سوم به‌زودی می‌آید. مکاشفه 11:13، 14</w:t>
      </w:r>
    </w:p>
    <w:p>
      <w:pPr>
        <w:pStyle w:val="ArticleBody"/>
        <w:jc w:val="left"/>
      </w:pPr>
      <w:r>
        <w:rPr>
          <w:rFonts w:ascii="Times New Roman" w:hAnsi="Times New Roman" w:eastAsia="Times New Roman" w:cs="Times New Roman"/>
        </w:rPr>
        <w:t>فرينچ انقلاب ۾ فرانس جي قوم جي اٿل پٿل کي نشان بڻائيندڙ ”وڏو زلزلو“ آچر جي قانون وقت آمريڪا جي اٿل پٿل جي نمائندگي ڪري ٿو. قومي ارتداد کان پوءِ قومي تباهي اچڻي آهي، ۽ جڏهن آمريڪا تباهه ٿيندو، تڏهن سڄي زمين پنهنجي پاڙن تائين لوڏي ويندي؛ تنهنڪري ”زلزلي“ جي علامت استعمال ڪئي وئي آهي. ان موقعي تي ”ٽيون افسوس جلدي اچي ٿو.“ ٻن مقدس جدولن تي اسلام کي مڪاشفو نون جي پهرئين ۽ ٻئي افسوس طور سڃاتو ويو آهي، ۽ جيڪڏهن پهريون افسوس اسلام آهي ۽ ٻيو افسوس اسلام آهي، ته پوءِ ٽيون افسوس به اسلام ئي هئڻ گهرجي، ڇاڪاڻتہ ٻن شاهدين جي گواهي تي ڪا ڳالهه قائم ٿئي ٿي. آچر جي قانون وقت آمريڪا تي اسلام طرفان ٻيهر وار ڪيو ويندو.</w:t>
      </w:r>
    </w:p>
    <w:p>
      <w:pPr>
        <w:pStyle w:val="ArticleBody"/>
        <w:jc w:val="left"/>
      </w:pPr>
      <w:r>
        <w:rPr>
          <w:rFonts w:ascii="Times New Roman" w:hAnsi="Times New Roman" w:eastAsia="Times New Roman" w:cs="Times New Roman"/>
        </w:rPr>
        <w:t>Mayelana nesigodi samathambo sikaHezekeli, uDade White ubhala okulandelayo.</w:t>
      </w:r>
    </w:p>
    <w:p>
      <w:pPr>
        <w:pStyle w:val="ArticleScripture"/>
        <w:jc w:val="left"/>
      </w:pPr>
      <w:r>
        <w:rPr>
          <w:rFonts w:ascii="Times New Roman" w:hAnsi="Times New Roman" w:eastAsia="Times New Roman" w:cs="Times New Roman"/>
        </w:rPr>
        <w:t>« Les anges retiennent les quatre vents, représentés comme un cheval furieux cherchant à se déchaîner et à se précipiter sur toute la surface de la terre, portant sur son passage la destruction et la mort. »</w:t>
      </w:r>
    </w:p>
    <w:p>
      <w:pPr>
        <w:pStyle w:val="ArticleScripture"/>
        <w:jc w:val="left"/>
      </w:pPr>
      <w:r>
        <w:rPr>
          <w:rFonts w:ascii="Times New Roman" w:hAnsi="Times New Roman" w:eastAsia="Times New Roman" w:cs="Times New Roman"/>
        </w:rPr>
        <w:t>« Nous endormirons-nous sur le seuil même du monde éternel ? Serons-nous engourdis, froids et morts ? Oh ! puissions-nous avoir dans nos églises l’Esprit et le souffle de Dieu insufflés à Son peuple, afin qu’ils se tiennent sur leurs pieds et qu’ils vivent. Il nous faut voir que le chemin est étroit, et la porte resserrée. Mais lorsque nous passons par la porte étroite, son étendue est sans limite. » Manuscript Releases, volume 20, 217.</w:t>
      </w:r>
    </w:p>
    <w:p>
      <w:pPr>
        <w:pStyle w:val="ArticleBody"/>
        <w:jc w:val="left"/>
      </w:pPr>
      <w:r>
        <w:rPr>
          <w:rFonts w:ascii="Times New Roman" w:hAnsi="Times New Roman" w:eastAsia="Times New Roman" w:cs="Times New Roman"/>
        </w:rPr>
        <w:t>Meseji ya “upepo nne” inayowaamsha manabii wawili wa Ufunuo kumi na moja ni ile meseji ya farasi mwenye hasira wa unabii wa Biblia, kama inavyowakilishwa katika ushuhuda wote wa kibiblia, na vilevile kama inavyowakilishwa kwa sura juu ya yale mabamba mawili matakatifu ya Habakuki. Meseji inayowasimamisha Eliya na Musa kwa miguu yao ni meseji ya ole ya tatu, inayokuja upesi baada ya wao kusimamishwa kwa miguu yao; kwa maana sheria ya Jumapili itakapowadia na Uislamu kupiga tena, Musa na Eliya watainuliwa kuwa bendera kwa mataifa.</w:t>
      </w:r>
    </w:p>
    <w:p>
      <w:pPr>
        <w:pStyle w:val="ArticleBody"/>
        <w:jc w:val="left"/>
      </w:pPr>
      <w:r>
        <w:rPr>
          <w:rFonts w:ascii="Times New Roman" w:hAnsi="Times New Roman" w:eastAsia="Times New Roman" w:cs="Times New Roman"/>
        </w:rPr>
        <w:t>Ìyọnu kẹta ti Islam pẹ̀lú ni ipè keje náà. Ìbẹ̀rẹ̀ ìró ipè keje náà ni ó wáyé ní ọjọ́ 22 Oṣù Kẹwàá, 1844, nígbà tí ìdájọ́ bẹ̀rẹ̀.</w:t>
      </w:r>
    </w:p>
    <w:p>
      <w:pPr>
        <w:pStyle w:val="ArticleScripture"/>
        <w:jc w:val="left"/>
      </w:pPr>
      <w:r>
        <w:rPr>
          <w:rFonts w:ascii="Times New Roman" w:hAnsi="Times New Roman" w:eastAsia="Times New Roman" w:cs="Times New Roman"/>
        </w:rPr>
        <w:t>Mais aux jours de la voix du septième ange, lorsqu’il commencera à sonner de la trompette, le mystère de Dieu s’accomplira, comme il l’a annoncé à ses serviteurs, les prophètes. Apocalypse 10:7.</w:t>
      </w:r>
    </w:p>
    <w:p>
      <w:pPr>
        <w:pStyle w:val="ArticleBody"/>
        <w:jc w:val="left"/>
      </w:pPr>
      <w:r>
        <w:rPr>
          <w:rFonts w:ascii="Times New Roman" w:hAnsi="Times New Roman" w:eastAsia="Times New Roman" w:cs="Times New Roman"/>
        </w:rPr>
        <w:t>Le « temps de la voix du septième ange » désigne les jours du jugement d’instruction, qui commença le 22 octobre 1844. Alors débuta le jugement des morts. Dès que le troisième malheur survient promptement, le retentissement de la septième trompette est de nouveau signalé. Ce retentissement n’est pas le commencement du jugement d’instruction, mais la fin du jugement de la maison de Dieu, et le commencement du jugement de l’autre troupeau de Dieu.</w:t>
      </w:r>
    </w:p>
    <w:p>
      <w:pPr>
        <w:pStyle w:val="ArticleScripture"/>
        <w:jc w:val="left"/>
      </w:pPr>
      <w:r>
        <w:rPr>
          <w:rFonts w:ascii="Times New Roman" w:hAnsi="Times New Roman" w:eastAsia="Times New Roman" w:cs="Times New Roman"/>
        </w:rPr>
        <w:t>اور ساتویں فرشتے نے نرسنگا پھونکا؛ اور آسمان پر بلند آوازیں ہوئیں جو کہنے لگیں، دنیا کی سلطنتیں ہمارے خداوند اور اُس کے مسیح کی سلطنتیں بن گئی ہیں، اور وہ ابدالآباد بادشاہی کرے گا۔ اور چوبیس بزرگ، جو اپنے تختوں پر خدا کے حضور بیٹھے تھے، اپنے منہ کے بل گر پڑے اور خدا کی پرستش کرتے ہوئے کہنے لگے، اے خداوند خدا قادرِ مطلق، جو ہے، اور جو تھا، اور جو آنے والا ہے، ہم تیرا شکر کرتے ہیں؛ کیونکہ تُو نے اپنی عظیم قدرت کو ہاتھ میں لے لیا ہے اور بادشاہی کی ہے۔ مکاشفہ 11:15–17۔</w:t>
      </w:r>
    </w:p>
    <w:p>
      <w:pPr>
        <w:pStyle w:val="ArticleBody"/>
        <w:jc w:val="left"/>
      </w:pPr>
      <w:r>
        <w:rPr>
          <w:rFonts w:ascii="Times New Roman" w:hAnsi="Times New Roman" w:eastAsia="Times New Roman" w:cs="Times New Roman"/>
        </w:rPr>
        <w:t>La “mistero di Dio” è Cristo in noi, la speranza della gloria, che si compie nel periodo di tempo in cui Mosè ed Elia si levano e sono risuscitati mediante un messaggio dalla Parola di Dio che identifica l’Islam. Se il messaggio viene ricevuto, esso lega un’anima per il granaio celeste; ma per coloro che rigettano il messaggio, esso è il messaggio degli arcieri dell’Islam che li legano in fasci per essere arsi nei fuochi della distruzione. Il messaggio della settima tromba suggella i centoquarantaquattromila prima che essi siano innalzati come un’insegna per raccogliere l’altro gregge di Dio. I due profeti risuscitati devono prima essere suggellati prima che il mondo possa essere avvertito.</w:t>
      </w:r>
    </w:p>
    <w:p>
      <w:pPr>
        <w:pStyle w:val="ArticleScripture"/>
        <w:jc w:val="left"/>
      </w:pPr>
      <w:r>
        <w:rPr>
          <w:rFonts w:ascii="Times New Roman" w:hAnsi="Times New Roman" w:eastAsia="Times New Roman" w:cs="Times New Roman"/>
        </w:rPr>
        <w:t>“Roho Mtakatifu ana kazi ya kuuhakikishia ulimwengu habari za dhambi, na za haki, na za hukumu. Ulimwengu waweza kuonywa tu kwa kuwaona wale waiaminio kweli wakitakaswa kwa ile kweli, wakitenda kwa misingi ya juu na mitakatifu, wakionyesha, kwa maana ya juu na iliyoinuliwa, mstari wa utengano kati ya wale wazishikao amri za Mungu, na wale wazikanyagao chini ya miguu yao. Kutakaswa kwa Roho huutangaza wazi tofauti kati ya wale walio na muhuri wa Mungu, na wale washikao siku ya mapumziko ya bandia. Jaribu litakapokuja, itaonyeshwa wazi mark of the beast ni nini. Ni kuishika Jumapili. Wale ambao, baada ya kuisikia kweli, wanaendelea kuiona siku hii kuwa takatifu, hubeba sahihi ya mtu wa dhambi, aliyedhani kubadili nyakati na sheria. Bible Training School, December 1, 1903.”</w:t>
      </w:r>
    </w:p>
    <w:p>
      <w:pPr>
        <w:pStyle w:val="ArticleBody"/>
        <w:jc w:val="left"/>
      </w:pPr>
      <w:r>
        <w:rPr>
          <w:rFonts w:ascii="Times New Roman" w:hAnsi="Times New Roman" w:eastAsia="Times New Roman" w:cs="Times New Roman"/>
        </w:rPr>
        <w:t>Зуун дөчин дөрвөн мянган хүн үндэстнүүдэд зориулсан туг тэмдэг болгон өргөгдөх үед, үндэстнүүд уур хилэнгээр дүрэлзэх болно. Библийн эш үзүүллэгт үндэстнүүдийг хилэгнүүлдэг хүч нь Ислам юм. Ням гаргийн хуулийн үед Ислам Америкийн Нэгдсэн Улсад дахин цохилт өгөх болно.</w:t>
      </w:r>
    </w:p>
    <w:p>
      <w:pPr>
        <w:pStyle w:val="ArticleScripture"/>
        <w:jc w:val="left"/>
      </w:pPr>
      <w:r>
        <w:rPr>
          <w:rFonts w:ascii="Times New Roman" w:hAnsi="Times New Roman" w:eastAsia="Times New Roman" w:cs="Times New Roman"/>
        </w:rPr>
        <w:t>Et les nations se sont irritées; et ta colère est venue, et le temps des morts, afin qu’ils soient jugés, et afin que tu donnes la récompense à tes serviteurs les prophètes, et aux saints, et à ceux qui craignent ton nom, petits et grands; et afin que tu détruises ceux qui détruisent la terre. Et le temple de Dieu fut ouvert dans le ciel, et l’arche de son alliance fut vue dans son temple; et il y eut des éclairs, et des voix, et des tonnerres, et un tremblement de terre, et une grosse grêle. Apocalypse 11:18, 19.</w:t>
      </w:r>
    </w:p>
    <w:p>
      <w:pPr>
        <w:pStyle w:val="ArticleBody"/>
        <w:jc w:val="left"/>
      </w:pPr>
      <w:r>
        <w:rPr>
          <w:rFonts w:ascii="Times New Roman" w:hAnsi="Times New Roman" w:eastAsia="Times New Roman" w:cs="Times New Roman"/>
        </w:rPr>
        <w:t>Après cette série d’événements prophétiques, Jean présente l’Église qui doit être l’étendard.</w:t>
      </w:r>
    </w:p>
    <w:p>
      <w:pPr>
        <w:pStyle w:val="ArticleScripture"/>
        <w:jc w:val="left"/>
      </w:pPr>
      <w:r>
        <w:rPr>
          <w:rFonts w:ascii="Times New Roman" w:hAnsi="Times New Roman" w:eastAsia="Times New Roman" w:cs="Times New Roman"/>
        </w:rPr>
        <w:t>Et il parut dans le ciel un grand signe : une femme revêtue du soleil, la lune sous ses pieds, et sur sa tête une couronne de douze étoiles. Étant enceinte, elle criait, étant en travail et dans les douleurs de l’enfantement. Apocalypse 12:1.</w:t>
      </w:r>
    </w:p>
    <w:p>
      <w:pPr>
        <w:pStyle w:val="ArticleBody"/>
        <w:jc w:val="left"/>
      </w:pPr>
      <w:r>
        <w:rPr>
          <w:rFonts w:ascii="Times New Roman" w:hAnsi="Times New Roman" w:eastAsia="Times New Roman" w:cs="Times New Roman"/>
        </w:rPr>
        <w:t>Hapa kanisa lile lililochinjwa, likakanyagwa chini, likafufuliwa, na baadaye likanyakuliwa kwenda mbinguni likiwa ishara ya Mungu ing’aayo kwa utukufu wa jua. Wamesimama juu ya mwezi, unaowakilisha kivuli cha nyota kumi na mbili juu ya taji yao. Kivuli hicho ni makabila kumi na mawili ya Israeli ya kale yaliyokuwa mfano na mwangwi wa wanafunzi kumi na wawili, ambao ndio nyota kumi na mbili katika taji yake. Mwanzo wa Israeli ya kale unaifananisha mwisho wa Israeli ya kale katika mfano huo.</w:t>
      </w:r>
    </w:p>
    <w:p>
      <w:pPr>
        <w:pStyle w:val="ArticleBody"/>
        <w:jc w:val="left"/>
      </w:pPr>
      <w:r>
        <w:rPr>
          <w:rFonts w:ascii="Nirmala UI" w:hAnsi="Nirmala UI" w:eastAsia="Nirmala UI" w:cs="Nirmala UI"/>
        </w:rPr>
        <w:t>নারীটি</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প্রসব</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উদ্যত</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অন্তিমকালে</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জন্মকে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অইহুদীদের</w:t>
      </w:r>
      <w:r>
        <w:rPr>
          <w:rFonts w:ascii="Times New Roman" w:hAnsi="Times New Roman" w:eastAsia="Times New Roman" w:cs="Times New Roman"/>
        </w:rPr>
        <w:t xml:space="preserve"> </w:t>
      </w:r>
      <w:r>
        <w:rPr>
          <w:rFonts w:ascii="Nirmala UI" w:hAnsi="Nirmala UI" w:eastAsia="Nirmala UI" w:cs="Nirmala UI"/>
        </w:rPr>
        <w:t>জন্মকে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বেরিয়ে</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এলিয়াহ</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পতাকাচিহ্নরূপে</w:t>
      </w:r>
      <w:r>
        <w:rPr>
          <w:rFonts w:ascii="Times New Roman" w:hAnsi="Times New Roman" w:eastAsia="Times New Roman" w:cs="Times New Roman"/>
        </w:rPr>
        <w:t xml:space="preserve"> </w:t>
      </w:r>
      <w:r>
        <w:rPr>
          <w:rFonts w:ascii="Nirmala UI" w:hAnsi="Nirmala UI" w:eastAsia="Nirmala UI" w:cs="Nirmala UI"/>
        </w:rPr>
        <w:t>উন্নীত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সঙ্গেই</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পালকে</w:t>
      </w:r>
      <w:r>
        <w:rPr>
          <w:rFonts w:ascii="Times New Roman" w:hAnsi="Times New Roman" w:eastAsia="Times New Roman" w:cs="Times New Roman"/>
        </w:rPr>
        <w:t xml:space="preserve"> </w:t>
      </w:r>
      <w:r>
        <w:rPr>
          <w:rFonts w:ascii="Nirmala UI" w:hAnsi="Nirmala UI" w:eastAsia="Nirmala UI" w:cs="Nirmala UI"/>
        </w:rPr>
        <w:t>প্রসব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পতাকাচিহ্নে</w:t>
      </w:r>
      <w:r>
        <w:rPr>
          <w:rFonts w:ascii="Times New Roman" w:hAnsi="Times New Roman" w:eastAsia="Times New Roman" w:cs="Times New Roman"/>
        </w:rPr>
        <w:t xml:space="preserve"> </w:t>
      </w:r>
      <w:r>
        <w:rPr>
          <w:rFonts w:ascii="Nirmala UI" w:hAnsi="Nirmala UI" w:eastAsia="Nirmala UI" w:cs="Nirmala UI"/>
        </w:rPr>
        <w:t>সাড়া</w:t>
      </w:r>
      <w:r>
        <w:rPr>
          <w:rFonts w:ascii="Times New Roman" w:hAnsi="Times New Roman" w:eastAsia="Times New Roman" w:cs="Times New Roman"/>
        </w:rPr>
        <w:t xml:space="preserve"> </w:t>
      </w:r>
      <w:r>
        <w:rPr>
          <w:rFonts w:ascii="Nirmala UI" w:hAnsi="Nirmala UI" w:eastAsia="Nirmala UI" w:cs="Nirmala UI"/>
        </w:rPr>
        <w:t>দেবে।</w:t>
      </w:r>
    </w:p>
    <w:p>
      <w:pPr>
        <w:pStyle w:val="ArticleBody"/>
        <w:jc w:val="left"/>
      </w:pPr>
      <w:r>
        <w:rPr>
          <w:rFonts w:ascii="Times New Roman" w:hAnsi="Times New Roman" w:eastAsia="Times New Roman" w:cs="Times New Roman"/>
        </w:rPr>
        <w:t>“Du aduase no betumi anya kɔkɔbɔ nkutoo” denam sɛ wobehunu mpem ɔha aduanan anan no sɛ wɔama wɔn so ayɛ frankaa wɔ ahohia no mu a efi ase wɔ Sunday mmara no ase wɔ United States no so. Wɔn a wofi Babilon mu ba na wogyina mpem ɔha aduanan anan no ho no, wɔde wɔn gyina hɔ sɛ dɔm kɛse no. Saa akuw abien yi a ɛwɔ Adiyisɛm ti ason mu no, wɔde Mose ne Elia gyina hɔ wɔ Nsakyerae Bepɔw no so, na Onyankopɔn asafo a adi nkonim, a wonyan no na wɔma no so yɛ frankaa no, ne Onyankopɔn nguankuw foforo a na saa bere no da so wɔ Babilon no hyia bom wɔ ahohia a etwa to no mu.</w:t>
      </w:r>
    </w:p>
    <w:p>
      <w:pPr>
        <w:pStyle w:val="ArticleScripture"/>
        <w:jc w:val="left"/>
      </w:pPr>
      <w:r>
        <w:rPr>
          <w:rFonts w:ascii="Times New Roman" w:hAnsi="Times New Roman" w:eastAsia="Times New Roman" w:cs="Times New Roman"/>
        </w:rPr>
        <w:t>Kuulkaa Herran sana, te, jotka vapisette hänen sanansa edessä: teidän veljenne, jotka teitä vihasivat, jotka hylkäsivät teidät minun nimeni tähden, sanoivat: “Tulkoon Herra kirkastetuksi”; mutta hän ilmestyy teidän iloksenne, ja he joutuvat häpeään. Ääni pauhaa kaupungista, ääni temppelistä, Herran ääni, joka maksaa palkan hänen vihollisilleen. Ennen kuin hän tunsi synnytystuskia, hän synnytti; ennen kuin kipu hänelle tuli, hän oli synnyttänyt poikalapsen. Kuka on kuullut sellaista? kuka on nähnyt tällaisia? Syntyykö maa yhdessä päivässä? tai syntyykö kansakunta yhdellä kertaa? Sillä tuskin Siion tunsi synnytystuskia, kun se jo synnytti lapsensa. Toisinko minä synnytykseen asti enkä antaisi synnyttää? sanoo Herra. Minäkö saattaisin synnyttämään ja sulkisin kohdun? sanoo sinun Jumalasi. Iloitkaa Jerusalemin kanssa ja riemuitkaa hänen kanssaan, kaikki te, jotka häntä rakastatte; iloitkaa hänen kanssaan ilolla, kaikki te, jotka murehditte hänen tähtensä, että saisitte imeä ja tulla ravituiksi hänen lohdutustensa rinnoista, että saisitte juoda ja iloita hänen kirkkautensa runsaudesta. Sillä näin sanoo Herra: Katso, minä ohjaan rauhan hänen luokseen niin kuin virran ja kansojen kirkkauden niin kuin tulvivan puron; silloin te saatte imeä, teitä kannetaan kupeilla ja hyväillään polvilla. Niin kuin äiti lohduttaa lastansa, niin minä lohdutan teitä, ja Jerusalemissa teitä lohdutetaan. Ja kun te tämän näette, teidän sydämenne iloitsee, ja teidän luunne kukoistavat kuin ruoho; ja Herran käsi tulee tunnetuksi hänen palvelijoissansa, mutta hänen vihastuksensa hänen vihollisissansa. Jesaja 66:5–14.</w:t>
      </w:r>
    </w:p>
    <w:p>
      <w:pPr>
        <w:pStyle w:val="ArticleBody"/>
        <w:jc w:val="left"/>
      </w:pPr>
      <w:r>
        <w:rPr>
          <w:rFonts w:ascii="Times New Roman" w:hAnsi="Times New Roman" w:eastAsia="Times New Roman" w:cs="Times New Roman"/>
        </w:rPr>
        <w:t>Ceux qui naissent lorsqu’ils montent au ciel sont ceux qui ont été chassés par leurs frères qui les haïssaient. Leurs frères qui les haïssaient et se réjouissaient de leur mort sont ceux qui se disent Juifs et ne le sont pas. Ce sont ceux de la synagogue de Satan qui, prophétiquement, adoreront aux pieds de l’enseigne constituée des « bannis d’Israël ».</w:t>
      </w:r>
    </w:p>
    <w:p>
      <w:pPr>
        <w:pStyle w:val="ArticleScripture"/>
        <w:jc w:val="left"/>
      </w:pPr>
      <w:r>
        <w:rPr>
          <w:rFonts w:ascii="Times New Roman" w:hAnsi="Times New Roman" w:eastAsia="Times New Roman" w:cs="Times New Roman"/>
        </w:rPr>
        <w:t>Na ataimisha bendera kwa mataifa, naye atawakusanya waliofukuzwa wa Israeli, na kuwakutanisha pamoja waliotawanyika wa Yuda kutoka pembe nne za dunia. Isaya 11:12.</w:t>
      </w:r>
    </w:p>
    <w:p>
      <w:pPr>
        <w:pStyle w:val="ArticleScripture"/>
        <w:jc w:val="left"/>
      </w:pPr>
      <w:r>
        <w:rPr>
          <w:rFonts w:ascii="Times New Roman" w:hAnsi="Times New Roman" w:eastAsia="Times New Roman" w:cs="Times New Roman"/>
        </w:rPr>
        <w:t>« Vous pensez que ceux qui se prosternent aux pieds des saints (Apocalypse 3:9) seront finalement sauvés. Ici, je dois différer d’avec vous; car Dieu m’a montré que cette catégorie était composée d’Adventistes de profession, qui étaient tombés, et qui “crucifiaient pour eux-mêmes de nouveau le Fils de Dieu, et l’exposaient à l’ignominie publique.” Et à “l’heure de la tentation,” qui est encore à venir, pour manifester le véritable caractère de chacun, ils sauront qu’ils sont perdus à jamais, et, accablés d’angoisse dans leur esprit, ils se prosterneront aux pieds des saints. » Word to the Little Flock, 12.</w:t>
      </w:r>
    </w:p>
    <w:p>
      <w:pPr>
        <w:pStyle w:val="ArticleBody"/>
        <w:jc w:val="left"/>
      </w:pPr>
      <w:r>
        <w:rPr>
          <w:rFonts w:ascii="Times New Roman" w:hAnsi="Times New Roman" w:eastAsia="Times New Roman" w:cs="Times New Roman"/>
        </w:rPr>
        <w:t>Oyo azali na litoi, ayoka oyo Molimo alobi na mangomba.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L’avenir pour l’Amérique et le 18 juillet 2020 — Numéro sept</dc:title>
  <dc:subject>The Archers</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