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Тухнӑн пророчествӑллӑ сасси: ертсе пыракан та вӗрентекен те</w:t>
      </w:r>
    </w:p>
    <w:p>
      <w:pPr>
        <w:pStyle w:val="ArticleSubtitle"/>
        <w:jc w:val="left"/>
      </w:pPr>
      <w:r>
        <w:rPr>
          <w:rFonts w:ascii="Arial" w:hAnsi="Arial" w:eastAsia="Arial" w:cs="Arial"/>
        </w:rPr>
        <w:t>Les deux tables d’Habacuc</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Luɓitabiiɗe ɗiɗi ɗi Habakkuk 3 e 95</w:t>
      </w:r>
    </w:p>
    <w:p>
      <w:pPr>
        <w:pStyle w:val="ArticleHeading"/>
        <w:jc w:val="left"/>
      </w:pPr>
      <w:r>
        <w:rPr>
          <w:rFonts w:ascii="Arial" w:hAnsi="Arial" w:eastAsia="Arial" w:cs="Arial"/>
        </w:rPr>
        <w:t>Introductio: Fundamentum Duarum Tabularum Habacuc.</w:t>
      </w:r>
    </w:p>
    <w:p>
      <w:pPr>
        <w:pStyle w:val="ArticleBody"/>
        <w:jc w:val="left"/>
      </w:pPr>
      <w:r>
        <w:rPr>
          <w:rFonts w:ascii="Times New Roman" w:hAnsi="Times New Roman" w:eastAsia="Times New Roman" w:cs="Times New Roman"/>
        </w:rPr>
        <w:t>Diese Reihe trägt den Titel Habakuks zwei Tafeln. Bis jetzt haben wir bestimmte Wahrheiten aus den Karten von 1843 und 1850 herangezogen, nicht um sie an diesem Punkt biblisch zu verteidigen, sondern um festzustellen, dass Ellen White diese Wahrheiten befürwortet. Unsere Behauptung lautet, dass man, wenn man diese grundlegenden Wahrheiten verwirft, zugleich den Geist der Weissagung verwirft. Das wollen wir zunächst festhalten.</w:t>
      </w:r>
    </w:p>
    <w:p>
      <w:pPr>
        <w:pStyle w:val="ArticleHeading"/>
        <w:jc w:val="left"/>
      </w:pPr>
      <w:r>
        <w:rPr>
          <w:rFonts w:ascii="Arial" w:hAnsi="Arial" w:eastAsia="Arial" w:cs="Arial"/>
        </w:rPr>
        <w:t>Examen de l’histoire millérite et du Cri de Minuit</w:t>
      </w:r>
    </w:p>
    <w:p>
      <w:pPr>
        <w:pStyle w:val="ArticleBody"/>
        <w:jc w:val="left"/>
      </w:pPr>
      <w:r>
        <w:rPr>
          <w:rFonts w:ascii="Times New Roman" w:hAnsi="Times New Roman" w:eastAsia="Times New Roman" w:cs="Times New Roman"/>
        </w:rPr>
        <w:t>Katika wasilisho letu la kwanza, tuliainisha historia ya Wamilleri, alama za wakati kutoka 1798 hadi 1844. Katika wasilisho letu lililopita, tuliitazama kwa ukaribu zaidi historia kutoka wakati wa kukawia hadi kufungwa kwa mlango tarehe 22 Oktoba, 1844, tukitambua wakati huo kuwa ni Kilio cha Usiku wa Manane. Kilio cha Usiku wa Manane kiliingia katika historia kwenye Mkutano wa Kambi wa Exeter, Agosti 12–17, 1844, na kikaendelea hadi Oktoba 22, 1844. Wakati wa kukawia, ulioanza mwezi Machi 1844, ni sehemu ya Kilio cha Usiku wa Manane na mchakato wa utakaso uliowaandaa watu kuutangaza ujumbe wake.</w:t>
      </w:r>
    </w:p>
    <w:p>
      <w:pPr>
        <w:pStyle w:val="ArticleBody"/>
        <w:jc w:val="left"/>
      </w:pPr>
      <w:r>
        <w:rPr>
          <w:rFonts w:ascii="Times New Roman" w:hAnsi="Times New Roman" w:eastAsia="Times New Roman" w:cs="Times New Roman"/>
        </w:rPr>
        <w:t>Nous espérions établir cela dans vos cœurs et dans vos esprits hier. Toutes les illustrations, dans la Parole de Dieu, des temps de retardement parlent de la fin du monde. Ellen White, commentant 1 Corinthiens 10:11, déclare : « Chacun des anciens prophètes a parlé davantage pour notre époque que pour les jours dans lesquels il a vécu. » 1 Corinthiens 10:11 dit : « Or toutes ces choses leur arrivaient pour servir d’exemples ; et elles ont été écrites pour notre avertissement, à nous pour qui la fin des siècles est parvenue. » L’histoire des millérites est une histoire de ce qui aura lieu à la fin du monde. Toutes ces histoires bibliques du temps de retardement et de ce qui s’ensuit illustrent ce qui devait avoir lieu dans le temps de retardement millérite et dans le Cri de Minuit. Nous avons besoin de comprendre ces choses, parce que l’histoire doit se répéter.</w:t>
      </w:r>
    </w:p>
    <w:p>
      <w:pPr>
        <w:pStyle w:val="ArticleHeading"/>
        <w:jc w:val="left"/>
      </w:pPr>
      <w:r>
        <w:rPr>
          <w:rFonts w:ascii="Arial" w:hAnsi="Arial" w:eastAsia="Arial" w:cs="Arial"/>
        </w:rPr>
        <w:t>Le 2520 : l’approbation d’Ellen White</w:t>
      </w:r>
    </w:p>
    <w:p>
      <w:pPr>
        <w:pStyle w:val="ArticleBody"/>
        <w:jc w:val="left"/>
      </w:pPr>
      <w:r>
        <w:rPr>
          <w:rFonts w:ascii="Microsoft YaHei" w:hAnsi="Microsoft YaHei" w:eastAsia="Microsoft YaHei" w:cs="Microsoft YaHei"/>
        </w:rPr>
        <w:t>上</w:t>
      </w:r>
      <w:r>
        <w:rPr>
          <w:rFonts w:ascii="Times New Roman" w:hAnsi="Times New Roman" w:eastAsia="Times New Roman" w:cs="Times New Roman"/>
        </w:rPr>
        <w:t>ɗan waɗannan Chart, mun kasance muna mu’amala da batu na farko, ko da yake ba mu yawaita ambatonsa ba. Koyarwa ta farko da muke so mu nuna cewa Ellen White ta amince da ita a sarari ita ce 2520. Gabatarwa biyu na farko an tsara su ne domin su kai mu zuwa wannan batu. Gobe da safe, za mu fara nazarin Daily a wannan Chart.</w:t>
      </w:r>
    </w:p>
    <w:p>
      <w:pPr>
        <w:pStyle w:val="ArticleHeading"/>
        <w:jc w:val="left"/>
      </w:pPr>
      <w:r>
        <w:rPr>
          <w:rFonts w:ascii="Arial" w:hAnsi="Arial" w:eastAsia="Arial" w:cs="Arial"/>
        </w:rPr>
        <w:t>Se Souvenant de la Direction et de l’Enseignement du Seigneur</w:t>
      </w:r>
    </w:p>
    <w:p>
      <w:pPr>
        <w:pStyle w:val="ArticleBody"/>
        <w:jc w:val="left"/>
      </w:pPr>
      <w:r>
        <w:rPr>
          <w:rFonts w:ascii="Times New Roman" w:hAnsi="Times New Roman" w:eastAsia="Times New Roman" w:cs="Times New Roman"/>
        </w:rPr>
        <w:t>Commençons par Life Sketches, page 196 : « Nous n’avons rien à craindre pour l’avenir, sinon d’oublier le chemin par lequel le Seigneur nous a conduits, ainsi que son enseignement dans notre histoire passée. » La seule chose qu’un chrétien ait à craindre pour l’avenir, c’est de quitter le sentier et d’être perdu. Ce qu’il faut craindre, c’est de ne pas obtenir la vie éternelle. Ici, Sister White dit que nous n’avons rien à craindre pour l’avenir, excepté deux choses. C’est là un passage courant dans l’Esprit de prophétie au sein de l’adventisme, mais il est rare d’entendre quelqu’un développer de quelle direction et de quels enseignements elle parle.</w:t>
      </w:r>
    </w:p>
    <w:p>
      <w:pPr>
        <w:pStyle w:val="ArticleBody"/>
        <w:jc w:val="left"/>
      </w:pPr>
      <w:r>
        <w:rPr>
          <w:rFonts w:ascii="Times New Roman" w:hAnsi="Times New Roman" w:eastAsia="Times New Roman" w:cs="Times New Roman"/>
        </w:rPr>
        <w:t>Wir werden zeigen, dass die Führung, auf die sie sich bezieht, die Geschichte des Mitternachtsrufs ist. In der Geschichte des Mitternachtsrufs führte Christus in der Zeit des Verzugs, beim Eintreffen und bei der Verkündigung des Mitternachtsrufs sowie beim Schließen der Tür am 22. Oktober 1844. Er bestimmte diese Geschichte dazu, ein Volk hervorzubringen, das durch Glauben mit Ihm in das Allerheiligste eintreten konnte. Wir sollten uns fürchten, jene besondere Geschichte ebenso wie seine Lehren zu vergessen.</w:t>
      </w:r>
    </w:p>
    <w:p>
      <w:pPr>
        <w:pStyle w:val="ArticleBody"/>
        <w:jc w:val="left"/>
      </w:pPr>
      <w:r>
        <w:rPr>
          <w:rFonts w:ascii="Times New Roman" w:hAnsi="Times New Roman" w:eastAsia="Times New Roman" w:cs="Times New Roman"/>
        </w:rPr>
        <w:t>Nous montrerons qu’il y avait un enseignement précis qui a produit le Cri de Minuit. Cet enseignement n’était ni la chute de l’Empire ottoman le 11 août 1840, ni l’état des morts, lequel est apparu dans l’histoire du Message du Deuxième Ange dans l’histoire millérite. C’était un enseignement particulier, dans l’histoire millérite, qui a produit le Cri de Minuit, là où le Seigneur a conduit, et nous n’avons rien à craindre pour l’avenir, sinon d’oublier sa direction et son enseignement.</w:t>
      </w:r>
    </w:p>
    <w:p>
      <w:pPr>
        <w:pStyle w:val="ArticleBody"/>
        <w:jc w:val="left"/>
      </w:pPr>
      <w:r>
        <w:rPr>
          <w:rFonts w:ascii="Times New Roman" w:hAnsi="Times New Roman" w:eastAsia="Times New Roman" w:cs="Times New Roman"/>
        </w:rPr>
        <w:t>Soki tokómi ete elembo ya bokambi na Ye mpe ya mateya na Ye ezali Nseka ya Butu. Tótánga lisusu eteni oyo ya emonaneli ya liboso ya Ellen White:</w:t>
      </w:r>
    </w:p>
    <w:p>
      <w:pPr>
        <w:pStyle w:val="ArticleScripture"/>
        <w:jc w:val="left"/>
      </w:pPr>
      <w:r>
        <w:rPr>
          <w:rFonts w:ascii="Microsoft YaHei" w:hAnsi="Microsoft YaHei" w:eastAsia="Microsoft YaHei" w:cs="Microsoft YaHei"/>
        </w:rPr>
        <w:t>在这条道路上</w:t>
      </w:r>
      <w:r>
        <w:rPr>
          <w:rFonts w:ascii="Times New Roman" w:hAnsi="Times New Roman" w:eastAsia="Times New Roman" w:cs="Times New Roman"/>
        </w:rPr>
        <w:t>,</w:t>
      </w:r>
      <w:r>
        <w:rPr>
          <w:rFonts w:ascii="Microsoft YaHei" w:hAnsi="Microsoft YaHei" w:eastAsia="Microsoft YaHei" w:cs="Microsoft YaHei"/>
        </w:rPr>
        <w:t>复临子民正向着那位于路尽头的圣城前行</w:t>
      </w:r>
      <w:r>
        <w:rPr>
          <w:rFonts w:ascii="Times New Roman" w:hAnsi="Times New Roman" w:eastAsia="Times New Roman" w:cs="Times New Roman"/>
        </w:rPr>
        <w:t>.</w:t>
      </w:r>
      <w:r>
        <w:rPr>
          <w:rFonts w:ascii="Microsoft YaHei" w:hAnsi="Microsoft YaHei" w:eastAsia="Microsoft YaHei" w:cs="Microsoft YaHei"/>
        </w:rPr>
        <w:t>在道路的起点</w:t>
      </w:r>
      <w:r>
        <w:rPr>
          <w:rFonts w:ascii="Times New Roman" w:hAnsi="Times New Roman" w:eastAsia="Times New Roman" w:cs="Times New Roman"/>
        </w:rPr>
        <w:t>,</w:t>
      </w:r>
      <w:r>
        <w:rPr>
          <w:rFonts w:ascii="Microsoft YaHei" w:hAnsi="Microsoft YaHei" w:eastAsia="Microsoft YaHei" w:cs="Microsoft YaHei"/>
        </w:rPr>
        <w:t>他们身后设立着一盏明亮的光</w:t>
      </w:r>
      <w:r>
        <w:rPr>
          <w:rFonts w:ascii="Times New Roman" w:hAnsi="Times New Roman" w:eastAsia="Times New Roman" w:cs="Times New Roman"/>
        </w:rPr>
        <w:t>;</w:t>
      </w:r>
      <w:r>
        <w:rPr>
          <w:rFonts w:ascii="Microsoft YaHei" w:hAnsi="Microsoft YaHei" w:eastAsia="Microsoft YaHei" w:cs="Microsoft YaHei"/>
        </w:rPr>
        <w:t>有一位天使告诉我</w:t>
      </w:r>
      <w:r>
        <w:rPr>
          <w:rFonts w:ascii="Times New Roman" w:hAnsi="Times New Roman" w:eastAsia="Times New Roman" w:cs="Times New Roman"/>
        </w:rPr>
        <w:t>,</w:t>
      </w:r>
      <w:r>
        <w:rPr>
          <w:rFonts w:ascii="Microsoft YaHei" w:hAnsi="Microsoft YaHei" w:eastAsia="Microsoft YaHei" w:cs="Microsoft YaHei"/>
        </w:rPr>
        <w:t>那就是半夜的呼声</w:t>
      </w:r>
      <w:r>
        <w:rPr>
          <w:rFonts w:ascii="Times New Roman" w:hAnsi="Times New Roman" w:eastAsia="Times New Roman" w:cs="Times New Roman"/>
        </w:rPr>
        <w:t>.</w:t>
      </w:r>
      <w:r>
        <w:rPr>
          <w:rFonts w:ascii="Microsoft YaHei" w:hAnsi="Microsoft YaHei" w:eastAsia="Microsoft YaHei" w:cs="Microsoft YaHei"/>
        </w:rPr>
        <w:t>这光照彻整条道路</w:t>
      </w:r>
      <w:r>
        <w:rPr>
          <w:rFonts w:ascii="Times New Roman" w:hAnsi="Times New Roman" w:eastAsia="Times New Roman" w:cs="Times New Roman"/>
        </w:rPr>
        <w:t>,</w:t>
      </w:r>
      <w:r>
        <w:rPr>
          <w:rFonts w:ascii="Microsoft YaHei" w:hAnsi="Microsoft YaHei" w:eastAsia="Microsoft YaHei" w:cs="Microsoft YaHei"/>
        </w:rPr>
        <w:t>也照亮他们的脚步</w:t>
      </w:r>
      <w:r>
        <w:rPr>
          <w:rFonts w:ascii="Times New Roman" w:hAnsi="Times New Roman" w:eastAsia="Times New Roman" w:cs="Times New Roman"/>
        </w:rPr>
        <w:t>,</w:t>
      </w:r>
      <w:r>
        <w:rPr>
          <w:rFonts w:ascii="Microsoft YaHei" w:hAnsi="Microsoft YaHei" w:eastAsia="Microsoft YaHei" w:cs="Microsoft YaHei"/>
        </w:rPr>
        <w:t>使他们不至跌倒</w:t>
      </w:r>
      <w:r>
        <w:rPr>
          <w:rFonts w:ascii="Times New Roman" w:hAnsi="Times New Roman" w:eastAsia="Times New Roman" w:cs="Times New Roman"/>
        </w:rPr>
        <w:t>.</w:t>
      </w:r>
      <w:r>
        <w:rPr>
          <w:rFonts w:ascii="Microsoft YaHei" w:hAnsi="Microsoft YaHei" w:eastAsia="Microsoft YaHei" w:cs="Microsoft YaHei"/>
        </w:rPr>
        <w:t>只要他们定睛仰望正在他们前面、引领他们前往圣城的耶稣</w:t>
      </w:r>
      <w:r>
        <w:rPr>
          <w:rFonts w:ascii="Times New Roman" w:hAnsi="Times New Roman" w:eastAsia="Times New Roman" w:cs="Times New Roman"/>
        </w:rPr>
        <w:t>,</w:t>
      </w:r>
      <w:r>
        <w:rPr>
          <w:rFonts w:ascii="Microsoft YaHei" w:hAnsi="Microsoft YaHei" w:eastAsia="Microsoft YaHei" w:cs="Microsoft YaHei"/>
        </w:rPr>
        <w:t>他们便是安全的</w:t>
      </w:r>
      <w:r>
        <w:rPr>
          <w:rFonts w:ascii="Times New Roman" w:hAnsi="Times New Roman" w:eastAsia="Times New Roman" w:cs="Times New Roman"/>
        </w:rPr>
        <w:t xml:space="preserve">. </w:t>
      </w:r>
      <w:r>
        <w:rPr>
          <w:rFonts w:ascii="Microsoft YaHei" w:hAnsi="Microsoft YaHei" w:eastAsia="Microsoft YaHei" w:cs="Microsoft YaHei"/>
        </w:rPr>
        <w:t>但不久</w:t>
      </w:r>
      <w:r>
        <w:rPr>
          <w:rFonts w:ascii="Times New Roman" w:hAnsi="Times New Roman" w:eastAsia="Times New Roman" w:cs="Times New Roman"/>
        </w:rPr>
        <w:t>,</w:t>
      </w:r>
      <w:r>
        <w:rPr>
          <w:rFonts w:ascii="Microsoft YaHei" w:hAnsi="Microsoft YaHei" w:eastAsia="Microsoft YaHei" w:cs="Microsoft YaHei"/>
        </w:rPr>
        <w:t>有些人渐渐疲倦了</w:t>
      </w:r>
      <w:r>
        <w:rPr>
          <w:rFonts w:ascii="Times New Roman" w:hAnsi="Times New Roman" w:eastAsia="Times New Roman" w:cs="Times New Roman"/>
        </w:rPr>
        <w:t>,</w:t>
      </w:r>
      <w:r>
        <w:rPr>
          <w:rFonts w:ascii="Microsoft YaHei" w:hAnsi="Microsoft YaHei" w:eastAsia="Microsoft YaHei" w:cs="Microsoft YaHei"/>
        </w:rPr>
        <w:t>说那城还远得很</w:t>
      </w:r>
      <w:r>
        <w:rPr>
          <w:rFonts w:ascii="Times New Roman" w:hAnsi="Times New Roman" w:eastAsia="Times New Roman" w:cs="Times New Roman"/>
        </w:rPr>
        <w:t>,</w:t>
      </w:r>
      <w:r>
        <w:rPr>
          <w:rFonts w:ascii="Microsoft YaHei" w:hAnsi="Microsoft YaHei" w:eastAsia="Microsoft YaHei" w:cs="Microsoft YaHei"/>
        </w:rPr>
        <w:t>而他们原以为早已可以进入其中了</w:t>
      </w:r>
      <w:r>
        <w:rPr>
          <w:rFonts w:ascii="Times New Roman" w:hAnsi="Times New Roman" w:eastAsia="Times New Roman" w:cs="Times New Roman"/>
        </w:rPr>
        <w:t>.</w:t>
      </w:r>
      <w:r>
        <w:rPr>
          <w:rFonts w:ascii="Microsoft YaHei" w:hAnsi="Microsoft YaHei" w:eastAsia="Microsoft YaHei" w:cs="Microsoft YaHei"/>
        </w:rPr>
        <w:t>于是</w:t>
      </w:r>
      <w:r>
        <w:rPr>
          <w:rFonts w:ascii="Times New Roman" w:hAnsi="Times New Roman" w:eastAsia="Times New Roman" w:cs="Times New Roman"/>
        </w:rPr>
        <w:t>,</w:t>
      </w:r>
      <w:r>
        <w:rPr>
          <w:rFonts w:ascii="Microsoft YaHei" w:hAnsi="Microsoft YaHei" w:eastAsia="Microsoft YaHei" w:cs="Microsoft YaHei"/>
        </w:rPr>
        <w:t>耶稣便举起祂荣耀的右臂来鼓励他们</w:t>
      </w:r>
      <w:r>
        <w:rPr>
          <w:rFonts w:ascii="Times New Roman" w:hAnsi="Times New Roman" w:eastAsia="Times New Roman" w:cs="Times New Roman"/>
        </w:rPr>
        <w:t>;</w:t>
      </w:r>
      <w:r>
        <w:rPr>
          <w:rFonts w:ascii="Microsoft YaHei" w:hAnsi="Microsoft YaHei" w:eastAsia="Microsoft YaHei" w:cs="Microsoft YaHei"/>
        </w:rPr>
        <w:t>从祂的臂中发出一道光</w:t>
      </w:r>
      <w:r>
        <w:rPr>
          <w:rFonts w:ascii="Times New Roman" w:hAnsi="Times New Roman" w:eastAsia="Times New Roman" w:cs="Times New Roman"/>
        </w:rPr>
        <w:t>,</w:t>
      </w:r>
      <w:r>
        <w:rPr>
          <w:rFonts w:ascii="Microsoft YaHei" w:hAnsi="Microsoft YaHei" w:eastAsia="Microsoft YaHei" w:cs="Microsoft YaHei"/>
        </w:rPr>
        <w:t>挥映在复临队伍之上</w:t>
      </w:r>
      <w:r>
        <w:rPr>
          <w:rFonts w:ascii="Times New Roman" w:hAnsi="Times New Roman" w:eastAsia="Times New Roman" w:cs="Times New Roman"/>
        </w:rPr>
        <w:t>,</w:t>
      </w:r>
      <w:r>
        <w:rPr>
          <w:rFonts w:ascii="Microsoft YaHei" w:hAnsi="Microsoft YaHei" w:eastAsia="Microsoft YaHei" w:cs="Microsoft YaHei"/>
        </w:rPr>
        <w:t>他们便呼喊说：</w:t>
      </w:r>
      <w:r>
        <w:rPr>
          <w:rFonts w:ascii="Times New Roman" w:hAnsi="Times New Roman" w:eastAsia="Times New Roman" w:cs="Times New Roman"/>
        </w:rPr>
        <w:t>“</w:t>
      </w:r>
      <w:r>
        <w:rPr>
          <w:rFonts w:ascii="Microsoft YaHei" w:hAnsi="Microsoft YaHei" w:eastAsia="Microsoft YaHei" w:cs="Microsoft YaHei"/>
        </w:rPr>
        <w:t>哈利路亚！</w:t>
      </w:r>
      <w:r>
        <w:rPr>
          <w:rFonts w:ascii="Times New Roman" w:hAnsi="Times New Roman" w:eastAsia="Times New Roman" w:cs="Times New Roman"/>
        </w:rPr>
        <w:t>”</w:t>
      </w:r>
      <w:r>
        <w:rPr>
          <w:rFonts w:ascii="Microsoft YaHei" w:hAnsi="Microsoft YaHei" w:eastAsia="Microsoft YaHei" w:cs="Microsoft YaHei"/>
        </w:rPr>
        <w:t>另有一些人则轻率地否认他们身后的那光</w:t>
      </w:r>
      <w:r>
        <w:rPr>
          <w:rFonts w:ascii="Times New Roman" w:hAnsi="Times New Roman" w:eastAsia="Times New Roman" w:cs="Times New Roman"/>
        </w:rPr>
        <w:t>,</w:t>
      </w:r>
      <w:r>
        <w:rPr>
          <w:rFonts w:ascii="Microsoft YaHei" w:hAnsi="Microsoft YaHei" w:eastAsia="Microsoft YaHei" w:cs="Microsoft YaHei"/>
        </w:rPr>
        <w:t>说并不是上帝领他们出来、走了这么远</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Bakanamkoma lipenga ya usiku wa manane, na kuhusiana na lipenga ya usiku wa manane, wanabisha kwamba Bwana hakuwa akiwaongoza katika lipenga ya usiku wa manane. Wanakana uongozi wa Mungu katika lipenga ya usiku wa manane.</w:t>
      </w:r>
    </w:p>
    <w:p>
      <w:pPr>
        <w:pStyle w:val="ArticleScripture"/>
        <w:jc w:val="left"/>
      </w:pPr>
      <w:r>
        <w:rPr>
          <w:rFonts w:ascii="Times New Roman" w:hAnsi="Times New Roman" w:eastAsia="Times New Roman" w:cs="Times New Roman"/>
        </w:rPr>
        <w:t>Lumière qui était derrière eux s’éteignit, laissant leurs pieds dans des ténèbres complètes; ils trébuchèrent, perdirent de vue le but et Jésus, et tombèrent hors du sentier, en bas, dans le monde obscur et méchant qui se trouvait au-dessous.</w:t>
      </w:r>
    </w:p>
    <w:p>
      <w:pPr>
        <w:pStyle w:val="ArticleHeading"/>
        <w:jc w:val="left"/>
      </w:pPr>
      <w:r>
        <w:rPr>
          <w:rFonts w:ascii="Nirmala UI" w:hAnsi="Nirmala UI" w:eastAsia="Nirmala UI" w:cs="Nirmala UI"/>
        </w:rPr>
        <w:t>कृपया</w:t>
      </w:r>
      <w:r>
        <w:rPr>
          <w:rFonts w:ascii="Arial" w:hAnsi="Arial" w:eastAsia="Arial" w:cs="Arial"/>
        </w:rPr>
        <w:t xml:space="preserve"> </w:t>
      </w:r>
      <w:r>
        <w:rPr>
          <w:rFonts w:ascii="Nirmala UI" w:hAnsi="Nirmala UI" w:eastAsia="Nirmala UI" w:cs="Nirmala UI"/>
        </w:rPr>
        <w:t>स्पष्ट</w:t>
      </w:r>
      <w:r>
        <w:rPr>
          <w:rFonts w:ascii="Arial" w:hAnsi="Arial" w:eastAsia="Arial" w:cs="Arial"/>
        </w:rPr>
        <w:t xml:space="preserve"> </w:t>
      </w:r>
      <w:r>
        <w:rPr>
          <w:rFonts w:ascii="Nirmala UI" w:hAnsi="Nirmala UI" w:eastAsia="Nirmala UI" w:cs="Nirmala UI"/>
        </w:rPr>
        <w:t>कीजिए</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“ff”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आपका</w:t>
      </w:r>
      <w:r>
        <w:rPr>
          <w:rFonts w:ascii="Arial" w:hAnsi="Arial" w:eastAsia="Arial" w:cs="Arial"/>
        </w:rPr>
        <w:t xml:space="preserve"> </w:t>
      </w:r>
      <w:r>
        <w:rPr>
          <w:rFonts w:ascii="Nirmala UI" w:hAnsi="Nirmala UI" w:eastAsia="Nirmala UI" w:cs="Nirmala UI"/>
        </w:rPr>
        <w:t>आशय</w:t>
      </w:r>
      <w:r>
        <w:rPr>
          <w:rFonts w:ascii="Arial" w:hAnsi="Arial" w:eastAsia="Arial" w:cs="Arial"/>
        </w:rPr>
        <w:t xml:space="preserve"> </w:t>
      </w:r>
      <w:r>
        <w:rPr>
          <w:rFonts w:ascii="Nirmala UI" w:hAnsi="Nirmala UI" w:eastAsia="Nirmala UI" w:cs="Nirmala UI"/>
        </w:rPr>
        <w:t>किस</w:t>
      </w:r>
      <w:r>
        <w:rPr>
          <w:rFonts w:ascii="Arial" w:hAnsi="Arial" w:eastAsia="Arial" w:cs="Arial"/>
        </w:rPr>
        <w:t xml:space="preserve"> </w:t>
      </w:r>
      <w:r>
        <w:rPr>
          <w:rFonts w:ascii="Nirmala UI" w:hAnsi="Nirmala UI" w:eastAsia="Nirmala UI" w:cs="Nirmala UI"/>
        </w:rPr>
        <w:t>भाषा</w:t>
      </w:r>
      <w:r>
        <w:rPr>
          <w:rFonts w:ascii="Arial" w:hAnsi="Arial" w:eastAsia="Arial" w:cs="Arial"/>
        </w:rPr>
        <w:t xml:space="preserve"> </w:t>
      </w:r>
      <w:r>
        <w:rPr>
          <w:rFonts w:ascii="Nirmala UI" w:hAnsi="Nirmala UI" w:eastAsia="Nirmala UI" w:cs="Nirmala UI"/>
        </w:rPr>
        <w:t>से</w:t>
      </w:r>
      <w:r>
        <w:rPr>
          <w:rFonts w:ascii="Arial" w:hAnsi="Arial" w:eastAsia="Arial" w:cs="Arial"/>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Nous considérerons une fois de plus l’histoire du Cri de Minuit, afin de la replacer dans son contexte avant de traiter de la période des 2520.</w:t>
      </w:r>
    </w:p>
    <w:p>
      <w:pPr>
        <w:pStyle w:val="ArticleScripture"/>
        <w:jc w:val="left"/>
      </w:pPr>
      <w:r>
        <w:rPr>
          <w:rFonts w:ascii="Times New Roman" w:hAnsi="Times New Roman" w:eastAsia="Times New Roman" w:cs="Times New Roman"/>
        </w:rPr>
        <w:t>Afi The Great Controversy, oju-iwe 391–395: “Nigbati akoko ti a ti kọ́kọ́ retí wiwa Oluwa kọja, ní ìrú-ọ̀dún 1844,”—eyi ni àkókò ìdádúró, ìbànújẹ àkọ́kọ́—“àwọn tí wọ́n ti fi ìgbàgbọ́ retí ìfarahàn Rẹ̀ wà fún ìgbà díẹ̀ nínú iyèméjì àti àìdánilójú. Nígbà tí ayé ka wọ́n sí ẹni tí a ti ṣẹ́gun wọn pátápátá tí a sì ti fi hàn pé wọ́n ti ń tọ́jú ìtanràn kan, orísun ìtùnú wọn ṣì jẹ́ ọ̀rọ̀ Ọlọ́run. Ọ̀pọ̀lọpọ̀ tẹ̀síwájú láti máa ṣàwárí Ìwé Mímọ́, tí wọ́n tún ń ṣàyẹ̀wò ẹ̀rí ìgbàgbọ́ wọn, tí wọ́n sì ń fara balẹ̀ kẹ́kọ̀ọ́ àwọn àsọtẹ́lẹ̀ láti lè rí ìmọ́lẹ̀ síi.”</w:t>
      </w:r>
    </w:p>
    <w:p>
      <w:pPr>
        <w:pStyle w:val="ArticleBody"/>
        <w:jc w:val="left"/>
      </w:pPr>
      <w:r>
        <w:rPr>
          <w:rFonts w:ascii="Times New Roman" w:hAnsi="Times New Roman" w:eastAsia="Times New Roman" w:cs="Times New Roman"/>
        </w:rPr>
        <w:t>Si beaucoup ont fait cela, cela signifie qu’il y en avait qui ne l’ont pas fait. Il n’est pas dit « eux » ; il est dit « beaucoup » — il y a ici deux catégories.</w:t>
      </w:r>
    </w:p>
    <w:p>
      <w:pPr>
        <w:pStyle w:val="ArticleScripture"/>
        <w:jc w:val="left"/>
      </w:pPr>
      <w:r>
        <w:rPr>
          <w:rFonts w:ascii="Times New Roman" w:hAnsi="Times New Roman" w:eastAsia="Times New Roman" w:cs="Times New Roman"/>
        </w:rPr>
        <w:t>Библейское свидетельство в поддержку их позиции казалось ясным и неопровержимым. Знамения, которых невозможно было не узнать, указывали на близость пришествия Христа. Особое благословение Господа, как в обращении грешников, так и в оживлении духовной жизни среди христиан, свидетельствовало о том, что эта весть — от Неба. И хотя верующие не могли объяснить своего разочарования, они были уверены, что Бог вёл их в их прежнем опыте.</w:t>
      </w:r>
    </w:p>
    <w:p>
      <w:pPr>
        <w:pStyle w:val="ArticleScripture"/>
        <w:jc w:val="left"/>
      </w:pPr>
      <w:r>
        <w:rPr>
          <w:rFonts w:ascii="Times New Roman" w:hAnsi="Times New Roman" w:eastAsia="Times New Roman" w:cs="Times New Roman"/>
        </w:rPr>
        <w:t>Entrelacées aux prophéties qu’ils avaient considérées comme se rapportant au temps du second avènement se trouvaient des instructions spécialement adaptées à leur état d’incertitude et d’attente anxieuse, les encourageant à attendre avec patience dans la foi que ce qui était alors obscur à leur intelligence serait, en son temps, éclairci.</w:t>
      </w:r>
    </w:p>
    <w:p>
      <w:pPr>
        <w:pStyle w:val="ArticleBody"/>
        <w:jc w:val="left"/>
      </w:pPr>
      <w:r>
        <w:rPr>
          <w:rFonts w:ascii="Times New Roman" w:hAnsi="Times New Roman" w:eastAsia="Times New Roman" w:cs="Times New Roman"/>
        </w:rPr>
        <w:t>N’ime paragrafu ahụ, e kwuru, “Ejikọtakwara ya na amụma ndị ha lere anya dị ka ndị metụtara oge ọbịbịa nke ugboro abụọ . . . .” Olee amụma ndị ha kwenyere na ha metụtara Ọbịbịa nke Ugboro Abụọ? Nke 2520, nke 2300, na nke 1335. Ha kwenyere na amụma oge atọ ndị a niile bịara na njedebe n’afọ 1843, nakwa na nke ahụ bụ Ọbịbịa nke Ugboro Abụọ.</w:t>
      </w:r>
    </w:p>
    <w:p>
      <w:pPr>
        <w:pStyle w:val="ArticleScripture"/>
        <w:jc w:val="left"/>
      </w:pPr>
      <w:r>
        <w:rPr>
          <w:rFonts w:ascii="Times New Roman" w:hAnsi="Times New Roman" w:eastAsia="Times New Roman" w:cs="Times New Roman"/>
        </w:rPr>
        <w:t>« Au nombre de ces prophéties figurait celle d’Habacuc 2:1–4 : “Je me tiendrai à mon poste, et je me placerai sur la tour, et j’observerai pour voir ce qu’Il me dira, et ce que je répondrai après avoir été repris. Et l’Éternel me répondit, et dit : Écris la vision, et grave-la clairement sur des tables, afin qu’on puisse la lire couramment. Car la vision est encore pour un temps déterminé, mais à la fin elle parlera, et ne mentira pas : si elle tarde, attends-la ; car elle viendra certainement, elle ne tardera pas. Voici, son âme qui s’élève n’est pas droite en lui ; mais le juste vivra par sa foi.” »</w:t>
      </w:r>
    </w:p>
    <w:p>
      <w:pPr>
        <w:pStyle w:val="ArticleBody"/>
        <w:jc w:val="left"/>
      </w:pPr>
      <w:r>
        <w:rPr>
          <w:rFonts w:ascii="Times New Roman" w:hAnsi="Times New Roman" w:eastAsia="Times New Roman" w:cs="Times New Roman"/>
        </w:rPr>
        <w:t>1842 жылдын өзүндө эле, бул пайгамбарлыкта берилген: «аянды жазып кой, окуган киши жүгүрүп өтө алгыдай кылып такталарга ачык түшүр» деген көрсөтмө Чарльз Фитчке Даниел менен Аян китебиндеги көрүнүштөрдү түшүндүрүп көрсөтүү үчүн пайгамбарлык карта даярдоону сунуш кылган. Бул картанын жарыяланышы Хабаккукка берилген буйруктун аткарылышы катары кабыл алынган. Бирок ошол учурда ошол эле пайгамбарлыкта аяндын ишке ашышында көрүнгөн бир кечигүү — бир азга кармалып туруу мезгили — да көрсөтүлгөнү эч кимдин көңүлүнө түшкөн эмес. Үмүт үзүлгөндөн кийин бул Ыйык Жазма өзгөчө маанилүү болуп көрүндү: «Анткени аян дагы белгиленген убакыт үчүн; бирок аягында ал сүйлөйт, жалган айтпайт: ал кармалып турса да, аны күт; анткени ал сөзсүз келет, кечикпейт. . . . Адил адам өз ишеними менен жашайт».</w:t>
      </w:r>
    </w:p>
    <w:p>
      <w:pPr>
        <w:pStyle w:val="ArticleHeading"/>
        <w:jc w:val="left"/>
      </w:pPr>
      <w:r>
        <w:rPr>
          <w:rFonts w:ascii="Arial" w:hAnsi="Arial" w:eastAsia="Arial" w:cs="Arial"/>
        </w:rPr>
        <w:t>Jaadwalka 1843 iyo Ruuxa Waxsii-sheegidda</w:t>
      </w:r>
    </w:p>
    <w:p>
      <w:pPr>
        <w:pStyle w:val="ArticleBody"/>
        <w:jc w:val="left"/>
      </w:pPr>
      <w:r>
        <w:rPr>
          <w:rFonts w:ascii="Times New Roman" w:hAnsi="Times New Roman" w:eastAsia="Times New Roman" w:cs="Times New Roman"/>
        </w:rPr>
        <w:t>ولا يهم إن كنت تقوم بعملٍ نظامي أو بعملٍ غير نظامي—وهما المصطلحان اللذان تستخدمهما إلن وايت للعمل المؤتمري والعمل القائم على الإعالة الذاتية، على التوالي. وسواء ذهبت إلى أبرز الخدمات القائمة على الإعالة الذاتية في الأدفنتية أو إلى المؤتمر العام أو إلى معهد البحوث الكتابية، فإنك إن سألتهم عن مخطط 1843 فسيقولون: «توجد أخطاء كثيرة في هذا المخطط». وهم يختلفون مع إلن وايت، التي تقول إن الرب قد وضع يده على «خطأ» في بعض الأرقام الواردة في هذا المخطط.</w:t>
      </w:r>
    </w:p>
    <w:p>
      <w:pPr>
        <w:pStyle w:val="ArticleBody"/>
        <w:jc w:val="left"/>
      </w:pPr>
      <w:r>
        <w:rPr>
          <w:rFonts w:ascii="Times New Roman" w:hAnsi="Times New Roman" w:eastAsia="Times New Roman" w:cs="Times New Roman"/>
        </w:rPr>
        <w:t>Men de stiller seg også i opposisjon til Guds Ord. I Habakkuk står det at dette synet «skal … ikke lyve». Det synet pionerene skulle sette på 1843-kartet, og som de også satte der, er en oppfyllelse av Habakkuk 2. Dette er synet de skulle plassere på dette kartet, og Habakkuk 2 sier at dette synet «skal … ikke lyve». Når du derfor sier at dette kartet er «fullt av feil», setter du deg opp mot både Profetiens Ånd og Bibelen.</w:t>
      </w:r>
    </w:p>
    <w:p>
      <w:pPr>
        <w:pStyle w:val="ArticleScripture"/>
        <w:jc w:val="left"/>
      </w:pPr>
      <w:r>
        <w:rPr>
          <w:rFonts w:ascii="Times New Roman" w:hAnsi="Times New Roman" w:eastAsia="Times New Roman" w:cs="Times New Roman"/>
        </w:rPr>
        <w:t>Sehemu ya unabii wa Ezekieli nayo ilikuwa chanzo cha nguvu na faraja kwa waamini: “Neno la Bwana likanijia, kusema, Mwanadamu, ni methali gani hiyo mliyo nayo katika nchi ya Israeli, mkisema, Siku zinakawia, na kila ono lashindwa? Basi waambie, Bwana MUNGU asema hivi. . . . Siku zimekaribia, na kutimia kwa kila ono. . . . Nitasema, na neno nitakalolisema litatimia; halitakawia tena.” “Watu wa nyumba ya Israeli husema, Ono analoliona ni kwa habari ya siku nyingi zijazo, naye anatabiri habari za nyakati zilizo mbali. Kwa hiyo waambie, Bwana MUNGU asema hivi; Hakutakuwa na neno langu lo lote litakalokawia tena, bali neno nililolinena litafanywa.” Ezekieli 12:21–25, 27, 28.</w:t>
      </w:r>
    </w:p>
    <w:p>
      <w:pPr>
        <w:pStyle w:val="ArticleHeading"/>
        <w:jc w:val="left"/>
      </w:pPr>
      <w:r>
        <w:rPr>
          <w:rFonts w:ascii="Arial" w:hAnsi="Arial" w:eastAsia="Arial" w:cs="Arial"/>
        </w:rPr>
        <w:t>I can translate that, but I’m missing the target language: “ff” isn’t a recognized language code. Please tell me which language you want, and I’ll return only the translated text.</w:t>
      </w:r>
    </w:p>
    <w:p>
      <w:pPr>
        <w:pStyle w:val="ArticleBody"/>
        <w:jc w:val="left"/>
      </w:pPr>
      <w:r>
        <w:rPr>
          <w:rFonts w:ascii="Times New Roman" w:hAnsi="Times New Roman" w:eastAsia="Times New Roman" w:cs="Times New Roman"/>
        </w:rPr>
        <w:t>Remarquez qu’elle parle de deux catégories d’adorateurs. Elle dit que beaucoup, lorsque cette déception survint, continuèrent d’étudier les prophéties, indiquant par là qu’il y avait une catégorie qui ne continua pas. Nous recevrons davantage de lumière sur la distinction entre les deux catégories.</w:t>
      </w:r>
    </w:p>
    <w:p>
      <w:pPr>
        <w:pStyle w:val="ArticleBody"/>
        <w:jc w:val="left"/>
      </w:pPr>
      <w:r>
        <w:rPr>
          <w:rFonts w:ascii="Times New Roman" w:hAnsi="Times New Roman" w:eastAsia="Times New Roman" w:cs="Times New Roman"/>
        </w:rPr>
        <w:t>La réalisation de Habakuk 2.1–4, c’est ce Tableau de 1843 et le Tableau de 1850. Déjà dans Habakuk, le verset 4 dit que le juste vivra par sa foi, et il parle aussi de celui dont le cœur s’enfle d’orgueil. Il y est décrit deux classes d’adorateurs. L’histoire du Cri de Minuit fait naître deux classes d’adorateurs, et ces deux classes sont abordées dans Habakuk.</w:t>
      </w:r>
    </w:p>
    <w:p>
      <w:pPr>
        <w:pStyle w:val="ArticleBody"/>
        <w:jc w:val="left"/>
      </w:pPr>
      <w:r>
        <w:rPr>
          <w:rFonts w:ascii="Times New Roman" w:hAnsi="Times New Roman" w:eastAsia="Times New Roman" w:cs="Times New Roman"/>
        </w:rPr>
        <w:t>Dans le paragraphe suivant, après avoir fait référence à Habacuc 2 et à Ézéchiel, elle identifie l’une des classes : « ceux qui attendent ». Qui sont ceux qui attendent ? Ce sont ceux qui accomplissent Daniel 12 : « Heureux celui qui attend, et qui parvient jusqu’à 1335. » Cette classe, ce sont ceux qui attendent.</w:t>
      </w:r>
    </w:p>
    <w:p>
      <w:pPr>
        <w:pStyle w:val="ArticleScripture"/>
        <w:jc w:val="left"/>
      </w:pPr>
      <w:r>
        <w:rPr>
          <w:rFonts w:ascii="Times New Roman" w:hAnsi="Times New Roman" w:eastAsia="Times New Roman" w:cs="Times New Roman"/>
        </w:rPr>
        <w:t>Ngaʻa natou naʻe tatali naʻa nau fiefia, ʻo tui ko Ia ʻoku ne ʻilo ʻa e ngataʻanga mei he kamataʻanga kuo ne sio hifo ʻi he ngaahi kuonga, pea ʻi heʻene tomuʻa mamata ki heʻenau loto-mamahi, kuo ne foaki kiate kinautolu ʻa e ngaahi lea ʻo e loto-toʻa mo e ʻamanaki lelei.</w:t>
      </w:r>
    </w:p>
    <w:p>
      <w:pPr>
        <w:pStyle w:val="ArticleBody"/>
        <w:jc w:val="left"/>
      </w:pPr>
      <w:r>
        <w:rPr>
          <w:rFonts w:ascii="Times New Roman" w:hAnsi="Times New Roman" w:eastAsia="Times New Roman" w:cs="Times New Roman"/>
        </w:rPr>
        <w:t>Nous avons reçu l’appel d’une sœur qui travaillait depuis quelques années dans l’un des pays d’Europe de l’Est. Elle était originaire de ce pays, avait émigré aux États-Unis, et, lorsqu’elle a compris ce message, elle est retournée s’y établir. Elle a rencontré de la résistance, son ancienne famille d’Église ayant pris contact avec les responsables de son pays pour « lui fermer la porte ». Récemment, le Seigneur lui a ouvert la porte pour partager ce message avec des groupes.</w:t>
      </w:r>
    </w:p>
    <w:p>
      <w:pPr>
        <w:pStyle w:val="ArticleBody"/>
        <w:jc w:val="left"/>
      </w:pPr>
      <w:r>
        <w:rPr>
          <w:rFonts w:ascii="Times New Roman" w:hAnsi="Times New Roman" w:eastAsia="Times New Roman" w:cs="Times New Roman"/>
        </w:rPr>
        <w:t>ئۇ بۈگۈن ئەتىگەندە بالدۇر تېلېفون قىلىپ، بىر توسالغۇنىڭ قاتناش مەسىلىسى ئىكەنلىكىنى بايان قىلدى. ئۇلارغا بۇ خەۋەرنى يەتكۈزۈپ تەلىم بېرىش ئۈچۈن بىر ئاپتوموبىل لازىم ئىدى، ئەمما بۇنىڭغا يېتەرلىك مەبلەغ يوق ئىدى. ئۇلار بۇ يەرگە يېتىپ كېلىشى بىلەنلا، پەرۋەردىگارنىڭ ئىلكىدە قەلبى قوزغالغان ئامېرىكا قوشما شتاتلىرىدىكى دوستلار بىر ئاپتوموبىل سېتىۋېلىشقا يېتەرلىك بولغان پۇلنى ئەۋەتتى.</w:t>
      </w:r>
    </w:p>
    <w:p>
      <w:pPr>
        <w:pStyle w:val="ArticleBody"/>
        <w:jc w:val="left"/>
      </w:pPr>
      <w:r>
        <w:rPr>
          <w:rFonts w:ascii="Times New Roman" w:hAnsi="Times New Roman" w:eastAsia="Times New Roman" w:cs="Times New Roman"/>
        </w:rPr>
        <w:t>C’est le type d’expérience que vivaient ceux qui avaient été déçus. Ils étaient déçus, mais le Seigneur les conduisit vers les Écritures pour les encourager, en disant : « Cette déception était dirigée par moi. Continuez simplement d’aller de l’avant. »</w:t>
      </w:r>
    </w:p>
    <w:p>
      <w:pPr>
        <w:pStyle w:val="ArticleScripture"/>
        <w:jc w:val="left"/>
      </w:pPr>
      <w:r>
        <w:rPr>
          <w:rFonts w:ascii="Times New Roman" w:hAnsi="Times New Roman" w:eastAsia="Times New Roman" w:cs="Times New Roman"/>
        </w:rPr>
        <w:t>“Tan se pa t gen pou pòsyon konsa nan Ekriti yo, ki t ap avèti yo pou yo tann avèk pasyans e pou yo kenbe fèm konfyans yo nan pawòl Bondye a, lafwa yo ta febli nan lè eprèv sa a.”</w:t>
      </w:r>
    </w:p>
    <w:p>
      <w:pPr>
        <w:pStyle w:val="ArticleHeading"/>
        <w:jc w:val="left"/>
      </w:pPr>
      <w:r>
        <w:rPr>
          <w:rFonts w:ascii="Arial" w:hAnsi="Arial" w:eastAsia="Arial" w:cs="Arial"/>
        </w:rPr>
        <w:t>Mithyaan Gafatan Kurnanii fi Yeroo Turtii isaanii</w:t>
      </w:r>
    </w:p>
    <w:p>
      <w:pPr>
        <w:pStyle w:val="ArticleBody"/>
        <w:jc w:val="left"/>
      </w:pPr>
      <w:r>
        <w:rPr>
          <w:rFonts w:ascii="Times New Roman" w:hAnsi="Times New Roman" w:eastAsia="Times New Roman" w:cs="Times New Roman"/>
        </w:rPr>
        <w:t>Remarquez comment Sœur White relie la parabole des dix vierges à Habacuc 2, puisque tous deux traitent d’un temps de retardement et de deux classes d’adorateurs.</w:t>
      </w:r>
    </w:p>
    <w:p>
      <w:pPr>
        <w:pStyle w:val="ArticleScripture"/>
        <w:jc w:val="left"/>
      </w:pPr>
      <w:r>
        <w:rPr>
          <w:rFonts w:ascii="Times New Roman" w:hAnsi="Times New Roman" w:eastAsia="Times New Roman" w:cs="Times New Roman"/>
        </w:rPr>
        <w:t>Ang talinghaga ng sampung dalaga sa Mateo 25 ay naglalarawan din ng karanasan ng bayang Adventista. Sa Mateo 24, bilang tugon sa tanong ng Kaniyang mga alagad tungkol sa tanda ng Kaniyang pagparito at ng wakas ng sanlibutan, itinuro ni Cristo ang ilan sa pinakamahahalagang pangyayari sa kasaysayan ng sanlibutan at ng iglesya mula sa Kaniyang una hanggang sa Kaniyang ikalawang pagparito; samakatuwid baga’y, ang pagkawasak ng Jerusalem, ang malaking kapighatian ng iglesya sa ilalim ng mga pag-uusig na pagano at papal, ang pagdidilim ng araw at ng buwan, at ang pagbagsak ng mga bituin. Pagkatapos nito ay nagsalita Siya tungkol sa Kaniyang pagdating sa Kaniyang kaharian, at isinalaysay ang talinghagang naglalarawan sa dalawang uri ng mga alipin na naghihintay sa Kaniyang pagpapakita. Ang kabanata 25 ay nagbubukas sa mga salitang ito: “Kung magkagayo’y itutulad ang kaharian ng langit sa sampung dalaga.” Dito ay ipinakikita ang iglesyang nabubuhay sa mga huling araw,</w:t>
      </w:r>
    </w:p>
    <w:p>
      <w:pPr>
        <w:pStyle w:val="ArticleBody"/>
        <w:jc w:val="left"/>
      </w:pPr>
      <w:r>
        <w:rPr>
          <w:rFonts w:ascii="Times New Roman" w:hAnsi="Times New Roman" w:eastAsia="Times New Roman" w:cs="Times New Roman"/>
        </w:rPr>
        <w:t>Bubiy, waxay tan ku dabaqaysaa Taariikhda Millerite-ka, laakiin u fiirsada waxa ay leedahay—“Halkan waxaa lagu soo bandhigayaa kaniisadda nool maalmaha ugu dambeeya,”—yaa ah “kaniisadda nool maalmaha ugu dambeeya”? Taasu waa innaga.</w:t>
      </w:r>
    </w:p>
    <w:p>
      <w:pPr>
        <w:pStyle w:val="ArticleScripture"/>
        <w:jc w:val="left"/>
      </w:pPr>
      <w:r>
        <w:rPr>
          <w:rFonts w:ascii="Times New Roman" w:hAnsi="Times New Roman" w:eastAsia="Times New Roman" w:cs="Times New Roman"/>
        </w:rPr>
        <w:t>Ceea ce este arătat și la încheierea capitolului 24. În această parabolă, experiența lor este ilustrată prin întâmplările unei căsătorii răsăritene. „Atunci împărăția cerurilor se va asemăna cu zece fecioare, care și-au luat candelele și au ieșit în întâmpinarea mirelui. Cinci dintre ele erau înțelepte, iar cinci erau nechibzuite. Cele nechibzuite și-au luat candelele, dar n-au luat cu ele untdelemn; însă cele înțelepte au luat untdelemn în vasele lor, împreună cu candelele. Fiindcă mirele zăbovea, au ațipit toate și au adormit. La miezul nopții s-a auzit o strigare: Iată, mirele vine; ieșiți-i în întâmpinare.”</w:t>
      </w:r>
    </w:p>
    <w:p>
      <w:pPr>
        <w:pStyle w:val="ArticleScripture"/>
        <w:jc w:val="left"/>
      </w:pP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მოსვლა</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პირველი</w:t>
      </w:r>
      <w:r>
        <w:rPr>
          <w:rFonts w:ascii="Times New Roman" w:hAnsi="Times New Roman" w:eastAsia="Times New Roman" w:cs="Times New Roman"/>
        </w:rPr>
        <w:t xml:space="preserve"> </w:t>
      </w:r>
      <w:r>
        <w:rPr>
          <w:rFonts w:ascii="Sylfaen" w:hAnsi="Sylfaen" w:eastAsia="Sylfaen" w:cs="Sylfaen"/>
        </w:rPr>
        <w:t>ანგელოზის</w:t>
      </w:r>
      <w:r>
        <w:rPr>
          <w:rFonts w:ascii="Times New Roman" w:hAnsi="Times New Roman" w:eastAsia="Times New Roman" w:cs="Times New Roman"/>
        </w:rPr>
        <w:t xml:space="preserve"> </w:t>
      </w:r>
      <w:r>
        <w:rPr>
          <w:rFonts w:ascii="Sylfaen" w:hAnsi="Sylfaen" w:eastAsia="Sylfaen" w:cs="Sylfaen"/>
        </w:rPr>
        <w:t>უწყებით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გამოცხადებული</w:t>
      </w:r>
      <w:r>
        <w:rPr>
          <w:rFonts w:ascii="Times New Roman" w:hAnsi="Times New Roman" w:eastAsia="Times New Roman" w:cs="Times New Roman"/>
        </w:rPr>
        <w:t xml:space="preserve">, </w:t>
      </w:r>
      <w:r>
        <w:rPr>
          <w:rFonts w:ascii="Sylfaen" w:hAnsi="Sylfaen" w:eastAsia="Sylfaen" w:cs="Sylfaen"/>
        </w:rPr>
        <w:t>გაგებული</w:t>
      </w:r>
      <w:r>
        <w:rPr>
          <w:rFonts w:ascii="Times New Roman" w:hAnsi="Times New Roman" w:eastAsia="Times New Roman" w:cs="Times New Roman"/>
        </w:rPr>
        <w:t xml:space="preserve"> </w:t>
      </w:r>
      <w:r>
        <w:rPr>
          <w:rFonts w:ascii="Sylfaen" w:hAnsi="Sylfaen" w:eastAsia="Sylfaen" w:cs="Sylfaen"/>
        </w:rPr>
        <w:t>იქნა</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სასიძოს</w:t>
      </w:r>
      <w:r>
        <w:rPr>
          <w:rFonts w:ascii="Times New Roman" w:hAnsi="Times New Roman" w:eastAsia="Times New Roman" w:cs="Times New Roman"/>
        </w:rPr>
        <w:t xml:space="preserve"> </w:t>
      </w:r>
      <w:r>
        <w:rPr>
          <w:rFonts w:ascii="Sylfaen" w:hAnsi="Sylfaen" w:eastAsia="Sylfaen" w:cs="Sylfaen"/>
        </w:rPr>
        <w:t>მოსვლით</w:t>
      </w:r>
      <w:r>
        <w:rPr>
          <w:rFonts w:ascii="Times New Roman" w:hAnsi="Times New Roman" w:eastAsia="Times New Roman" w:cs="Times New Roman"/>
        </w:rPr>
        <w:t xml:space="preserve"> </w:t>
      </w:r>
      <w:r>
        <w:rPr>
          <w:rFonts w:ascii="Sylfaen" w:hAnsi="Sylfaen" w:eastAsia="Sylfaen" w:cs="Sylfaen"/>
        </w:rPr>
        <w:t>იყო</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მალე</w:t>
      </w:r>
      <w:r>
        <w:rPr>
          <w:rFonts w:ascii="Times New Roman" w:hAnsi="Times New Roman" w:eastAsia="Times New Roman" w:cs="Times New Roman"/>
        </w:rPr>
        <w:t xml:space="preserve"> </w:t>
      </w:r>
      <w:r>
        <w:rPr>
          <w:rFonts w:ascii="Sylfaen" w:hAnsi="Sylfaen" w:eastAsia="Sylfaen" w:cs="Sylfaen"/>
        </w:rPr>
        <w:t>მოსვლის</w:t>
      </w:r>
      <w:r>
        <w:rPr>
          <w:rFonts w:ascii="Times New Roman" w:hAnsi="Times New Roman" w:eastAsia="Times New Roman" w:cs="Times New Roman"/>
        </w:rPr>
        <w:t xml:space="preserve"> </w:t>
      </w:r>
      <w:r>
        <w:rPr>
          <w:rFonts w:ascii="Sylfaen" w:hAnsi="Sylfaen" w:eastAsia="Sylfaen" w:cs="Sylfaen"/>
        </w:rPr>
        <w:t>ქადაგების</w:t>
      </w:r>
      <w:r>
        <w:rPr>
          <w:rFonts w:ascii="Times New Roman" w:hAnsi="Times New Roman" w:eastAsia="Times New Roman" w:cs="Times New Roman"/>
        </w:rPr>
        <w:t xml:space="preserve"> </w:t>
      </w:r>
      <w:r>
        <w:rPr>
          <w:rFonts w:ascii="Sylfaen" w:hAnsi="Sylfaen" w:eastAsia="Sylfaen" w:cs="Sylfaen"/>
        </w:rPr>
        <w:t>შედეგად</w:t>
      </w:r>
      <w:r>
        <w:rPr>
          <w:rFonts w:ascii="Times New Roman" w:hAnsi="Times New Roman" w:eastAsia="Times New Roman" w:cs="Times New Roman"/>
        </w:rPr>
        <w:t xml:space="preserve"> </w:t>
      </w:r>
      <w:r>
        <w:rPr>
          <w:rFonts w:ascii="Sylfaen" w:hAnsi="Sylfaen" w:eastAsia="Sylfaen" w:cs="Sylfaen"/>
        </w:rPr>
        <w:t>აღმოცენებული</w:t>
      </w:r>
      <w:r>
        <w:rPr>
          <w:rFonts w:ascii="Times New Roman" w:hAnsi="Times New Roman" w:eastAsia="Times New Roman" w:cs="Times New Roman"/>
        </w:rPr>
        <w:t xml:space="preserve"> </w:t>
      </w:r>
      <w:r>
        <w:rPr>
          <w:rFonts w:ascii="Sylfaen" w:hAnsi="Sylfaen" w:eastAsia="Sylfaen" w:cs="Sylfaen"/>
        </w:rPr>
        <w:t>ფართო</w:t>
      </w:r>
      <w:r>
        <w:rPr>
          <w:rFonts w:ascii="Times New Roman" w:hAnsi="Times New Roman" w:eastAsia="Times New Roman" w:cs="Times New Roman"/>
        </w:rPr>
        <w:t xml:space="preserve"> </w:t>
      </w:r>
      <w:r>
        <w:rPr>
          <w:rFonts w:ascii="Sylfaen" w:hAnsi="Sylfaen" w:eastAsia="Sylfaen" w:cs="Sylfaen"/>
        </w:rPr>
        <w:t>რეფორმაცია</w:t>
      </w:r>
      <w:r>
        <w:rPr>
          <w:rFonts w:ascii="Times New Roman" w:hAnsi="Times New Roman" w:eastAsia="Times New Roman" w:cs="Times New Roman"/>
        </w:rPr>
        <w:t xml:space="preserve"> </w:t>
      </w:r>
      <w:r>
        <w:rPr>
          <w:rFonts w:ascii="Sylfaen" w:hAnsi="Sylfaen" w:eastAsia="Sylfaen" w:cs="Sylfaen"/>
        </w:rPr>
        <w:t>შეესაბამებოდა</w:t>
      </w:r>
      <w:r>
        <w:rPr>
          <w:rFonts w:ascii="Times New Roman" w:hAnsi="Times New Roman" w:eastAsia="Times New Roman" w:cs="Times New Roman"/>
        </w:rPr>
        <w:t xml:space="preserve"> </w:t>
      </w:r>
      <w:r>
        <w:rPr>
          <w:rFonts w:ascii="Sylfaen" w:hAnsi="Sylfaen" w:eastAsia="Sylfaen" w:cs="Sylfaen"/>
        </w:rPr>
        <w:t>ქალწულთა</w:t>
      </w:r>
      <w:r>
        <w:rPr>
          <w:rFonts w:ascii="Times New Roman" w:hAnsi="Times New Roman" w:eastAsia="Times New Roman" w:cs="Times New Roman"/>
        </w:rPr>
        <w:t xml:space="preserve"> </w:t>
      </w:r>
      <w:r>
        <w:rPr>
          <w:rFonts w:ascii="Sylfaen" w:hAnsi="Sylfaen" w:eastAsia="Sylfaen" w:cs="Sylfaen"/>
        </w:rPr>
        <w:t>გამოსვლას</w:t>
      </w:r>
      <w:r>
        <w:rPr>
          <w:rFonts w:ascii="Times New Roman" w:hAnsi="Times New Roman" w:eastAsia="Times New Roman" w:cs="Times New Roman"/>
        </w:rPr>
        <w:t xml:space="preserve">. </w:t>
      </w:r>
      <w:r>
        <w:rPr>
          <w:rFonts w:ascii="Sylfaen" w:hAnsi="Sylfaen" w:eastAsia="Sylfaen" w:cs="Sylfaen"/>
        </w:rPr>
        <w:t>ამ</w:t>
      </w:r>
      <w:r>
        <w:rPr>
          <w:rFonts w:ascii="Times New Roman" w:hAnsi="Times New Roman" w:eastAsia="Times New Roman" w:cs="Times New Roman"/>
        </w:rPr>
        <w:t xml:space="preserve"> </w:t>
      </w:r>
      <w:r>
        <w:rPr>
          <w:rFonts w:ascii="Sylfaen" w:hAnsi="Sylfaen" w:eastAsia="Sylfaen" w:cs="Sylfaen"/>
        </w:rPr>
        <w:t>იგავშიც</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მათეს</w:t>
      </w:r>
      <w:r>
        <w:rPr>
          <w:rFonts w:ascii="Times New Roman" w:hAnsi="Times New Roman" w:eastAsia="Times New Roman" w:cs="Times New Roman"/>
        </w:rPr>
        <w:t xml:space="preserve"> 24-</w:t>
      </w:r>
      <w:r>
        <w:rPr>
          <w:rFonts w:ascii="Sylfaen" w:hAnsi="Sylfaen" w:eastAsia="Sylfaen" w:cs="Sylfaen"/>
        </w:rPr>
        <w:t>ში</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ჯგუფი</w:t>
      </w:r>
      <w:r>
        <w:rPr>
          <w:rFonts w:ascii="Times New Roman" w:hAnsi="Times New Roman" w:eastAsia="Times New Roman" w:cs="Times New Roman"/>
        </w:rPr>
        <w:t xml:space="preserve">. </w:t>
      </w:r>
      <w:r>
        <w:rPr>
          <w:rFonts w:ascii="Sylfaen" w:hAnsi="Sylfaen" w:eastAsia="Sylfaen" w:cs="Sylfaen"/>
        </w:rPr>
        <w:t>ყველას</w:t>
      </w:r>
      <w:r>
        <w:rPr>
          <w:rFonts w:ascii="Times New Roman" w:hAnsi="Times New Roman" w:eastAsia="Times New Roman" w:cs="Times New Roman"/>
        </w:rPr>
        <w:t xml:space="preserve"> </w:t>
      </w:r>
      <w:r>
        <w:rPr>
          <w:rFonts w:ascii="Sylfaen" w:hAnsi="Sylfaen" w:eastAsia="Sylfaen" w:cs="Sylfaen"/>
        </w:rPr>
        <w:t>აეღო</w:t>
      </w:r>
      <w:r>
        <w:rPr>
          <w:rFonts w:ascii="Times New Roman" w:hAnsi="Times New Roman" w:eastAsia="Times New Roman" w:cs="Times New Roman"/>
        </w:rPr>
        <w:t xml:space="preserve"> </w:t>
      </w:r>
      <w:r>
        <w:rPr>
          <w:rFonts w:ascii="Sylfaen" w:hAnsi="Sylfaen" w:eastAsia="Sylfaen" w:cs="Sylfaen"/>
        </w:rPr>
        <w:t>თავისი</w:t>
      </w:r>
      <w:r>
        <w:rPr>
          <w:rFonts w:ascii="Times New Roman" w:hAnsi="Times New Roman" w:eastAsia="Times New Roman" w:cs="Times New Roman"/>
        </w:rPr>
        <w:t xml:space="preserve"> </w:t>
      </w:r>
      <w:r>
        <w:rPr>
          <w:rFonts w:ascii="Sylfaen" w:hAnsi="Sylfaen" w:eastAsia="Sylfaen" w:cs="Sylfaen"/>
        </w:rPr>
        <w:t>ლამპარი</w:t>
      </w:r>
      <w:r>
        <w:rPr>
          <w:rFonts w:ascii="Times New Roman" w:hAnsi="Times New Roman" w:eastAsia="Times New Roman" w:cs="Times New Roman"/>
        </w:rPr>
        <w:t xml:space="preserve"> — </w:t>
      </w:r>
      <w:r>
        <w:rPr>
          <w:rFonts w:ascii="Sylfaen" w:hAnsi="Sylfaen" w:eastAsia="Sylfaen" w:cs="Sylfaen"/>
        </w:rPr>
        <w:t>ბიბლია</w:t>
      </w:r>
      <w:r>
        <w:rPr>
          <w:rFonts w:ascii="Times New Roman" w:hAnsi="Times New Roman" w:eastAsia="Times New Roman" w:cs="Times New Roman"/>
        </w:rPr>
        <w:t xml:space="preserve"> —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შუქით</w:t>
      </w:r>
      <w:r>
        <w:rPr>
          <w:rFonts w:ascii="Times New Roman" w:hAnsi="Times New Roman" w:eastAsia="Times New Roman" w:cs="Times New Roman"/>
        </w:rPr>
        <w:t xml:space="preserve"> </w:t>
      </w:r>
      <w:r>
        <w:rPr>
          <w:rFonts w:ascii="Sylfaen" w:hAnsi="Sylfaen" w:eastAsia="Sylfaen" w:cs="Sylfaen"/>
        </w:rPr>
        <w:t>გამოვიდა</w:t>
      </w:r>
      <w:r>
        <w:rPr>
          <w:rFonts w:ascii="Times New Roman" w:hAnsi="Times New Roman" w:eastAsia="Times New Roman" w:cs="Times New Roman"/>
        </w:rPr>
        <w:t xml:space="preserve"> </w:t>
      </w:r>
      <w:r>
        <w:rPr>
          <w:rFonts w:ascii="Sylfaen" w:hAnsi="Sylfaen" w:eastAsia="Sylfaen" w:cs="Sylfaen"/>
        </w:rPr>
        <w:t>სასიძოს</w:t>
      </w:r>
      <w:r>
        <w:rPr>
          <w:rFonts w:ascii="Times New Roman" w:hAnsi="Times New Roman" w:eastAsia="Times New Roman" w:cs="Times New Roman"/>
        </w:rPr>
        <w:t xml:space="preserve"> </w:t>
      </w:r>
      <w:r>
        <w:rPr>
          <w:rFonts w:ascii="Sylfaen" w:hAnsi="Sylfaen" w:eastAsia="Sylfaen" w:cs="Sylfaen"/>
        </w:rPr>
        <w:t>შესახვედრად</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მაშინ</w:t>
      </w:r>
      <w:r>
        <w:rPr>
          <w:rFonts w:ascii="Times New Roman" w:hAnsi="Times New Roman" w:eastAsia="Times New Roman" w:cs="Times New Roman"/>
        </w:rPr>
        <w:t xml:space="preserve">, </w:t>
      </w:r>
      <w:r>
        <w:rPr>
          <w:rFonts w:ascii="Sylfaen" w:hAnsi="Sylfaen" w:eastAsia="Sylfaen" w:cs="Sylfaen"/>
        </w:rPr>
        <w:t>როდესაც</w:t>
      </w:r>
      <w:r>
        <w:rPr>
          <w:rFonts w:ascii="Times New Roman" w:hAnsi="Times New Roman" w:eastAsia="Times New Roman" w:cs="Times New Roman"/>
        </w:rPr>
        <w:t xml:space="preserve"> </w:t>
      </w:r>
      <w:r>
        <w:rPr>
          <w:rFonts w:ascii="Sylfaen" w:hAnsi="Sylfaen" w:eastAsia="Sylfaen" w:cs="Sylfaen"/>
        </w:rPr>
        <w:t>უგუნურებმა</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ლამპრები</w:t>
      </w:r>
      <w:r>
        <w:rPr>
          <w:rFonts w:ascii="Times New Roman" w:hAnsi="Times New Roman" w:eastAsia="Times New Roman" w:cs="Times New Roman"/>
        </w:rPr>
        <w:t xml:space="preserve"> </w:t>
      </w:r>
      <w:r>
        <w:rPr>
          <w:rFonts w:ascii="Sylfaen" w:hAnsi="Sylfaen" w:eastAsia="Sylfaen" w:cs="Sylfaen"/>
        </w:rPr>
        <w:t>ზეთის</w:t>
      </w:r>
      <w:r>
        <w:rPr>
          <w:rFonts w:ascii="Times New Roman" w:hAnsi="Times New Roman" w:eastAsia="Times New Roman" w:cs="Times New Roman"/>
        </w:rPr>
        <w:t xml:space="preserve"> </w:t>
      </w:r>
      <w:r>
        <w:rPr>
          <w:rFonts w:ascii="Sylfaen" w:hAnsi="Sylfaen" w:eastAsia="Sylfaen" w:cs="Sylfaen"/>
        </w:rPr>
        <w:t>გარეშე</w:t>
      </w:r>
      <w:r>
        <w:rPr>
          <w:rFonts w:ascii="Times New Roman" w:hAnsi="Times New Roman" w:eastAsia="Times New Roman" w:cs="Times New Roman"/>
        </w:rPr>
        <w:t xml:space="preserve"> </w:t>
      </w:r>
      <w:r>
        <w:rPr>
          <w:rFonts w:ascii="Sylfaen" w:hAnsi="Sylfaen" w:eastAsia="Sylfaen" w:cs="Sylfaen"/>
        </w:rPr>
        <w:t>აიღეს</w:t>
      </w:r>
      <w:r>
        <w:rPr>
          <w:rFonts w:ascii="Times New Roman" w:hAnsi="Times New Roman" w:eastAsia="Times New Roman" w:cs="Times New Roman"/>
        </w:rPr>
        <w:t xml:space="preserve">, </w:t>
      </w:r>
      <w:r>
        <w:rPr>
          <w:rFonts w:ascii="Sylfaen" w:hAnsi="Sylfaen" w:eastAsia="Sylfaen" w:cs="Sylfaen"/>
        </w:rPr>
        <w:t>ბრძენებმა</w:t>
      </w:r>
      <w:r>
        <w:rPr>
          <w:rFonts w:ascii="Times New Roman" w:hAnsi="Times New Roman" w:eastAsia="Times New Roman" w:cs="Times New Roman"/>
        </w:rPr>
        <w:t xml:space="preserve"> </w:t>
      </w:r>
      <w:r>
        <w:rPr>
          <w:rFonts w:ascii="Sylfaen" w:hAnsi="Sylfaen" w:eastAsia="Sylfaen" w:cs="Sylfaen"/>
        </w:rPr>
        <w:t>თავიანთ</w:t>
      </w:r>
      <w:r>
        <w:rPr>
          <w:rFonts w:ascii="Times New Roman" w:hAnsi="Times New Roman" w:eastAsia="Times New Roman" w:cs="Times New Roman"/>
        </w:rPr>
        <w:t xml:space="preserve"> </w:t>
      </w:r>
      <w:r>
        <w:rPr>
          <w:rFonts w:ascii="Sylfaen" w:hAnsi="Sylfaen" w:eastAsia="Sylfaen" w:cs="Sylfaen"/>
        </w:rPr>
        <w:t>ჭურჭელში</w:t>
      </w:r>
      <w:r>
        <w:rPr>
          <w:rFonts w:ascii="Times New Roman" w:hAnsi="Times New Roman" w:eastAsia="Times New Roman" w:cs="Times New Roman"/>
        </w:rPr>
        <w:t xml:space="preserve"> </w:t>
      </w:r>
      <w:r>
        <w:rPr>
          <w:rFonts w:ascii="Sylfaen" w:hAnsi="Sylfaen" w:eastAsia="Sylfaen" w:cs="Sylfaen"/>
        </w:rPr>
        <w:t>ზეთი</w:t>
      </w:r>
      <w:r>
        <w:rPr>
          <w:rFonts w:ascii="Times New Roman" w:hAnsi="Times New Roman" w:eastAsia="Times New Roman" w:cs="Times New Roman"/>
        </w:rPr>
        <w:t xml:space="preserve"> </w:t>
      </w:r>
      <w:r>
        <w:rPr>
          <w:rFonts w:ascii="Sylfaen" w:hAnsi="Sylfaen" w:eastAsia="Sylfaen" w:cs="Sylfaen"/>
        </w:rPr>
        <w:t>წაიღეს</w:t>
      </w:r>
      <w:r>
        <w:rPr>
          <w:rFonts w:ascii="Times New Roman" w:hAnsi="Times New Roman" w:eastAsia="Times New Roman" w:cs="Times New Roman"/>
        </w:rPr>
        <w:t xml:space="preserve">. </w:t>
      </w:r>
      <w:r>
        <w:rPr>
          <w:rFonts w:ascii="Sylfaen" w:hAnsi="Sylfaen" w:eastAsia="Sylfaen" w:cs="Sylfaen"/>
        </w:rPr>
        <w:t>ბრძენებმა</w:t>
      </w:r>
      <w:r>
        <w:rPr>
          <w:rFonts w:ascii="Times New Roman" w:hAnsi="Times New Roman" w:eastAsia="Times New Roman" w:cs="Times New Roman"/>
        </w:rPr>
        <w:t xml:space="preserve"> </w:t>
      </w:r>
      <w:r>
        <w:rPr>
          <w:rFonts w:ascii="Sylfaen" w:hAnsi="Sylfaen" w:eastAsia="Sylfaen" w:cs="Sylfaen"/>
        </w:rPr>
        <w:t>მიიღეს</w:t>
      </w:r>
      <w:r>
        <w:rPr>
          <w:rFonts w:ascii="Times New Roman" w:hAnsi="Times New Roman" w:eastAsia="Times New Roman" w:cs="Times New Roman"/>
        </w:rPr>
        <w:t xml:space="preserve"> </w:t>
      </w:r>
      <w:r>
        <w:rPr>
          <w:rFonts w:ascii="Sylfaen" w:hAnsi="Sylfaen" w:eastAsia="Sylfaen" w:cs="Sylfaen"/>
        </w:rPr>
        <w:t>ღვთის</w:t>
      </w:r>
      <w:r>
        <w:rPr>
          <w:rFonts w:ascii="Times New Roman" w:hAnsi="Times New Roman" w:eastAsia="Times New Roman" w:cs="Times New Roman"/>
        </w:rPr>
        <w:t xml:space="preserve"> </w:t>
      </w:r>
      <w:r>
        <w:rPr>
          <w:rFonts w:ascii="Sylfaen" w:hAnsi="Sylfaen" w:eastAsia="Sylfaen" w:cs="Sylfaen"/>
        </w:rPr>
        <w:t>მადლი</w:t>
      </w:r>
      <w:r>
        <w:rPr>
          <w:rFonts w:ascii="Times New Roman" w:hAnsi="Times New Roman" w:eastAsia="Times New Roman" w:cs="Times New Roman"/>
        </w:rPr>
        <w:t xml:space="preserve"> — </w:t>
      </w:r>
      <w:r>
        <w:rPr>
          <w:rFonts w:ascii="Sylfaen" w:hAnsi="Sylfaen" w:eastAsia="Sylfaen" w:cs="Sylfaen"/>
        </w:rPr>
        <w:t>სულიწმიდის</w:t>
      </w:r>
      <w:r>
        <w:rPr>
          <w:rFonts w:ascii="Times New Roman" w:hAnsi="Times New Roman" w:eastAsia="Times New Roman" w:cs="Times New Roman"/>
        </w:rPr>
        <w:t xml:space="preserve"> </w:t>
      </w:r>
      <w:r>
        <w:rPr>
          <w:rFonts w:ascii="Sylfaen" w:hAnsi="Sylfaen" w:eastAsia="Sylfaen" w:cs="Sylfaen"/>
        </w:rPr>
        <w:t>აღმდგენი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განმანათლებელი</w:t>
      </w:r>
      <w:r>
        <w:rPr>
          <w:rFonts w:ascii="Times New Roman" w:hAnsi="Times New Roman" w:eastAsia="Times New Roman" w:cs="Times New Roman"/>
        </w:rPr>
        <w:t xml:space="preserve"> </w:t>
      </w:r>
      <w:r>
        <w:rPr>
          <w:rFonts w:ascii="Sylfaen" w:hAnsi="Sylfaen" w:eastAsia="Sylfaen" w:cs="Sylfaen"/>
        </w:rPr>
        <w:t>ძალა</w:t>
      </w:r>
      <w:r>
        <w:rPr>
          <w:rFonts w:ascii="Times New Roman" w:hAnsi="Times New Roman" w:eastAsia="Times New Roman" w:cs="Times New Roman"/>
        </w:rPr>
        <w:t xml:space="preserve">, </w:t>
      </w:r>
      <w:r>
        <w:rPr>
          <w:rFonts w:ascii="Sylfaen" w:hAnsi="Sylfaen" w:eastAsia="Sylfaen" w:cs="Sylfaen"/>
        </w:rPr>
        <w:t>რომელმაც</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სიტყვა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ფეხებისთვის</w:t>
      </w:r>
      <w:r>
        <w:rPr>
          <w:rFonts w:ascii="Times New Roman" w:hAnsi="Times New Roman" w:eastAsia="Times New Roman" w:cs="Times New Roman"/>
        </w:rPr>
        <w:t xml:space="preserve"> </w:t>
      </w:r>
      <w:r>
        <w:rPr>
          <w:rFonts w:ascii="Sylfaen" w:hAnsi="Sylfaen" w:eastAsia="Sylfaen" w:cs="Sylfaen"/>
        </w:rPr>
        <w:t>ლამპრად</w:t>
      </w:r>
      <w:r>
        <w:rPr>
          <w:rFonts w:ascii="Times New Roman" w:hAnsi="Times New Roman" w:eastAsia="Times New Roman" w:cs="Times New Roman"/>
        </w:rPr>
        <w:t xml:space="preserve"> </w:t>
      </w:r>
      <w:r>
        <w:rPr>
          <w:rFonts w:ascii="Sylfaen" w:hAnsi="Sylfaen" w:eastAsia="Sylfaen" w:cs="Sylfaen"/>
        </w:rPr>
        <w:t>აქცია</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სწავლობდნენ</w:t>
      </w:r>
      <w:r>
        <w:rPr>
          <w:rFonts w:ascii="Times New Roman" w:hAnsi="Times New Roman" w:eastAsia="Times New Roman" w:cs="Times New Roman"/>
        </w:rPr>
        <w:t xml:space="preserve"> </w:t>
      </w:r>
      <w:r>
        <w:rPr>
          <w:rFonts w:ascii="Sylfaen" w:hAnsi="Sylfaen" w:eastAsia="Sylfaen" w:cs="Sylfaen"/>
        </w:rPr>
        <w:t>წმინდა</w:t>
      </w:r>
      <w:r>
        <w:rPr>
          <w:rFonts w:ascii="Times New Roman" w:hAnsi="Times New Roman" w:eastAsia="Times New Roman" w:cs="Times New Roman"/>
        </w:rPr>
        <w:t xml:space="preserve"> </w:t>
      </w:r>
      <w:r>
        <w:rPr>
          <w:rFonts w:ascii="Sylfaen" w:hAnsi="Sylfaen" w:eastAsia="Sylfaen" w:cs="Sylfaen"/>
        </w:rPr>
        <w:t>წერილებს</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ჭეშმარიტება</w:t>
      </w:r>
      <w:r>
        <w:rPr>
          <w:rFonts w:ascii="Times New Roman" w:hAnsi="Times New Roman" w:eastAsia="Times New Roman" w:cs="Times New Roman"/>
        </w:rPr>
        <w:t xml:space="preserve"> </w:t>
      </w:r>
      <w:r>
        <w:rPr>
          <w:rFonts w:ascii="Sylfaen" w:hAnsi="Sylfaen" w:eastAsia="Sylfaen" w:cs="Sylfaen"/>
        </w:rPr>
        <w:t>შეეცნოთ</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გულმოდგინედ</w:t>
      </w:r>
      <w:r>
        <w:rPr>
          <w:rFonts w:ascii="Times New Roman" w:hAnsi="Times New Roman" w:eastAsia="Times New Roman" w:cs="Times New Roman"/>
        </w:rPr>
        <w:t xml:space="preserve"> </w:t>
      </w:r>
      <w:r>
        <w:rPr>
          <w:rFonts w:ascii="Sylfaen" w:hAnsi="Sylfaen" w:eastAsia="Sylfaen" w:cs="Sylfaen"/>
        </w:rPr>
        <w:t>ეძიებდნენ</w:t>
      </w:r>
      <w:r>
        <w:rPr>
          <w:rFonts w:ascii="Times New Roman" w:hAnsi="Times New Roman" w:eastAsia="Times New Roman" w:cs="Times New Roman"/>
        </w:rPr>
        <w:t xml:space="preserve"> </w:t>
      </w:r>
      <w:r>
        <w:rPr>
          <w:rFonts w:ascii="Sylfaen" w:hAnsi="Sylfaen" w:eastAsia="Sylfaen" w:cs="Sylfaen"/>
        </w:rPr>
        <w:t>გულისა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ცხოვრების</w:t>
      </w:r>
      <w:r>
        <w:rPr>
          <w:rFonts w:ascii="Times New Roman" w:hAnsi="Times New Roman" w:eastAsia="Times New Roman" w:cs="Times New Roman"/>
        </w:rPr>
        <w:t xml:space="preserve"> </w:t>
      </w:r>
      <w:r>
        <w:rPr>
          <w:rFonts w:ascii="Sylfaen" w:hAnsi="Sylfaen" w:eastAsia="Sylfaen" w:cs="Sylfaen"/>
        </w:rPr>
        <w:t>სიწმინდეს</w:t>
      </w:r>
      <w:r>
        <w:rPr>
          <w:rFonts w:ascii="Times New Roman" w:hAnsi="Times New Roman" w:eastAsia="Times New Roman" w:cs="Times New Roman"/>
        </w:rPr>
        <w:t xml:space="preserve">. </w:t>
      </w:r>
      <w:r>
        <w:rPr>
          <w:rFonts w:ascii="Sylfaen" w:hAnsi="Sylfaen" w:eastAsia="Sylfaen" w:cs="Sylfaen"/>
        </w:rPr>
        <w:t>მათ</w:t>
      </w:r>
      <w:r>
        <w:rPr>
          <w:rFonts w:ascii="Times New Roman" w:hAnsi="Times New Roman" w:eastAsia="Times New Roman" w:cs="Times New Roman"/>
        </w:rPr>
        <w:t xml:space="preserve"> </w:t>
      </w:r>
      <w:r>
        <w:rPr>
          <w:rFonts w:ascii="Sylfaen" w:hAnsi="Sylfaen" w:eastAsia="Sylfaen" w:cs="Sylfaen"/>
        </w:rPr>
        <w:t>ჰქონდათ</w:t>
      </w:r>
      <w:r>
        <w:rPr>
          <w:rFonts w:ascii="Times New Roman" w:hAnsi="Times New Roman" w:eastAsia="Times New Roman" w:cs="Times New Roman"/>
        </w:rPr>
        <w:t xml:space="preserve"> </w:t>
      </w:r>
      <w:r>
        <w:rPr>
          <w:rFonts w:ascii="Sylfaen" w:hAnsi="Sylfaen" w:eastAsia="Sylfaen" w:cs="Sylfaen"/>
        </w:rPr>
        <w:t>პირადი</w:t>
      </w:r>
      <w:r>
        <w:rPr>
          <w:rFonts w:ascii="Times New Roman" w:hAnsi="Times New Roman" w:eastAsia="Times New Roman" w:cs="Times New Roman"/>
        </w:rPr>
        <w:t xml:space="preserve"> </w:t>
      </w:r>
      <w:r>
        <w:rPr>
          <w:rFonts w:ascii="Sylfaen" w:hAnsi="Sylfaen" w:eastAsia="Sylfaen" w:cs="Sylfaen"/>
        </w:rPr>
        <w:t>გამოცდილება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რწმენა</w:t>
      </w:r>
      <w:r>
        <w:rPr>
          <w:rFonts w:ascii="Times New Roman" w:hAnsi="Times New Roman" w:eastAsia="Times New Roman" w:cs="Times New Roman"/>
        </w:rPr>
        <w:t xml:space="preserve"> </w:t>
      </w:r>
      <w:r>
        <w:rPr>
          <w:rFonts w:ascii="Sylfaen" w:hAnsi="Sylfaen" w:eastAsia="Sylfaen" w:cs="Sylfaen"/>
        </w:rPr>
        <w:t>ღმერთისა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მისი</w:t>
      </w:r>
      <w:r>
        <w:rPr>
          <w:rFonts w:ascii="Times New Roman" w:hAnsi="Times New Roman" w:eastAsia="Times New Roman" w:cs="Times New Roman"/>
        </w:rPr>
        <w:t xml:space="preserve"> </w:t>
      </w:r>
      <w:r>
        <w:rPr>
          <w:rFonts w:ascii="Sylfaen" w:hAnsi="Sylfaen" w:eastAsia="Sylfaen" w:cs="Sylfaen"/>
        </w:rPr>
        <w:t>სიტყვის</w:t>
      </w:r>
      <w:r>
        <w:rPr>
          <w:rFonts w:ascii="Times New Roman" w:hAnsi="Times New Roman" w:eastAsia="Times New Roman" w:cs="Times New Roman"/>
        </w:rPr>
        <w:t xml:space="preserve"> </w:t>
      </w:r>
      <w:r>
        <w:rPr>
          <w:rFonts w:ascii="Sylfaen" w:hAnsi="Sylfaen" w:eastAsia="Sylfaen" w:cs="Sylfaen"/>
        </w:rPr>
        <w:t>მიმართ</w:t>
      </w:r>
      <w:r>
        <w:rPr>
          <w:rFonts w:ascii="Times New Roman" w:hAnsi="Times New Roman" w:eastAsia="Times New Roman" w:cs="Times New Roman"/>
        </w:rPr>
        <w:t xml:space="preserve">, </w:t>
      </w:r>
      <w:r>
        <w:rPr>
          <w:rFonts w:ascii="Sylfaen" w:hAnsi="Sylfaen" w:eastAsia="Sylfaen" w:cs="Sylfaen"/>
        </w:rPr>
        <w:t>რომლის</w:t>
      </w:r>
      <w:r>
        <w:rPr>
          <w:rFonts w:ascii="Times New Roman" w:hAnsi="Times New Roman" w:eastAsia="Times New Roman" w:cs="Times New Roman"/>
        </w:rPr>
        <w:t xml:space="preserve"> </w:t>
      </w:r>
      <w:r>
        <w:rPr>
          <w:rFonts w:ascii="Sylfaen" w:hAnsi="Sylfaen" w:eastAsia="Sylfaen" w:cs="Sylfaen"/>
        </w:rPr>
        <w:t>დამხობაც</w:t>
      </w:r>
      <w:r>
        <w:rPr>
          <w:rFonts w:ascii="Times New Roman" w:hAnsi="Times New Roman" w:eastAsia="Times New Roman" w:cs="Times New Roman"/>
        </w:rPr>
        <w:t xml:space="preserve"> </w:t>
      </w:r>
      <w:r>
        <w:rPr>
          <w:rFonts w:ascii="Sylfaen" w:hAnsi="Sylfaen" w:eastAsia="Sylfaen" w:cs="Sylfaen"/>
        </w:rPr>
        <w:t>იმედგაცრუებასა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დაყოვნებას</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შეეძლო</w:t>
      </w:r>
      <w:r>
        <w:rPr>
          <w:rFonts w:ascii="Times New Roman" w:hAnsi="Times New Roman" w:eastAsia="Times New Roman" w:cs="Times New Roman"/>
        </w:rPr>
        <w:t xml:space="preserve">. </w:t>
      </w:r>
      <w:r>
        <w:rPr>
          <w:rFonts w:ascii="Sylfaen" w:hAnsi="Sylfaen" w:eastAsia="Sylfaen" w:cs="Sylfaen"/>
        </w:rPr>
        <w:t>სხვები</w:t>
      </w:r>
      <w:r>
        <w:rPr>
          <w:rFonts w:ascii="Times New Roman" w:hAnsi="Times New Roman" w:eastAsia="Times New Roman" w:cs="Times New Roman"/>
        </w:rPr>
        <w:t xml:space="preserve"> </w:t>
      </w:r>
      <w:r>
        <w:rPr>
          <w:rFonts w:ascii="Sylfaen" w:hAnsi="Sylfaen" w:eastAsia="Sylfaen" w:cs="Sylfaen"/>
        </w:rPr>
        <w:t>მოქმედებდნენ</w:t>
      </w:r>
      <w:r>
        <w:rPr>
          <w:rFonts w:ascii="Times New Roman" w:hAnsi="Times New Roman" w:eastAsia="Times New Roman" w:cs="Times New Roman"/>
        </w:rPr>
        <w:t xml:space="preserve"> </w:t>
      </w:r>
      <w:r>
        <w:rPr>
          <w:rFonts w:ascii="Sylfaen" w:hAnsi="Sylfaen" w:eastAsia="Sylfaen" w:cs="Sylfaen"/>
        </w:rPr>
        <w:t>მხოლოდ</w:t>
      </w:r>
      <w:r>
        <w:rPr>
          <w:rFonts w:ascii="Times New Roman" w:hAnsi="Times New Roman" w:eastAsia="Times New Roman" w:cs="Times New Roman"/>
        </w:rPr>
        <w:t xml:space="preserve"> </w:t>
      </w:r>
      <w:r>
        <w:rPr>
          <w:rFonts w:ascii="Sylfaen" w:hAnsi="Sylfaen" w:eastAsia="Sylfaen" w:cs="Sylfaen"/>
        </w:rPr>
        <w:t>იმპულსით</w:t>
      </w:r>
      <w:r>
        <w:rPr>
          <w:rFonts w:ascii="Times New Roman" w:hAnsi="Times New Roman" w:eastAsia="Times New Roman" w:cs="Times New Roman"/>
        </w:rPr>
        <w:t xml:space="preserve">, </w:t>
      </w:r>
      <w:r>
        <w:rPr>
          <w:rFonts w:ascii="Sylfaen" w:hAnsi="Sylfaen" w:eastAsia="Sylfaen" w:cs="Sylfaen"/>
        </w:rPr>
        <w:t>თავიანთი</w:t>
      </w:r>
      <w:r>
        <w:rPr>
          <w:rFonts w:ascii="Times New Roman" w:hAnsi="Times New Roman" w:eastAsia="Times New Roman" w:cs="Times New Roman"/>
        </w:rPr>
        <w:t xml:space="preserve"> </w:t>
      </w:r>
      <w:r>
        <w:rPr>
          <w:rFonts w:ascii="Sylfaen" w:hAnsi="Sylfaen" w:eastAsia="Sylfaen" w:cs="Sylfaen"/>
        </w:rPr>
        <w:t>ძმების</w:t>
      </w:r>
      <w:r>
        <w:rPr>
          <w:rFonts w:ascii="Times New Roman" w:hAnsi="Times New Roman" w:eastAsia="Times New Roman" w:cs="Times New Roman"/>
        </w:rPr>
        <w:t xml:space="preserve"> </w:t>
      </w:r>
      <w:r>
        <w:rPr>
          <w:rFonts w:ascii="Sylfaen" w:hAnsi="Sylfaen" w:eastAsia="Sylfaen" w:cs="Sylfaen"/>
        </w:rPr>
        <w:t>რწმენაზე</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დამოკიდებულნი</w:t>
      </w:r>
      <w:r>
        <w:rPr>
          <w:rFonts w:ascii="Times New Roman" w:hAnsi="Times New Roman" w:eastAsia="Times New Roman" w:cs="Times New Roman"/>
        </w:rPr>
        <w:t xml:space="preserve">, </w:t>
      </w:r>
      <w:r>
        <w:rPr>
          <w:rFonts w:ascii="Sylfaen" w:hAnsi="Sylfaen" w:eastAsia="Sylfaen" w:cs="Sylfaen"/>
        </w:rPr>
        <w:t>კეთილ</w:t>
      </w:r>
      <w:r>
        <w:rPr>
          <w:rFonts w:ascii="Times New Roman" w:hAnsi="Times New Roman" w:eastAsia="Times New Roman" w:cs="Times New Roman"/>
        </w:rPr>
        <w:t xml:space="preserve"> </w:t>
      </w:r>
      <w:r>
        <w:rPr>
          <w:rFonts w:ascii="Sylfaen" w:hAnsi="Sylfaen" w:eastAsia="Sylfaen" w:cs="Sylfaen"/>
        </w:rPr>
        <w:t>გრძნობებით</w:t>
      </w:r>
      <w:r>
        <w:rPr>
          <w:rFonts w:ascii="Times New Roman" w:hAnsi="Times New Roman" w:eastAsia="Times New Roman" w:cs="Times New Roman"/>
        </w:rPr>
        <w:t xml:space="preserve"> </w:t>
      </w:r>
      <w:r>
        <w:rPr>
          <w:rFonts w:ascii="Sylfaen" w:hAnsi="Sylfaen" w:eastAsia="Sylfaen" w:cs="Sylfaen"/>
        </w:rPr>
        <w:t>კმაყოფილდებოდნენ</w:t>
      </w:r>
      <w:r>
        <w:rPr>
          <w:rFonts w:ascii="Times New Roman" w:hAnsi="Times New Roman" w:eastAsia="Times New Roman" w:cs="Times New Roman"/>
        </w:rPr>
        <w:t xml:space="preserve">, </w:t>
      </w:r>
      <w:r>
        <w:rPr>
          <w:rFonts w:ascii="Sylfaen" w:hAnsi="Sylfaen" w:eastAsia="Sylfaen" w:cs="Sylfaen"/>
        </w:rPr>
        <w:t>მაგრამ</w:t>
      </w:r>
      <w:r>
        <w:rPr>
          <w:rFonts w:ascii="Times New Roman" w:hAnsi="Times New Roman" w:eastAsia="Times New Roman" w:cs="Times New Roman"/>
        </w:rPr>
        <w:t xml:space="preserve"> </w:t>
      </w:r>
      <w:r>
        <w:rPr>
          <w:rFonts w:ascii="Sylfaen" w:hAnsi="Sylfaen" w:eastAsia="Sylfaen" w:cs="Sylfaen"/>
        </w:rPr>
        <w:t>მოკლებულნი</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ჭეშმარიტების</w:t>
      </w:r>
      <w:r>
        <w:rPr>
          <w:rFonts w:ascii="Times New Roman" w:hAnsi="Times New Roman" w:eastAsia="Times New Roman" w:cs="Times New Roman"/>
        </w:rPr>
        <w:t xml:space="preserve"> </w:t>
      </w:r>
      <w:r>
        <w:rPr>
          <w:rFonts w:ascii="Sylfaen" w:hAnsi="Sylfaen" w:eastAsia="Sylfaen" w:cs="Sylfaen"/>
        </w:rPr>
        <w:t>საფუძვლიან</w:t>
      </w:r>
      <w:r>
        <w:rPr>
          <w:rFonts w:ascii="Times New Roman" w:hAnsi="Times New Roman" w:eastAsia="Times New Roman" w:cs="Times New Roman"/>
        </w:rPr>
        <w:t xml:space="preserve"> </w:t>
      </w:r>
      <w:r>
        <w:rPr>
          <w:rFonts w:ascii="Sylfaen" w:hAnsi="Sylfaen" w:eastAsia="Sylfaen" w:cs="Sylfaen"/>
        </w:rPr>
        <w:t>შემეცნებასა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მადლის</w:t>
      </w:r>
      <w:r>
        <w:rPr>
          <w:rFonts w:ascii="Times New Roman" w:hAnsi="Times New Roman" w:eastAsia="Times New Roman" w:cs="Times New Roman"/>
        </w:rPr>
        <w:t xml:space="preserve"> </w:t>
      </w:r>
      <w:r>
        <w:rPr>
          <w:rFonts w:ascii="Sylfaen" w:hAnsi="Sylfaen" w:eastAsia="Sylfaen" w:cs="Sylfaen"/>
        </w:rPr>
        <w:t>ჭეშმარიტ</w:t>
      </w:r>
      <w:r>
        <w:rPr>
          <w:rFonts w:ascii="Times New Roman" w:hAnsi="Times New Roman" w:eastAsia="Times New Roman" w:cs="Times New Roman"/>
        </w:rPr>
        <w:t xml:space="preserve"> </w:t>
      </w:r>
      <w:r>
        <w:rPr>
          <w:rFonts w:ascii="Sylfaen" w:hAnsi="Sylfaen" w:eastAsia="Sylfaen" w:cs="Sylfaen"/>
        </w:rPr>
        <w:t>მოქმედებას</w:t>
      </w:r>
      <w:r>
        <w:rPr>
          <w:rFonts w:ascii="Times New Roman" w:hAnsi="Times New Roman" w:eastAsia="Times New Roman" w:cs="Times New Roman"/>
        </w:rPr>
        <w:t xml:space="preserve">. </w:t>
      </w:r>
      <w:r>
        <w:rPr>
          <w:rFonts w:ascii="Sylfaen" w:hAnsi="Sylfaen" w:eastAsia="Sylfaen" w:cs="Sylfaen"/>
        </w:rPr>
        <w:t>ისინი</w:t>
      </w:r>
      <w:r>
        <w:rPr>
          <w:rFonts w:ascii="Times New Roman" w:hAnsi="Times New Roman" w:eastAsia="Times New Roman" w:cs="Times New Roman"/>
        </w:rPr>
        <w:t xml:space="preserve"> </w:t>
      </w:r>
      <w:r>
        <w:rPr>
          <w:rFonts w:ascii="Sylfaen" w:hAnsi="Sylfaen" w:eastAsia="Sylfaen" w:cs="Sylfaen"/>
        </w:rPr>
        <w:t>დაყოვნებისა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იმედგაცრუებისთვის</w:t>
      </w:r>
      <w:r>
        <w:rPr>
          <w:rFonts w:ascii="Times New Roman" w:hAnsi="Times New Roman" w:eastAsia="Times New Roman" w:cs="Times New Roman"/>
        </w:rPr>
        <w:t xml:space="preserve"> </w:t>
      </w:r>
      <w:r>
        <w:rPr>
          <w:rFonts w:ascii="Sylfaen" w:hAnsi="Sylfaen" w:eastAsia="Sylfaen" w:cs="Sylfaen"/>
        </w:rPr>
        <w:t>მზად</w:t>
      </w:r>
      <w:r>
        <w:rPr>
          <w:rFonts w:ascii="Times New Roman" w:hAnsi="Times New Roman" w:eastAsia="Times New Roman" w:cs="Times New Roman"/>
        </w:rPr>
        <w:t xml:space="preserve"> </w:t>
      </w:r>
      <w:r>
        <w:rPr>
          <w:rFonts w:ascii="Sylfaen" w:hAnsi="Sylfaen" w:eastAsia="Sylfaen" w:cs="Sylfaen"/>
        </w:rPr>
        <w:t>არ</w:t>
      </w:r>
      <w:r>
        <w:rPr>
          <w:rFonts w:ascii="Times New Roman" w:hAnsi="Times New Roman" w:eastAsia="Times New Roman" w:cs="Times New Roman"/>
        </w:rPr>
        <w:t xml:space="preserve"> </w:t>
      </w:r>
      <w:r>
        <w:rPr>
          <w:rFonts w:ascii="Sylfaen" w:hAnsi="Sylfaen" w:eastAsia="Sylfaen" w:cs="Sylfaen"/>
        </w:rPr>
        <w:t>იყვნენ</w:t>
      </w:r>
      <w:r>
        <w:rPr>
          <w:rFonts w:ascii="Times New Roman" w:hAnsi="Times New Roman" w:eastAsia="Times New Roman" w:cs="Times New Roman"/>
        </w:rPr>
        <w:t xml:space="preserve">. </w:t>
      </w:r>
      <w:r>
        <w:rPr>
          <w:rFonts w:ascii="Sylfaen" w:hAnsi="Sylfaen" w:eastAsia="Sylfaen" w:cs="Sylfaen"/>
        </w:rPr>
        <w:t>როცა</w:t>
      </w:r>
      <w:r>
        <w:rPr>
          <w:rFonts w:ascii="Times New Roman" w:hAnsi="Times New Roman" w:eastAsia="Times New Roman" w:cs="Times New Roman"/>
        </w:rPr>
        <w:t xml:space="preserve"> </w:t>
      </w:r>
      <w:r>
        <w:rPr>
          <w:rFonts w:ascii="Sylfaen" w:hAnsi="Sylfaen" w:eastAsia="Sylfaen" w:cs="Sylfaen"/>
        </w:rPr>
        <w:t>განსაცდელები</w:t>
      </w:r>
      <w:r>
        <w:rPr>
          <w:rFonts w:ascii="Times New Roman" w:hAnsi="Times New Roman" w:eastAsia="Times New Roman" w:cs="Times New Roman"/>
        </w:rPr>
        <w:t xml:space="preserve"> </w:t>
      </w:r>
      <w:r>
        <w:rPr>
          <w:rFonts w:ascii="Sylfaen" w:hAnsi="Sylfaen" w:eastAsia="Sylfaen" w:cs="Sylfaen"/>
        </w:rPr>
        <w:t>მოვიდა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რწმენა</w:t>
      </w:r>
      <w:r>
        <w:rPr>
          <w:rFonts w:ascii="Times New Roman" w:hAnsi="Times New Roman" w:eastAsia="Times New Roman" w:cs="Times New Roman"/>
        </w:rPr>
        <w:t xml:space="preserve"> </w:t>
      </w:r>
      <w:r>
        <w:rPr>
          <w:rFonts w:ascii="Sylfaen" w:hAnsi="Sylfaen" w:eastAsia="Sylfaen" w:cs="Sylfaen"/>
        </w:rPr>
        <w:t>დაეცა</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მათი</w:t>
      </w:r>
      <w:r>
        <w:rPr>
          <w:rFonts w:ascii="Times New Roman" w:hAnsi="Times New Roman" w:eastAsia="Times New Roman" w:cs="Times New Roman"/>
        </w:rPr>
        <w:t xml:space="preserve"> </w:t>
      </w:r>
      <w:r>
        <w:rPr>
          <w:rFonts w:ascii="Sylfaen" w:hAnsi="Sylfaen" w:eastAsia="Sylfaen" w:cs="Sylfaen"/>
        </w:rPr>
        <w:t>ლამპრები</w:t>
      </w:r>
      <w:r>
        <w:rPr>
          <w:rFonts w:ascii="Times New Roman" w:hAnsi="Times New Roman" w:eastAsia="Times New Roman" w:cs="Times New Roman"/>
        </w:rPr>
        <w:t xml:space="preserve"> </w:t>
      </w:r>
      <w:r>
        <w:rPr>
          <w:rFonts w:ascii="Sylfaen" w:hAnsi="Sylfaen" w:eastAsia="Sylfaen" w:cs="Sylfaen"/>
        </w:rPr>
        <w:t>მკრთალად</w:t>
      </w:r>
      <w:r>
        <w:rPr>
          <w:rFonts w:ascii="Times New Roman" w:hAnsi="Times New Roman" w:eastAsia="Times New Roman" w:cs="Times New Roman"/>
        </w:rPr>
        <w:t xml:space="preserve"> </w:t>
      </w:r>
      <w:r>
        <w:rPr>
          <w:rFonts w:ascii="Sylfaen" w:hAnsi="Sylfaen" w:eastAsia="Sylfaen" w:cs="Sylfaen"/>
        </w:rPr>
        <w:t>იწვოდა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 Pendant que l’Époux tardait », quand l’Époux a-t-Il tardé ? Le 22 mars 1844. Il tarde. Que va-t-il se passer maintenant ? Ces deux classes vont être manifestées.</w:t>
      </w:r>
    </w:p>
    <w:p>
      <w:pPr>
        <w:pStyle w:val="ArticleBody"/>
        <w:jc w:val="left"/>
      </w:pP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मध्यरात्रि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दुष्ट</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मार्ग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पड़ते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परखने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आधार</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उपासकों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उत्पन्न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सुसमाचार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चरमोत्कर्ष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वर्गों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चलने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प्रयत्न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परखने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गुज़ारता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सिद्ध</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चरमोत्कर्ष</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जिसमें</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मूर्खों</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अलग</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ရုပ်တော်ရှင်သည်</w:t>
      </w:r>
      <w:r>
        <w:rPr>
          <w:rFonts w:ascii="Times New Roman" w:hAnsi="Times New Roman" w:eastAsia="Times New Roman" w:cs="Times New Roman"/>
        </w:rPr>
        <w:t xml:space="preserve"> </w:t>
      </w:r>
      <w:r>
        <w:rPr>
          <w:rFonts w:ascii="Myanmar Text" w:hAnsi="Myanmar Text" w:eastAsia="Myanmar Text" w:cs="Myanmar Text"/>
        </w:rPr>
        <w:t>နောက်ကျနေစဉ်တွင်</w:t>
      </w:r>
      <w:r>
        <w:rPr>
          <w:rFonts w:ascii="Times New Roman" w:hAnsi="Times New Roman" w:eastAsia="Times New Roman" w:cs="Times New Roman"/>
        </w:rPr>
        <w:t xml:space="preserve"> </w:t>
      </w:r>
      <w:r>
        <w:rPr>
          <w:rFonts w:ascii="Myanmar Text" w:hAnsi="Myanmar Text" w:eastAsia="Myanmar Text" w:cs="Myanmar Text"/>
        </w:rPr>
        <w:t>သူတို့အပေါင်းသည်</w:t>
      </w:r>
      <w:r>
        <w:rPr>
          <w:rFonts w:ascii="Times New Roman" w:hAnsi="Times New Roman" w:eastAsia="Times New Roman" w:cs="Times New Roman"/>
        </w:rPr>
        <w:t xml:space="preserve"> </w:t>
      </w:r>
      <w:r>
        <w:rPr>
          <w:rFonts w:ascii="Myanmar Text" w:hAnsi="Myanmar Text" w:eastAsia="Myanmar Text" w:cs="Myanmar Text"/>
        </w:rPr>
        <w:t>ငိုက်မြည်း၍</w:t>
      </w:r>
      <w:r>
        <w:rPr>
          <w:rFonts w:ascii="Times New Roman" w:hAnsi="Times New Roman" w:eastAsia="Times New Roman" w:cs="Times New Roman"/>
        </w:rPr>
        <w:t xml:space="preserve"> </w:t>
      </w:r>
      <w:r>
        <w:rPr>
          <w:rFonts w:ascii="Myanmar Text" w:hAnsi="Myanmar Text" w:eastAsia="Myanmar Text" w:cs="Myanmar Text"/>
        </w:rPr>
        <w:t>အိပ်ပျော်ကြ၏။</w:t>
      </w:r>
      <w:r>
        <w:rPr>
          <w:rFonts w:ascii="Times New Roman" w:hAnsi="Times New Roman" w:eastAsia="Times New Roman" w:cs="Times New Roman"/>
        </w:rPr>
        <w:t xml:space="preserve">” </w:t>
      </w:r>
      <w:r>
        <w:rPr>
          <w:rFonts w:ascii="Myanmar Text" w:hAnsi="Myanmar Text" w:eastAsia="Myanmar Text" w:cs="Myanmar Text"/>
        </w:rPr>
        <w:t>ရုပ်တော်ရှင်၏</w:t>
      </w:r>
      <w:r>
        <w:rPr>
          <w:rFonts w:ascii="Times New Roman" w:hAnsi="Times New Roman" w:eastAsia="Times New Roman" w:cs="Times New Roman"/>
        </w:rPr>
        <w:t xml:space="preserve"> </w:t>
      </w:r>
      <w:r>
        <w:rPr>
          <w:rFonts w:ascii="Myanmar Text" w:hAnsi="Myanmar Text" w:eastAsia="Myanmar Text" w:cs="Myanmar Text"/>
        </w:rPr>
        <w:t>နောက်ကျခြင်းသည်</w:t>
      </w:r>
      <w:r>
        <w:rPr>
          <w:rFonts w:ascii="Times New Roman" w:hAnsi="Times New Roman" w:eastAsia="Times New Roman" w:cs="Times New Roman"/>
        </w:rPr>
        <w:t xml:space="preserve"> </w:t>
      </w:r>
      <w:r>
        <w:rPr>
          <w:rFonts w:ascii="Myanmar Text" w:hAnsi="Myanmar Text" w:eastAsia="Myanmar Text" w:cs="Myanmar Text"/>
        </w:rPr>
        <w:t>သခင်ကို</w:t>
      </w:r>
      <w:r>
        <w:rPr>
          <w:rFonts w:ascii="Times New Roman" w:hAnsi="Times New Roman" w:eastAsia="Times New Roman" w:cs="Times New Roman"/>
        </w:rPr>
        <w:t xml:space="preserve"> </w:t>
      </w:r>
      <w:r>
        <w:rPr>
          <w:rFonts w:ascii="Myanmar Text" w:hAnsi="Myanmar Text" w:eastAsia="Myanmar Text" w:cs="Myanmar Text"/>
        </w:rPr>
        <w:t>မျှော်လင့်ခဲ့သော</w:t>
      </w:r>
      <w:r>
        <w:rPr>
          <w:rFonts w:ascii="Times New Roman" w:hAnsi="Times New Roman" w:eastAsia="Times New Roman" w:cs="Times New Roman"/>
        </w:rPr>
        <w:t xml:space="preserve"> </w:t>
      </w:r>
      <w:r>
        <w:rPr>
          <w:rFonts w:ascii="Myanmar Text" w:hAnsi="Myanmar Text" w:eastAsia="Myanmar Text" w:cs="Myanmar Text"/>
        </w:rPr>
        <w:t>အချိန်ကာလ</w:t>
      </w:r>
      <w:r>
        <w:rPr>
          <w:rFonts w:ascii="Times New Roman" w:hAnsi="Times New Roman" w:eastAsia="Times New Roman" w:cs="Times New Roman"/>
        </w:rPr>
        <w:t xml:space="preserve"> </w:t>
      </w:r>
      <w:r>
        <w:rPr>
          <w:rFonts w:ascii="Myanmar Text" w:hAnsi="Myanmar Text" w:eastAsia="Myanmar Text" w:cs="Myanmar Text"/>
        </w:rPr>
        <w:t>လွန်သွားခြင်း၊</w:t>
      </w:r>
      <w:r>
        <w:rPr>
          <w:rFonts w:ascii="Times New Roman" w:hAnsi="Times New Roman" w:eastAsia="Times New Roman" w:cs="Times New Roman"/>
        </w:rPr>
        <w:t xml:space="preserve"> </w:t>
      </w:r>
      <w:r>
        <w:rPr>
          <w:rFonts w:ascii="Myanmar Text" w:hAnsi="Myanmar Text" w:eastAsia="Myanmar Text" w:cs="Myanmar Text"/>
        </w:rPr>
        <w:t>စိတ်ပျက်ခြင်း၊</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နှောင့်နှေးနေသကဲ့သို့</w:t>
      </w:r>
      <w:r>
        <w:rPr>
          <w:rFonts w:ascii="Times New Roman" w:hAnsi="Times New Roman" w:eastAsia="Times New Roman" w:cs="Times New Roman"/>
        </w:rPr>
        <w:t xml:space="preserve"> </w:t>
      </w:r>
      <w:r>
        <w:rPr>
          <w:rFonts w:ascii="Myanmar Text" w:hAnsi="Myanmar Text" w:eastAsia="Myanmar Text" w:cs="Myanmar Text"/>
        </w:rPr>
        <w:t>ထင်မြင်ရခြင်းတို့ကို</w:t>
      </w:r>
      <w:r>
        <w:rPr>
          <w:rFonts w:ascii="Times New Roman" w:hAnsi="Times New Roman" w:eastAsia="Times New Roman" w:cs="Times New Roman"/>
        </w:rPr>
        <w:t xml:space="preserve"> </w:t>
      </w:r>
      <w:r>
        <w:rPr>
          <w:rFonts w:ascii="Myanmar Text" w:hAnsi="Myanmar Text" w:eastAsia="Myanmar Text" w:cs="Myanmar Text"/>
        </w:rPr>
        <w:t>ကိုယ်စားပြုသည်။</w:t>
      </w:r>
      <w:r>
        <w:rPr>
          <w:rFonts w:ascii="Times New Roman" w:hAnsi="Times New Roman" w:eastAsia="Times New Roman" w:cs="Times New Roman"/>
        </w:rPr>
        <w:t xml:space="preserve"> </w:t>
      </w:r>
      <w:r>
        <w:rPr>
          <w:rFonts w:ascii="Myanmar Text" w:hAnsi="Myanmar Text" w:eastAsia="Myanmar Text" w:cs="Myanmar Text"/>
        </w:rPr>
        <w:t>မသေချာမရေရာသော</w:t>
      </w:r>
      <w:r>
        <w:rPr>
          <w:rFonts w:ascii="Times New Roman" w:hAnsi="Times New Roman" w:eastAsia="Times New Roman" w:cs="Times New Roman"/>
        </w:rPr>
        <w:t xml:space="preserve"> </w:t>
      </w:r>
      <w:r>
        <w:rPr>
          <w:rFonts w:ascii="Myanmar Text" w:hAnsi="Myanmar Text" w:eastAsia="Myanmar Text" w:cs="Myanmar Text"/>
        </w:rPr>
        <w:t>ဤကာလအတွင်း၌</w:t>
      </w:r>
      <w:r>
        <w:rPr>
          <w:rFonts w:ascii="Times New Roman" w:hAnsi="Times New Roman" w:eastAsia="Times New Roman" w:cs="Times New Roman"/>
        </w:rPr>
        <w:t xml:space="preserve"> </w:t>
      </w:r>
      <w:r>
        <w:rPr>
          <w:rFonts w:ascii="Myanmar Text" w:hAnsi="Myanmar Text" w:eastAsia="Myanmar Text" w:cs="Myanmar Text"/>
        </w:rPr>
        <w:t>အပေါ်ယံဆန်၍</w:t>
      </w:r>
      <w:r>
        <w:rPr>
          <w:rFonts w:ascii="Times New Roman" w:hAnsi="Times New Roman" w:eastAsia="Times New Roman" w:cs="Times New Roman"/>
        </w:rPr>
        <w:t xml:space="preserve"> </w:t>
      </w:r>
      <w:r>
        <w:rPr>
          <w:rFonts w:ascii="Myanmar Text" w:hAnsi="Myanmar Text" w:eastAsia="Myanmar Text" w:cs="Myanmar Text"/>
        </w:rPr>
        <w:t>စိတ်မပြတ်မသားသောသူတို့၏</w:t>
      </w:r>
      <w:r>
        <w:rPr>
          <w:rFonts w:ascii="Times New Roman" w:hAnsi="Times New Roman" w:eastAsia="Times New Roman" w:cs="Times New Roman"/>
        </w:rPr>
        <w:t xml:space="preserve"> </w:t>
      </w:r>
      <w:r>
        <w:rPr>
          <w:rFonts w:ascii="Myanmar Text" w:hAnsi="Myanmar Text" w:eastAsia="Myanmar Text" w:cs="Myanmar Text"/>
        </w:rPr>
        <w:t>စိတ်ဝင်စားမှုသည်</w:t>
      </w:r>
      <w:r>
        <w:rPr>
          <w:rFonts w:ascii="Times New Roman" w:hAnsi="Times New Roman" w:eastAsia="Times New Roman" w:cs="Times New Roman"/>
        </w:rPr>
        <w:t xml:space="preserve"> </w:t>
      </w:r>
      <w:r>
        <w:rPr>
          <w:rFonts w:ascii="Myanmar Text" w:hAnsi="Myanmar Text" w:eastAsia="Myanmar Text" w:cs="Myanmar Text"/>
        </w:rPr>
        <w:t>မကြာမီ</w:t>
      </w:r>
      <w:r>
        <w:rPr>
          <w:rFonts w:ascii="Times New Roman" w:hAnsi="Times New Roman" w:eastAsia="Times New Roman" w:cs="Times New Roman"/>
        </w:rPr>
        <w:t xml:space="preserve"> </w:t>
      </w:r>
      <w:r>
        <w:rPr>
          <w:rFonts w:ascii="Myanmar Text" w:hAnsi="Myanmar Text" w:eastAsia="Myanmar Text" w:cs="Myanmar Text"/>
        </w:rPr>
        <w:t>လှုပ်ရှားကျဆင်းလာကာ၊</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အားထုတ်မှုများလည်း</w:t>
      </w:r>
      <w:r>
        <w:rPr>
          <w:rFonts w:ascii="Times New Roman" w:hAnsi="Times New Roman" w:eastAsia="Times New Roman" w:cs="Times New Roman"/>
        </w:rPr>
        <w:t xml:space="preserve"> </w:t>
      </w:r>
      <w:r>
        <w:rPr>
          <w:rFonts w:ascii="Myanmar Text" w:hAnsi="Myanmar Text" w:eastAsia="Myanmar Text" w:cs="Myanmar Text"/>
        </w:rPr>
        <w:t>လျော့နည်းလာကြ၏။</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သမ္မာကျမ်းစာအပေါ်</w:t>
      </w:r>
      <w:r>
        <w:rPr>
          <w:rFonts w:ascii="Times New Roman" w:hAnsi="Times New Roman" w:eastAsia="Times New Roman" w:cs="Times New Roman"/>
        </w:rPr>
        <w:t xml:space="preserve"> </w:t>
      </w:r>
      <w:r>
        <w:rPr>
          <w:rFonts w:ascii="Myanmar Text" w:hAnsi="Myanmar Text" w:eastAsia="Myanmar Text" w:cs="Myanmar Text"/>
        </w:rPr>
        <w:t>ပုဂ္ဂိုလ်ရေးဆိုင်ရာ</w:t>
      </w:r>
      <w:r>
        <w:rPr>
          <w:rFonts w:ascii="Times New Roman" w:hAnsi="Times New Roman" w:eastAsia="Times New Roman" w:cs="Times New Roman"/>
        </w:rPr>
        <w:t xml:space="preserve"> </w:t>
      </w:r>
      <w:r>
        <w:rPr>
          <w:rFonts w:ascii="Myanmar Text" w:hAnsi="Myanmar Text" w:eastAsia="Myanmar Text" w:cs="Myanmar Text"/>
        </w:rPr>
        <w:t>သိကျွမ်းမှုအပေါ်</w:t>
      </w:r>
      <w:r>
        <w:rPr>
          <w:rFonts w:ascii="Times New Roman" w:hAnsi="Times New Roman" w:eastAsia="Times New Roman" w:cs="Times New Roman"/>
        </w:rPr>
        <w:t xml:space="preserve"> </w:t>
      </w:r>
      <w:r>
        <w:rPr>
          <w:rFonts w:ascii="Myanmar Text" w:hAnsi="Myanmar Text" w:eastAsia="Myanmar Text" w:cs="Myanmar Text"/>
        </w:rPr>
        <w:t>အခြေပြုထားသောသူတို့၌မူ</w:t>
      </w:r>
      <w:r>
        <w:rPr>
          <w:rFonts w:ascii="Times New Roman" w:hAnsi="Times New Roman" w:eastAsia="Times New Roman" w:cs="Times New Roman"/>
        </w:rPr>
        <w:t xml:space="preserve"> </w:t>
      </w:r>
      <w:r>
        <w:rPr>
          <w:rFonts w:ascii="Myanmar Text" w:hAnsi="Myanmar Text" w:eastAsia="Myanmar Text" w:cs="Myanmar Text"/>
        </w:rPr>
        <w:t>စိတ်ပျက်ခြင်း၏</w:t>
      </w:r>
      <w:r>
        <w:rPr>
          <w:rFonts w:ascii="Times New Roman" w:hAnsi="Times New Roman" w:eastAsia="Times New Roman" w:cs="Times New Roman"/>
        </w:rPr>
        <w:t xml:space="preserve"> </w:t>
      </w:r>
      <w:r>
        <w:rPr>
          <w:rFonts w:ascii="Myanmar Text" w:hAnsi="Myanmar Text" w:eastAsia="Myanmar Text" w:cs="Myanmar Text"/>
        </w:rPr>
        <w:t>လှိုင်းတံပိုးများက</w:t>
      </w:r>
      <w:r>
        <w:rPr>
          <w:rFonts w:ascii="Times New Roman" w:hAnsi="Times New Roman" w:eastAsia="Times New Roman" w:cs="Times New Roman"/>
        </w:rPr>
        <w:t xml:space="preserve"> </w:t>
      </w:r>
      <w:r>
        <w:rPr>
          <w:rFonts w:ascii="Myanmar Text" w:hAnsi="Myanmar Text" w:eastAsia="Myanmar Text" w:cs="Myanmar Text"/>
        </w:rPr>
        <w:t>ဆေးကြောဖယ်ရှား၍</w:t>
      </w:r>
      <w:r>
        <w:rPr>
          <w:rFonts w:ascii="Times New Roman" w:hAnsi="Times New Roman" w:eastAsia="Times New Roman" w:cs="Times New Roman"/>
        </w:rPr>
        <w:t xml:space="preserve"> </w:t>
      </w:r>
      <w:r>
        <w:rPr>
          <w:rFonts w:ascii="Myanmar Text" w:hAnsi="Myanmar Text" w:eastAsia="Myanmar Text" w:cs="Myanmar Text"/>
        </w:rPr>
        <w:t>မရနိုင်သော</w:t>
      </w:r>
      <w:r>
        <w:rPr>
          <w:rFonts w:ascii="Times New Roman" w:hAnsi="Times New Roman" w:eastAsia="Times New Roman" w:cs="Times New Roman"/>
        </w:rPr>
        <w:t xml:space="preserve"> </w:t>
      </w:r>
      <w:r>
        <w:rPr>
          <w:rFonts w:ascii="Myanmar Text" w:hAnsi="Myanmar Text" w:eastAsia="Myanmar Text" w:cs="Myanmar Text"/>
        </w:rPr>
        <w:t>ကျောက်တုံးတစ်တုံးကဲ့သို့သော</w:t>
      </w:r>
      <w:r>
        <w:rPr>
          <w:rFonts w:ascii="Times New Roman" w:hAnsi="Times New Roman" w:eastAsia="Times New Roman" w:cs="Times New Roman"/>
        </w:rPr>
        <w:t xml:space="preserve"> </w:t>
      </w:r>
      <w:r>
        <w:rPr>
          <w:rFonts w:ascii="Myanmar Text" w:hAnsi="Myanmar Text" w:eastAsia="Myanmar Text" w:cs="Myanmar Text"/>
        </w:rPr>
        <w:t>အခြေခံတည်ရှိနေ၏။</w:t>
      </w:r>
      <w:r>
        <w:rPr>
          <w:rFonts w:ascii="Times New Roman" w:hAnsi="Times New Roman" w:eastAsia="Times New Roman" w:cs="Times New Roman"/>
        </w:rPr>
        <w:t xml:space="preserve"> “</w:t>
      </w:r>
      <w:r>
        <w:rPr>
          <w:rFonts w:ascii="Myanmar Text" w:hAnsi="Myanmar Text" w:eastAsia="Myanmar Text" w:cs="Myanmar Text"/>
        </w:rPr>
        <w:t>သူတို့အပေါင်းသည်</w:t>
      </w:r>
      <w:r>
        <w:rPr>
          <w:rFonts w:ascii="Times New Roman" w:hAnsi="Times New Roman" w:eastAsia="Times New Roman" w:cs="Times New Roman"/>
        </w:rPr>
        <w:t xml:space="preserve"> </w:t>
      </w:r>
      <w:r>
        <w:rPr>
          <w:rFonts w:ascii="Myanmar Text" w:hAnsi="Myanmar Text" w:eastAsia="Myanmar Text" w:cs="Myanmar Text"/>
        </w:rPr>
        <w:t>ငိုက်မြည်း၍</w:t>
      </w:r>
      <w:r>
        <w:rPr>
          <w:rFonts w:ascii="Times New Roman" w:hAnsi="Times New Roman" w:eastAsia="Times New Roman" w:cs="Times New Roman"/>
        </w:rPr>
        <w:t xml:space="preserve"> </w:t>
      </w:r>
      <w:r>
        <w:rPr>
          <w:rFonts w:ascii="Myanmar Text" w:hAnsi="Myanmar Text" w:eastAsia="Myanmar Text" w:cs="Myanmar Text"/>
        </w:rPr>
        <w:t>အိပ်ပျော်ကြ၏</w:t>
      </w:r>
      <w:r>
        <w:rPr>
          <w:rFonts w:ascii="Times New Roman" w:hAnsi="Times New Roman" w:eastAsia="Times New Roman" w:cs="Times New Roman"/>
        </w:rPr>
        <w:t xml:space="preserve">” </w:t>
      </w:r>
      <w:r>
        <w:rPr>
          <w:rFonts w:ascii="Myanmar Text" w:hAnsi="Myanmar Text" w:eastAsia="Myanmar Text" w:cs="Myanmar Text"/>
        </w:rPr>
        <w:t>ဟူသည်မှာ</w:t>
      </w:r>
      <w:r>
        <w:rPr>
          <w:rFonts w:ascii="Times New Roman" w:hAnsi="Times New Roman" w:eastAsia="Times New Roman" w:cs="Times New Roman"/>
        </w:rPr>
        <w:t xml:space="preserve"> </w:t>
      </w:r>
      <w:r>
        <w:rPr>
          <w:rFonts w:ascii="Myanmar Text" w:hAnsi="Myanmar Text" w:eastAsia="Myanmar Text" w:cs="Myanmar Text"/>
        </w:rPr>
        <w:t>လူတစ်စုသည်</w:t>
      </w:r>
      <w:r>
        <w:rPr>
          <w:rFonts w:ascii="Times New Roman" w:hAnsi="Times New Roman" w:eastAsia="Times New Roman" w:cs="Times New Roman"/>
        </w:rPr>
        <w:t xml:space="preserve"> </w:t>
      </w:r>
      <w:r>
        <w:rPr>
          <w:rFonts w:ascii="Myanmar Text" w:hAnsi="Myanmar Text" w:eastAsia="Myanmar Text" w:cs="Myanmar Text"/>
        </w:rPr>
        <w:t>ပေါ့လျော့မထားမှုနှင့်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ယုံကြည်ခြင်းကို</w:t>
      </w:r>
      <w:r>
        <w:rPr>
          <w:rFonts w:ascii="Times New Roman" w:hAnsi="Times New Roman" w:eastAsia="Times New Roman" w:cs="Times New Roman"/>
        </w:rPr>
        <w:t xml:space="preserve"> </w:t>
      </w:r>
      <w:r>
        <w:rPr>
          <w:rFonts w:ascii="Myanmar Text" w:hAnsi="Myanmar Text" w:eastAsia="Myanmar Text" w:cs="Myanmar Text"/>
        </w:rPr>
        <w:t>စွန့်ပစ်သကဲ့သို့သော</w:t>
      </w:r>
      <w:r>
        <w:rPr>
          <w:rFonts w:ascii="Times New Roman" w:hAnsi="Times New Roman" w:eastAsia="Times New Roman" w:cs="Times New Roman"/>
        </w:rPr>
        <w:t xml:space="preserve"> </w:t>
      </w:r>
      <w:r>
        <w:rPr>
          <w:rFonts w:ascii="Myanmar Text" w:hAnsi="Myanmar Text" w:eastAsia="Myanmar Text" w:cs="Myanmar Text"/>
        </w:rPr>
        <w:t>အခြေအနေ၌</w:t>
      </w:r>
      <w:r>
        <w:rPr>
          <w:rFonts w:ascii="Times New Roman" w:hAnsi="Times New Roman" w:eastAsia="Times New Roman" w:cs="Times New Roman"/>
        </w:rPr>
        <w:t xml:space="preserve"> </w:t>
      </w:r>
      <w:r>
        <w:rPr>
          <w:rFonts w:ascii="Myanmar Text" w:hAnsi="Myanmar Text" w:eastAsia="Myanmar Text" w:cs="Myanmar Text"/>
        </w:rPr>
        <w:t>ရှိကြပြီး၊</w:t>
      </w:r>
      <w:r>
        <w:rPr>
          <w:rFonts w:ascii="Times New Roman" w:hAnsi="Times New Roman" w:eastAsia="Times New Roman" w:cs="Times New Roman"/>
        </w:rPr>
        <w:t xml:space="preserve"> </w:t>
      </w:r>
      <w:r>
        <w:rPr>
          <w:rFonts w:ascii="Myanmar Text" w:hAnsi="Myanmar Text" w:eastAsia="Myanmar Text" w:cs="Myanmar Text"/>
        </w:rPr>
        <w:t>အခြားတစ်စုသည်</w:t>
      </w:r>
      <w:r>
        <w:rPr>
          <w:rFonts w:ascii="Times New Roman" w:hAnsi="Times New Roman" w:eastAsia="Times New Roman" w:cs="Times New Roman"/>
        </w:rPr>
        <w:t xml:space="preserve"> </w:t>
      </w:r>
      <w:r>
        <w:rPr>
          <w:rFonts w:ascii="Myanmar Text" w:hAnsi="Myanmar Text" w:eastAsia="Myanmar Text" w:cs="Myanmar Text"/>
        </w:rPr>
        <w:t>ပိုမိုရှင်းလင်းသော</w:t>
      </w:r>
      <w:r>
        <w:rPr>
          <w:rFonts w:ascii="Times New Roman" w:hAnsi="Times New Roman" w:eastAsia="Times New Roman" w:cs="Times New Roman"/>
        </w:rPr>
        <w:t xml:space="preserve"> </w:t>
      </w:r>
      <w:r>
        <w:rPr>
          <w:rFonts w:ascii="Myanmar Text" w:hAnsi="Myanmar Text" w:eastAsia="Myanmar Text" w:cs="Myanmar Text"/>
        </w:rPr>
        <w:t>အလင်းကို</w:t>
      </w:r>
      <w:r>
        <w:rPr>
          <w:rFonts w:ascii="Times New Roman" w:hAnsi="Times New Roman" w:eastAsia="Times New Roman" w:cs="Times New Roman"/>
        </w:rPr>
        <w:t xml:space="preserve"> </w:t>
      </w:r>
      <w:r>
        <w:rPr>
          <w:rFonts w:ascii="Myanmar Text" w:hAnsi="Myanmar Text" w:eastAsia="Myanmar Text" w:cs="Myanmar Text"/>
        </w:rPr>
        <w:t>ပေးအပ်မည့်အချိန်တိုင်အောင်</w:t>
      </w:r>
      <w:r>
        <w:rPr>
          <w:rFonts w:ascii="Times New Roman" w:hAnsi="Times New Roman" w:eastAsia="Times New Roman" w:cs="Times New Roman"/>
        </w:rPr>
        <w:t xml:space="preserve"> </w:t>
      </w:r>
      <w:r>
        <w:rPr>
          <w:rFonts w:ascii="Myanmar Text" w:hAnsi="Myanmar Text" w:eastAsia="Myanmar Text" w:cs="Myanmar Text"/>
        </w:rPr>
        <w:t>စိတ်ရှည်စွာ</w:t>
      </w:r>
      <w:r>
        <w:rPr>
          <w:rFonts w:ascii="Times New Roman" w:hAnsi="Times New Roman" w:eastAsia="Times New Roman" w:cs="Times New Roman"/>
        </w:rPr>
        <w:t xml:space="preserve"> </w:t>
      </w:r>
      <w:r>
        <w:rPr>
          <w:rFonts w:ascii="Myanmar Text" w:hAnsi="Myanmar Text" w:eastAsia="Myanmar Text" w:cs="Myanmar Text"/>
        </w:rPr>
        <w:t>စောင့်မျှော်နေကြသည်ဟု</w:t>
      </w:r>
      <w:r>
        <w:rPr>
          <w:rFonts w:ascii="Times New Roman" w:hAnsi="Times New Roman" w:eastAsia="Times New Roman" w:cs="Times New Roman"/>
        </w:rPr>
        <w:t xml:space="preserve"> </w:t>
      </w:r>
      <w:r>
        <w:rPr>
          <w:rFonts w:ascii="Myanmar Text" w:hAnsi="Myanmar Text" w:eastAsia="Myanmar Text" w:cs="Myanmar Text"/>
        </w:rPr>
        <w:t>ဆိုလိုသည်။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စမ်းသပ်ခြင်း၏</w:t>
      </w:r>
      <w:r>
        <w:rPr>
          <w:rFonts w:ascii="Times New Roman" w:hAnsi="Times New Roman" w:eastAsia="Times New Roman" w:cs="Times New Roman"/>
        </w:rPr>
        <w:t xml:space="preserve"> </w:t>
      </w:r>
      <w:r>
        <w:rPr>
          <w:rFonts w:ascii="Myanmar Text" w:hAnsi="Myanmar Text" w:eastAsia="Myanmar Text" w:cs="Myanmar Text"/>
        </w:rPr>
        <w:t>ညအတွင်း၌</w:t>
      </w:r>
      <w:r>
        <w:rPr>
          <w:rFonts w:ascii="Times New Roman" w:hAnsi="Times New Roman" w:eastAsia="Times New Roman" w:cs="Times New Roman"/>
        </w:rPr>
        <w:t xml:space="preserve"> </w:t>
      </w:r>
      <w:r>
        <w:rPr>
          <w:rFonts w:ascii="Myanmar Text" w:hAnsi="Myanmar Text" w:eastAsia="Myanmar Text" w:cs="Myanmar Text"/>
        </w:rPr>
        <w:t>နောက်ဆုံးဖော်ပြခဲ့သော</w:t>
      </w:r>
      <w:r>
        <w:rPr>
          <w:rFonts w:ascii="Times New Roman" w:hAnsi="Times New Roman" w:eastAsia="Times New Roman" w:cs="Times New Roman"/>
        </w:rPr>
        <w:t xml:space="preserve"> </w:t>
      </w:r>
      <w:r>
        <w:rPr>
          <w:rFonts w:ascii="Myanmar Text" w:hAnsi="Myanmar Text" w:eastAsia="Myanmar Text" w:cs="Myanmar Text"/>
        </w:rPr>
        <w:t>ထိုအဖွဲ့သည်လည်း</w:t>
      </w:r>
      <w:r>
        <w:rPr>
          <w:rFonts w:ascii="Times New Roman" w:hAnsi="Times New Roman" w:eastAsia="Times New Roman" w:cs="Times New Roman"/>
        </w:rPr>
        <w:t xml:space="preserve"> </w:t>
      </w:r>
      <w:r>
        <w:rPr>
          <w:rFonts w:ascii="Myanmar Text" w:hAnsi="Myanmar Text" w:eastAsia="Myanmar Text" w:cs="Myanmar Text"/>
        </w:rPr>
        <w:t>တစ်စိတ်တစ်ပိုင်းအားဖြင့်</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စိတ်အားထက်သန်မှုနှင့်</w:t>
      </w:r>
      <w:r>
        <w:rPr>
          <w:rFonts w:ascii="Times New Roman" w:hAnsi="Times New Roman" w:eastAsia="Times New Roman" w:cs="Times New Roman"/>
        </w:rPr>
        <w:t xml:space="preserve"> </w:t>
      </w:r>
      <w:r>
        <w:rPr>
          <w:rFonts w:ascii="Myanmar Text" w:hAnsi="Myanmar Text" w:eastAsia="Myanmar Text" w:cs="Myanmar Text"/>
        </w:rPr>
        <w:t>ကိုးကွယ်ဆည်းကပ်မှုတို့ကို</w:t>
      </w:r>
      <w:r>
        <w:rPr>
          <w:rFonts w:ascii="Times New Roman" w:hAnsi="Times New Roman" w:eastAsia="Times New Roman" w:cs="Times New Roman"/>
        </w:rPr>
        <w:t xml:space="preserve"> </w:t>
      </w:r>
      <w:r>
        <w:rPr>
          <w:rFonts w:ascii="Myanmar Text" w:hAnsi="Myanmar Text" w:eastAsia="Myanmar Text" w:cs="Myanmar Text"/>
        </w:rPr>
        <w:t>လျော့နည်းသကဲ့သို့</w:t>
      </w:r>
      <w:r>
        <w:rPr>
          <w:rFonts w:ascii="Times New Roman" w:hAnsi="Times New Roman" w:eastAsia="Times New Roman" w:cs="Times New Roman"/>
        </w:rPr>
        <w:t xml:space="preserve"> </w:t>
      </w:r>
      <w:r>
        <w:rPr>
          <w:rFonts w:ascii="Myanmar Text" w:hAnsi="Myanmar Text" w:eastAsia="Myanmar Text" w:cs="Myanmar Text"/>
        </w:rPr>
        <w:t>ဖြစ်ပေါ်လာကြသည်။</w:t>
      </w:r>
      <w:r>
        <w:rPr>
          <w:rFonts w:ascii="Times New Roman" w:hAnsi="Times New Roman" w:eastAsia="Times New Roman" w:cs="Times New Roman"/>
        </w:rPr>
        <w:t xml:space="preserve"> </w:t>
      </w:r>
      <w:r>
        <w:rPr>
          <w:rFonts w:ascii="Myanmar Text" w:hAnsi="Myanmar Text" w:eastAsia="Myanmar Text" w:cs="Myanmar Text"/>
        </w:rPr>
        <w:t>စိတ်မပြတ်မသားဖြစ်၍</w:t>
      </w:r>
      <w:r>
        <w:rPr>
          <w:rFonts w:ascii="Times New Roman" w:hAnsi="Times New Roman" w:eastAsia="Times New Roman" w:cs="Times New Roman"/>
        </w:rPr>
        <w:t xml:space="preserve"> </w:t>
      </w:r>
      <w:r>
        <w:rPr>
          <w:rFonts w:ascii="Myanmar Text" w:hAnsi="Myanmar Text" w:eastAsia="Myanmar Text" w:cs="Myanmar Text"/>
        </w:rPr>
        <w:t>အပေါ်ယံဆန်သောသူတို့သည်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ညီအစ်ကိုတို့၏</w:t>
      </w:r>
      <w:r>
        <w:rPr>
          <w:rFonts w:ascii="Times New Roman" w:hAnsi="Times New Roman" w:eastAsia="Times New Roman" w:cs="Times New Roman"/>
        </w:rPr>
        <w:t xml:space="preserve"> </w:t>
      </w:r>
      <w:r>
        <w:rPr>
          <w:rFonts w:ascii="Myanmar Text" w:hAnsi="Myanmar Text" w:eastAsia="Myanmar Text" w:cs="Myanmar Text"/>
        </w:rPr>
        <w:t>ယုံကြည်ခြင်းအပေါ်တွင်</w:t>
      </w:r>
      <w:r>
        <w:rPr>
          <w:rFonts w:ascii="Times New Roman" w:hAnsi="Times New Roman" w:eastAsia="Times New Roman" w:cs="Times New Roman"/>
        </w:rPr>
        <w:t xml:space="preserve"> </w:t>
      </w:r>
      <w:r>
        <w:rPr>
          <w:rFonts w:ascii="Myanmar Text" w:hAnsi="Myanmar Text" w:eastAsia="Myanmar Text" w:cs="Myanmar Text"/>
        </w:rPr>
        <w:t>နောက်ထပ်</w:t>
      </w:r>
      <w:r>
        <w:rPr>
          <w:rFonts w:ascii="Times New Roman" w:hAnsi="Times New Roman" w:eastAsia="Times New Roman" w:cs="Times New Roman"/>
        </w:rPr>
        <w:t xml:space="preserve"> </w:t>
      </w:r>
      <w:r>
        <w:rPr>
          <w:rFonts w:ascii="Myanmar Text" w:hAnsi="Myanmar Text" w:eastAsia="Myanmar Text" w:cs="Myanmar Text"/>
        </w:rPr>
        <w:t>မှီခိုအားထား၍</w:t>
      </w:r>
      <w:r>
        <w:rPr>
          <w:rFonts w:ascii="Times New Roman" w:hAnsi="Times New Roman" w:eastAsia="Times New Roman" w:cs="Times New Roman"/>
        </w:rPr>
        <w:t xml:space="preserve"> </w:t>
      </w:r>
      <w:r>
        <w:rPr>
          <w:rFonts w:ascii="Myanmar Text" w:hAnsi="Myanmar Text" w:eastAsia="Myanmar Text" w:cs="Myanmar Text"/>
        </w:rPr>
        <w:t>မရတော့ပေ။</w:t>
      </w:r>
      <w:r>
        <w:rPr>
          <w:rFonts w:ascii="Times New Roman" w:hAnsi="Times New Roman" w:eastAsia="Times New Roman" w:cs="Times New Roman"/>
        </w:rPr>
        <w:t xml:space="preserve"> </w:t>
      </w:r>
      <w:r>
        <w:rPr>
          <w:rFonts w:ascii="Myanmar Text" w:hAnsi="Myanmar Text" w:eastAsia="Myanmar Text" w:cs="Myanmar Text"/>
        </w:rPr>
        <w:t>လူတိုင်းသည်</w:t>
      </w:r>
      <w:r>
        <w:rPr>
          <w:rFonts w:ascii="Times New Roman" w:hAnsi="Times New Roman" w:eastAsia="Times New Roman" w:cs="Times New Roman"/>
        </w:rPr>
        <w:t xml:space="preserve"> </w:t>
      </w:r>
      <w:r>
        <w:rPr>
          <w:rFonts w:ascii="Myanmar Text" w:hAnsi="Myanmar Text" w:eastAsia="Myanmar Text" w:cs="Myanmar Text"/>
        </w:rPr>
        <w:t>မိမိကိုယ်တိုင်အတွက်</w:t>
      </w:r>
      <w:r>
        <w:rPr>
          <w:rFonts w:ascii="Times New Roman" w:hAnsi="Times New Roman" w:eastAsia="Times New Roman" w:cs="Times New Roman"/>
        </w:rPr>
        <w:t xml:space="preserve"> </w:t>
      </w:r>
      <w:r>
        <w:rPr>
          <w:rFonts w:ascii="Myanmar Text" w:hAnsi="Myanmar Text" w:eastAsia="Myanmar Text" w:cs="Myanmar Text"/>
        </w:rPr>
        <w:t>ရပ်တည်ရမည်၊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လဲကျရမည်</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Kapag dumating ang kabiguan, ang dalawang uri ay nagsimulang matulog sa magkaibang paraan; ngunit maging ang mga pantas na dalaga ay nawalan din ng bahagi ng kanilang sigasig. Ang Panginoon ang nangunguna rito, upang nang dumating ang mensahe ng Sigaw sa Hatinggabi sa Exeter Camp Meeting, maisakatuparan Niya ang isang gawain sa gitna nila.</w:t>
      </w:r>
    </w:p>
    <w:p>
      <w:pPr>
        <w:pStyle w:val="ArticleHeading"/>
        <w:jc w:val="left"/>
      </w:pPr>
      <w:r>
        <w:rPr>
          <w:rFonts w:ascii="Arial" w:hAnsi="Arial" w:eastAsia="Arial" w:cs="Arial"/>
        </w:rPr>
        <w:t>Le processus d’épreuve : le temps d’attente et le cri de minuit</w:t>
      </w:r>
    </w:p>
    <w:p>
      <w:pPr>
        <w:pStyle w:val="ArticleBody"/>
        <w:jc w:val="left"/>
      </w:pPr>
      <w:r>
        <w:rPr>
          <w:rFonts w:ascii="Nirmala UI" w:hAnsi="Nirmala UI" w:eastAsia="Nirmala UI" w:cs="Nirmala UI"/>
        </w:rPr>
        <w:t>স্পিরিট</w:t>
      </w:r>
      <w:r>
        <w:rPr>
          <w:rFonts w:ascii="Times New Roman" w:hAnsi="Times New Roman" w:eastAsia="Times New Roman" w:cs="Times New Roman"/>
        </w:rPr>
        <w:t xml:space="preserve"> </w:t>
      </w:r>
      <w:r>
        <w:rPr>
          <w:rFonts w:ascii="Nirmala UI" w:hAnsi="Nirmala UI" w:eastAsia="Nirmala UI" w:cs="Nirmala UI"/>
        </w:rPr>
        <w:t>অব</w:t>
      </w:r>
      <w:r>
        <w:rPr>
          <w:rFonts w:ascii="Times New Roman" w:hAnsi="Times New Roman" w:eastAsia="Times New Roman" w:cs="Times New Roman"/>
        </w:rPr>
        <w:t xml:space="preserve"> </w:t>
      </w:r>
      <w:r>
        <w:rPr>
          <w:rFonts w:ascii="Nirmala UI" w:hAnsi="Nirmala UI" w:eastAsia="Nirmala UI" w:cs="Nirmala UI"/>
        </w:rPr>
        <w:t>প্রফেসি</w:t>
      </w:r>
      <w:r>
        <w:rPr>
          <w:rFonts w:ascii="Times New Roman" w:hAnsi="Times New Roman" w:eastAsia="Times New Roman" w:cs="Times New Roman"/>
        </w:rPr>
        <w:t xml:space="preserve">, </w:t>
      </w:r>
      <w:r>
        <w:rPr>
          <w:rFonts w:ascii="Nirmala UI" w:hAnsi="Nirmala UI" w:eastAsia="Nirmala UI" w:cs="Nirmala UI"/>
        </w:rPr>
        <w:t>খণ্ড</w:t>
      </w:r>
      <w:r>
        <w:rPr>
          <w:rFonts w:ascii="Times New Roman" w:hAnsi="Times New Roman" w:eastAsia="Times New Roman" w:cs="Times New Roman"/>
        </w:rPr>
        <w:t xml:space="preserve"> </w:t>
      </w:r>
      <w:r>
        <w:rPr>
          <w:rFonts w:ascii="Nirmala UI" w:hAnsi="Nirmala UI" w:eastAsia="Nirmala UI" w:cs="Nirmala UI"/>
        </w:rPr>
        <w:t>৪</w:t>
      </w:r>
      <w:r>
        <w:rPr>
          <w:rFonts w:ascii="Times New Roman" w:hAnsi="Times New Roman" w:eastAsia="Times New Roman" w:cs="Times New Roman"/>
        </w:rPr>
        <w:t xml:space="preserve">, </w:t>
      </w:r>
      <w:r>
        <w:rPr>
          <w:rFonts w:ascii="Nirmala UI" w:hAnsi="Nirmala UI" w:eastAsia="Nirmala UI" w:cs="Nirmala UI"/>
        </w:rPr>
        <w:t>পৃষ্ঠা</w:t>
      </w:r>
      <w:r>
        <w:rPr>
          <w:rFonts w:ascii="Times New Roman" w:hAnsi="Times New Roman" w:eastAsia="Times New Roman" w:cs="Times New Roman"/>
        </w:rPr>
        <w:t xml:space="preserve"> </w:t>
      </w:r>
      <w:r>
        <w:rPr>
          <w:rFonts w:ascii="Nirmala UI" w:hAnsi="Nirmala UI" w:eastAsia="Nirmala UI" w:cs="Nirmala UI"/>
        </w:rPr>
        <w:t>২২৮</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রেখো</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প্রক্রিয়াটি</w:t>
      </w:r>
      <w:r>
        <w:rPr>
          <w:rFonts w:ascii="Times New Roman" w:hAnsi="Times New Roman" w:eastAsia="Times New Roman" w:cs="Times New Roman"/>
        </w:rPr>
        <w:t>—</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বিলম্বের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দ্বারবন্ধ</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w:t>
      </w:r>
      <w:r>
        <w:rPr>
          <w:rFonts w:ascii="Nirmala UI" w:hAnsi="Nirmala UI" w:eastAsia="Nirmala UI" w:cs="Nirmala UI"/>
        </w:rPr>
        <w:t>প্রভু</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জনগণকে</w:t>
      </w:r>
      <w:r>
        <w:rPr>
          <w:rFonts w:ascii="Times New Roman" w:hAnsi="Times New Roman" w:eastAsia="Times New Roman" w:cs="Times New Roman"/>
        </w:rPr>
        <w:t xml:space="preserve"> </w:t>
      </w:r>
      <w:r>
        <w:rPr>
          <w:rFonts w:ascii="Nirmala UI" w:hAnsi="Nirmala UI" w:eastAsia="Nirmala UI" w:cs="Nirmala UI"/>
        </w:rPr>
        <w:t>পরীক্ষা</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এক্সেটার</w:t>
      </w:r>
      <w:r>
        <w:rPr>
          <w:rFonts w:ascii="Times New Roman" w:hAnsi="Times New Roman" w:eastAsia="Times New Roman" w:cs="Times New Roman"/>
        </w:rPr>
        <w:t xml:space="preserve"> </w:t>
      </w:r>
      <w:r>
        <w:rPr>
          <w:rFonts w:ascii="Nirmala UI" w:hAnsi="Nirmala UI" w:eastAsia="Nirmala UI" w:cs="Nirmala UI"/>
        </w:rPr>
        <w:t>শিবির</w:t>
      </w:r>
      <w:r>
        <w:rPr>
          <w:rFonts w:ascii="Times New Roman" w:hAnsi="Times New Roman" w:eastAsia="Times New Roman" w:cs="Times New Roman"/>
        </w:rPr>
        <w:t>-</w:t>
      </w:r>
      <w:r>
        <w:rPr>
          <w:rFonts w:ascii="Nirmala UI" w:hAnsi="Nirmala UI" w:eastAsia="Nirmala UI" w:cs="Nirmala UI"/>
        </w:rPr>
        <w:t>সম্মেলনে</w:t>
      </w:r>
      <w:r>
        <w:rPr>
          <w:rFonts w:ascii="Times New Roman" w:hAnsi="Times New Roman" w:eastAsia="Times New Roman" w:cs="Times New Roman"/>
        </w:rPr>
        <w:t xml:space="preserve"> </w:t>
      </w:r>
      <w:r>
        <w:rPr>
          <w:rFonts w:ascii="Nirmala UI" w:hAnsi="Nirmala UI" w:eastAsia="Nirmala UI" w:cs="Nirmala UI"/>
        </w:rPr>
        <w:t>উচ্চারিত</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ঘোষণায়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ইতিহাসের</w:t>
      </w:r>
      <w:r>
        <w:rPr>
          <w:rFonts w:ascii="Times New Roman" w:hAnsi="Times New Roman" w:eastAsia="Times New Roman" w:cs="Times New Roman"/>
        </w:rPr>
        <w:t xml:space="preserve"> </w:t>
      </w:r>
      <w:r>
        <w:rPr>
          <w:rFonts w:ascii="Nirmala UI" w:hAnsi="Nirmala UI" w:eastAsia="Nirmala UI" w:cs="Nirmala UI"/>
        </w:rPr>
        <w:t>মাত্র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এটিকে</w:t>
      </w:r>
      <w:r>
        <w:rPr>
          <w:rFonts w:ascii="Times New Roman" w:hAnsi="Times New Roman" w:eastAsia="Times New Roman" w:cs="Times New Roman"/>
        </w:rPr>
        <w:t xml:space="preserve"> </w:t>
      </w:r>
      <w:r>
        <w:rPr>
          <w:rFonts w:ascii="Nirmala UI" w:hAnsi="Nirmala UI" w:eastAsia="Nirmala UI" w:cs="Nirmala UI"/>
        </w:rPr>
        <w:t>বিলম্বের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পৃথক</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উপাসনাকারীদের</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শ্রেণির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ধ্বনির</w:t>
      </w:r>
      <w:r>
        <w:rPr>
          <w:rFonts w:ascii="Times New Roman" w:hAnsi="Times New Roman" w:eastAsia="Times New Roman" w:cs="Times New Roman"/>
        </w:rPr>
        <w:t xml:space="preserve"> </w:t>
      </w:r>
      <w:r>
        <w:rPr>
          <w:rFonts w:ascii="Nirmala UI" w:hAnsi="Nirmala UI" w:eastAsia="Nirmala UI" w:cs="Nirmala UI"/>
        </w:rPr>
        <w:t>প্রভাবের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সাধন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তোমাদের</w:t>
      </w:r>
      <w:r>
        <w:rPr>
          <w:rFonts w:ascii="Times New Roman" w:hAnsi="Times New Roman" w:eastAsia="Times New Roman" w:cs="Times New Roman"/>
        </w:rPr>
        <w:t xml:space="preserve"> </w:t>
      </w:r>
      <w:r>
        <w:rPr>
          <w:rFonts w:ascii="Nirmala UI" w:hAnsi="Nirmala UI" w:eastAsia="Nirmala UI" w:cs="Nirmala UI"/>
        </w:rPr>
        <w:t>অবশ্যই</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ধ্বনি</w:t>
      </w:r>
      <w:r>
        <w:rPr>
          <w:rFonts w:ascii="Times New Roman" w:hAnsi="Times New Roman" w:eastAsia="Times New Roman" w:cs="Times New Roman"/>
        </w:rPr>
        <w:t xml:space="preserve"> </w:t>
      </w:r>
      <w:r>
        <w:rPr>
          <w:rFonts w:ascii="Nirmala UI" w:hAnsi="Nirmala UI" w:eastAsia="Nirmala UI" w:cs="Nirmala UI"/>
        </w:rPr>
        <w:t>বুঝতে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বোঝো</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বিচ্যুত</w:t>
      </w:r>
      <w:r>
        <w:rPr>
          <w:rFonts w:ascii="Times New Roman" w:hAnsi="Times New Roman" w:eastAsia="Times New Roman" w:cs="Times New Roman"/>
        </w:rPr>
        <w:t xml:space="preserve"> </w:t>
      </w:r>
      <w:r>
        <w:rPr>
          <w:rFonts w:ascii="Nirmala UI" w:hAnsi="Nirmala UI" w:eastAsia="Nirmala UI" w:cs="Nirmala UI"/>
        </w:rPr>
        <w:t>হবে।</w:t>
      </w:r>
    </w:p>
    <w:p>
      <w:pPr>
        <w:pStyle w:val="ArticleBody"/>
        <w:jc w:val="left"/>
      </w:pPr>
      <w:r>
        <w:rPr>
          <w:rFonts w:ascii="Times New Roman" w:hAnsi="Times New Roman" w:eastAsia="Times New Roman" w:cs="Times New Roman"/>
        </w:rPr>
        <w:t>Nkulunkulu wayehlose ukuvivinya abantu bakhe. Isandla sakhe sasimboze iphutha ekubalweni kwezikhathi zesiprofetho. Isandla sakhe, isandla seNkosi, sasimboze iphutha elilodwa elikhethekile ekubalweni kwezikhathi zesiprofetho, ngokobuningi. “Ama-Adventist awazange alithole lelo phutha, futhi alizange litholwe ngisho nayizazi ezifunde kakhulu phakathi kwabaphikisi bawo. Laba bokugcina bathi, ‘Ukubalwa kwenu kwezikhathi zesiprofetho kulungile. Kukhona umcimbi omkhulu osuzokwenzeka; kodwa akusikho lokho uMnu. Miller akubikezelayo; kungukuphenduka komhlaba, hhayi ukuza kwesibili kukaKristu.’”</w:t>
      </w:r>
    </w:p>
    <w:p>
      <w:pPr>
        <w:pStyle w:val="ArticleBody"/>
        <w:jc w:val="left"/>
      </w:pPr>
      <w:r>
        <w:rPr>
          <w:rFonts w:ascii="Times New Roman" w:hAnsi="Times New Roman" w:eastAsia="Times New Roman" w:cs="Times New Roman"/>
        </w:rPr>
        <w:t>Le temps de l’attente passa, et le Christ n’apparut pas pour la délivrance de son peuple. Ceux qui avaient attendu leur Sauveur avec une foi et un amour sincères éprouvèrent une amère déception. Pourtant, le Seigneur avait accompli son dessein: il avait mis à l’épreuve le cœur de ceux qui professaient attendre son apparition. Parmi eux se trouvaient beaucoup de personnes qui avaient été poussées par la crainte plutôt que par l’amour de la vérité. Lorsque l’événement attendu ne se produisit pas, ces personnes déclarèrent qu’elles n’étaient pas déçues; elles n’avaient jamais cru que le Christ viendrait. Elles furent parmi les premières à tourner en dérision la douleur des vrais croyants.</w:t>
      </w:r>
    </w:p>
    <w:p>
      <w:pPr>
        <w:pStyle w:val="ArticleBody"/>
        <w:jc w:val="left"/>
      </w:pPr>
      <w:r>
        <w:rPr>
          <w:rFonts w:ascii="Times New Roman" w:hAnsi="Times New Roman" w:eastAsia="Times New Roman" w:cs="Times New Roman"/>
        </w:rPr>
        <w:t>Ceci était le dessein du Seigneur. Nous n’avons rien à craindre pour l’avenir, sinon d’oublier comment le Seigneur nous a conduits dans notre expérience passée, et nous n’avons rien à craindre, sinon d’oublier les enseignements du Seigneur dans notre expérience passée. Nous affirmons qu’il est impossible de séparer cette direction de son enseignement.</w:t>
      </w:r>
    </w:p>
    <w:p>
      <w:pPr>
        <w:pStyle w:val="ArticleScripture"/>
        <w:jc w:val="left"/>
      </w:pPr>
      <w:r>
        <w:rPr>
          <w:rFonts w:ascii="Times New Roman" w:hAnsi="Times New Roman" w:eastAsia="Times New Roman" w:cs="Times New Roman"/>
        </w:rPr>
        <w:t>Life Sketches of James White and Ellen G. White 1888, pages 186–187 : « Dieu éprouva et mit son peuple à l’épreuve par l’écoulement du temps en 1843. L’erreur — une erreur singulière — qu’ils commirent dans le calcul des périodes prophétiques ne fut pas immédiatement découverte, même par des hommes instruits qui s’opposaient aux vues de ceux qui attendaient la venue du Christ. Ces éminents savants déclarèrent que M. Miller avait raison dans son calcul du temps, bien qu’ils le contredissent quant à l’événement qui devait couronner cette période. Mais eux, ainsi que le peuple de Dieu dans l’attente, partageaient une même erreur sur la question du temps. »</w:t>
      </w:r>
    </w:p>
    <w:p>
      <w:pPr>
        <w:pStyle w:val="ArticleScripture"/>
        <w:jc w:val="left"/>
      </w:pPr>
      <w:r>
        <w:rPr>
          <w:rFonts w:ascii="Times New Roman" w:hAnsi="Times New Roman" w:eastAsia="Times New Roman" w:cs="Times New Roman"/>
        </w:rPr>
        <w:t>“Tunaukubali kwa ukamilifu kwamba Mungu, katika hekima Yake, alikusudia kwamba watu Wake wakutane na kukatishwa tamaa, jambo ambalo lilikuwa limekusudiwa vema kufunua mioyo na kukuza tabia za kweli—si kufunua mioyo yao tu, bali pia kukuza tabia zao, na kulifikisha kwenye hatua ambayo ingebainika katika msukosuko unaokuja wakati wa Kilio cha Usiku wa Manane. Wale walioukubali ujumbe wa malaika wa kwanza kwa hofu ya hukumu za Mungu, wala si kwa sababu waliipenda kweli na kutamani urithi katika ufalme wa mbinguni, sasa walionekana katika hali yao ya kweli. Walikuwa miongoni mwa wa kwanza kuwadhihaki wale waliokatishwa tamaa ambao kwa unyofu walitamani na kuipenda kuonekana kwa Yesu. Jaribio hili la Mungu, lenye kuchunguza kwa undani mno, lilifunua tabia za kweli za wale ambao wangekwepa wajibu na fedheha kwa kuikana imani yao katika saa ya majaribu.”</w:t>
      </w:r>
    </w:p>
    <w:p>
      <w:pPr>
        <w:pStyle w:val="ArticleBody"/>
        <w:jc w:val="left"/>
      </w:pPr>
      <w:r>
        <w:rPr>
          <w:rFonts w:ascii="Times New Roman" w:hAnsi="Times New Roman" w:eastAsia="Times New Roman" w:cs="Times New Roman"/>
        </w:rPr>
        <w:t>Miɓe ɓe nanni ɓe heɓii cuusal ngel njaatnaa e nimde; ngam eɓe njiytaama laawol waajooji annabaaku ɗiin e du’aaje e kisal, juulnde nden maa anditaama—juulnde tan nden—e mooftugol binndol annabaaku ngol ley ñalnde nanndirde nden. E weltaare ɗam e keyɗe garol Almasiihu, nanndirde nden e njiɗaare mo wonde giteejo nden nde njaatnaayi e hakkille, tee nde waɗi hayre e kañum moƴƴaani e hakkille. Kono ɗum masinnde nde maa no feewi no feewi ngam yaltinde e semmbeɗde jeyaaɓe goonga e hakkunde. Ñalnde nanndirde nden maa no feewi no feewi. Nde waɗi ko woni tan hollitde lenyi ɗiɗi ɗin e fuɗɗugol yaltude sariyaaji maɓɓe ɗi maa hollitee e taariki Hooɗo Cakaaki Haade haa e udditaango dammugal ngel, kono nde no feewi maa ngam semmbeɗde ɓe maa njalta e woyde moƴƴere e dow caɗeele nde. A waawaa seertude ñalnde nanndirde nden e Hooɗo Cakaaki Haade walla e udditaango dammugal ngel.</w:t>
      </w:r>
    </w:p>
    <w:p>
      <w:pPr>
        <w:pStyle w:val="ArticleBody"/>
        <w:jc w:val="left"/>
      </w:pPr>
      <w:r>
        <w:rPr>
          <w:rFonts w:ascii="Times New Roman" w:hAnsi="Times New Roman" w:eastAsia="Times New Roman" w:cs="Times New Roman"/>
        </w:rPr>
        <w:t>Lorsque vous niez le Cri de Minuit, vous niez cette histoire même. Le Cri de Minuit n’est pas simplement le message de Samuel Snow au camp-meeting d’Exeter ; il est l’expérience du temps d’attente. C’est là que le Seigneur conduisait. Nous n’avons rien à craindre pour l’avenir, sinon d’oublier la direction du Seigneur dans notre histoire passée — cette histoire du temps d’attente et du Cri de Minuit, où Il porte à son point culminant l’Évangile éternel dans l’histoire millérite, produisant deux catégories d’adorateurs.</w:t>
      </w:r>
    </w:p>
    <w:p>
      <w:pPr>
        <w:pStyle w:val="ArticleScripture"/>
        <w:jc w:val="left"/>
      </w:pPr>
      <w:r>
        <w:rPr>
          <w:rFonts w:ascii="Times New Roman" w:hAnsi="Times New Roman" w:eastAsia="Times New Roman" w:cs="Times New Roman"/>
        </w:rPr>
        <w:t>Écrits précoces, page 74 : « J’ai vu que le tableau de 1843 avait été dirigé par la main du Seigneur, et qu’il ne devait pas être modifié ; que les chiffres étaient tels qu’Il les voulait ; que Sa main était étendue sur eux et avait caché une erreur dans certains des chiffres, de sorte que personne ne pouvait la voir, jusqu’à ce que Sa main fût retirée. »</w:t>
      </w:r>
    </w:p>
    <w:p>
      <w:pPr>
        <w:pStyle w:val="ArticleHeading"/>
        <w:jc w:val="left"/>
      </w:pPr>
      <w:r>
        <w:rPr>
          <w:rFonts w:ascii="Microsoft YaHei" w:hAnsi="Microsoft YaHei" w:eastAsia="Microsoft YaHei" w:cs="Microsoft YaHei"/>
        </w:rPr>
        <w:t>神秘</w:t>
      </w:r>
      <w:r>
        <w:rPr>
          <w:rFonts w:ascii="MS Gothic" w:hAnsi="MS Gothic" w:eastAsia="MS Gothic" w:cs="MS Gothic"/>
        </w:rPr>
        <w:t>の</w:t>
      </w:r>
      <w:r>
        <w:rPr>
          <w:rFonts w:ascii="Microsoft YaHei" w:hAnsi="Microsoft YaHei" w:eastAsia="Microsoft YaHei" w:cs="Microsoft YaHei"/>
        </w:rPr>
        <w:t>不法</w:t>
      </w:r>
      <w:r>
        <w:rPr>
          <w:rFonts w:ascii="MS Gothic" w:hAnsi="MS Gothic" w:eastAsia="MS Gothic" w:cs="MS Gothic"/>
        </w:rPr>
        <w:t>と</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過程</w:t>
      </w:r>
    </w:p>
    <w:p>
      <w:pPr>
        <w:pStyle w:val="ArticleBody"/>
        <w:jc w:val="left"/>
      </w:pP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અમારી</w:t>
      </w:r>
      <w:r>
        <w:rPr>
          <w:rFonts w:ascii="Times New Roman" w:hAnsi="Times New Roman" w:eastAsia="Times New Roman" w:cs="Times New Roman"/>
        </w:rPr>
        <w:t xml:space="preserve"> </w:t>
      </w:r>
      <w:r>
        <w:rPr>
          <w:rFonts w:ascii="Nirmala UI" w:hAnsi="Nirmala UI" w:eastAsia="Nirmala UI" w:cs="Nirmala UI"/>
        </w:rPr>
        <w:t>પાસે</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અમે</w:t>
      </w:r>
      <w:r>
        <w:rPr>
          <w:rFonts w:ascii="Times New Roman" w:hAnsi="Times New Roman" w:eastAsia="Times New Roman" w:cs="Times New Roman"/>
        </w:rPr>
        <w:t xml:space="preserve"> </w:t>
      </w:r>
      <w:r>
        <w:rPr>
          <w:rFonts w:ascii="Nirmala UI" w:hAnsi="Nirmala UI" w:eastAsia="Nirmala UI" w:cs="Nirmala UI"/>
        </w:rPr>
        <w:t>અધર્મના</w:t>
      </w:r>
      <w:r>
        <w:rPr>
          <w:rFonts w:ascii="Times New Roman" w:hAnsi="Times New Roman" w:eastAsia="Times New Roman" w:cs="Times New Roman"/>
        </w:rPr>
        <w:t xml:space="preserve"> </w:t>
      </w:r>
      <w:r>
        <w:rPr>
          <w:rFonts w:ascii="Nirmala UI" w:hAnsi="Nirmala UI" w:eastAsia="Nirmala UI" w:cs="Nirmala UI"/>
        </w:rPr>
        <w:t>રહસ્ય</w:t>
      </w:r>
      <w:r>
        <w:rPr>
          <w:rFonts w:ascii="Times New Roman" w:hAnsi="Times New Roman" w:eastAsia="Times New Roman" w:cs="Times New Roman"/>
        </w:rPr>
        <w:t xml:space="preserve"> </w:t>
      </w:r>
      <w:r>
        <w:rPr>
          <w:rFonts w:ascii="Nirmala UI" w:hAnsi="Nirmala UI" w:eastAsia="Nirmala UI" w:cs="Nirmala UI"/>
        </w:rPr>
        <w:t>અંગે</w:t>
      </w:r>
      <w:r>
        <w:rPr>
          <w:rFonts w:ascii="Times New Roman" w:hAnsi="Times New Roman" w:eastAsia="Times New Roman" w:cs="Times New Roman"/>
        </w:rPr>
        <w:t xml:space="preserve"> </w:t>
      </w:r>
      <w:r>
        <w:rPr>
          <w:rFonts w:ascii="Nirmala UI" w:hAnsi="Nirmala UI" w:eastAsia="Nirmala UI" w:cs="Nirmala UI"/>
        </w:rPr>
        <w:t>ચર્ચા</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શકતાં</w:t>
      </w:r>
      <w:r>
        <w:rPr>
          <w:rFonts w:ascii="Times New Roman" w:hAnsi="Times New Roman" w:eastAsia="Times New Roman" w:cs="Times New Roman"/>
        </w:rPr>
        <w:t xml:space="preserve">. </w:t>
      </w:r>
      <w:r>
        <w:rPr>
          <w:rFonts w:ascii="Nirmala UI" w:hAnsi="Nirmala UI" w:eastAsia="Nirmala UI" w:cs="Nirmala UI"/>
        </w:rPr>
        <w:t>અધર્મના</w:t>
      </w:r>
      <w:r>
        <w:rPr>
          <w:rFonts w:ascii="Times New Roman" w:hAnsi="Times New Roman" w:eastAsia="Times New Roman" w:cs="Times New Roman"/>
        </w:rPr>
        <w:t xml:space="preserve"> </w:t>
      </w:r>
      <w:r>
        <w:rPr>
          <w:rFonts w:ascii="Nirmala UI" w:hAnsi="Nirmala UI" w:eastAsia="Nirmala UI" w:cs="Nirmala UI"/>
        </w:rPr>
        <w:t>રહસ્યની</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વધુ</w:t>
      </w:r>
      <w:r>
        <w:rPr>
          <w:rFonts w:ascii="Times New Roman" w:hAnsi="Times New Roman" w:eastAsia="Times New Roman" w:cs="Times New Roman"/>
        </w:rPr>
        <w:t xml:space="preserve"> </w:t>
      </w:r>
      <w:r>
        <w:rPr>
          <w:rFonts w:ascii="Nirmala UI" w:hAnsi="Nirmala UI" w:eastAsia="Nirmala UI" w:cs="Nirmala UI"/>
        </w:rPr>
        <w:t>યોગ્ય</w:t>
      </w:r>
      <w:r>
        <w:rPr>
          <w:rFonts w:ascii="Times New Roman" w:hAnsi="Times New Roman" w:eastAsia="Times New Roman" w:cs="Times New Roman"/>
        </w:rPr>
        <w:t xml:space="preserve"> </w:t>
      </w:r>
      <w:r>
        <w:rPr>
          <w:rFonts w:ascii="Nirmala UI" w:hAnsi="Nirmala UI" w:eastAsia="Nirmala UI" w:cs="Nirmala UI"/>
        </w:rPr>
        <w:t>વ્યાખ્યાઓ</w:t>
      </w:r>
      <w:r>
        <w:rPr>
          <w:rFonts w:ascii="Times New Roman" w:hAnsi="Times New Roman" w:eastAsia="Times New Roman" w:cs="Times New Roman"/>
        </w:rPr>
        <w:t xml:space="preserve"> </w:t>
      </w:r>
      <w:r>
        <w:rPr>
          <w:rFonts w:ascii="Nirmala UI" w:hAnsi="Nirmala UI" w:eastAsia="Nirmala UI" w:cs="Nirmala UI"/>
        </w:rPr>
        <w:t>હોઈ</w:t>
      </w:r>
      <w:r>
        <w:rPr>
          <w:rFonts w:ascii="Times New Roman" w:hAnsi="Times New Roman" w:eastAsia="Times New Roman" w:cs="Times New Roman"/>
        </w:rPr>
        <w:t xml:space="preserve"> </w:t>
      </w:r>
      <w:r>
        <w:rPr>
          <w:rFonts w:ascii="Nirmala UI" w:hAnsi="Nirmala UI" w:eastAsia="Nirmala UI" w:cs="Nirmala UI"/>
        </w:rPr>
        <w:t>શકે</w:t>
      </w:r>
      <w:r>
        <w:rPr>
          <w:rFonts w:ascii="Times New Roman" w:hAnsi="Times New Roman" w:eastAsia="Times New Roman" w:cs="Times New Roman"/>
        </w:rPr>
        <w:t xml:space="preserve">, </w:t>
      </w:r>
      <w:r>
        <w:rPr>
          <w:rFonts w:ascii="Nirmala UI" w:hAnsi="Nirmala UI" w:eastAsia="Nirmala UI" w:cs="Nirmala UI"/>
        </w:rPr>
        <w:t>પરંતુ</w:t>
      </w:r>
      <w:r>
        <w:rPr>
          <w:rFonts w:ascii="Times New Roman" w:hAnsi="Times New Roman" w:eastAsia="Times New Roman" w:cs="Times New Roman"/>
        </w:rPr>
        <w:t xml:space="preserve"> </w:t>
      </w:r>
      <w:r>
        <w:rPr>
          <w:rFonts w:ascii="Nirmala UI" w:hAnsi="Nirmala UI" w:eastAsia="Nirmala UI" w:cs="Nirmala UI"/>
        </w:rPr>
        <w:t>અહીં</w:t>
      </w:r>
      <w:r>
        <w:rPr>
          <w:rFonts w:ascii="Times New Roman" w:hAnsi="Times New Roman" w:eastAsia="Times New Roman" w:cs="Times New Roman"/>
        </w:rPr>
        <w:t xml:space="preserve"> </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અર્થ</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પ્રજાની</w:t>
      </w:r>
      <w:r>
        <w:rPr>
          <w:rFonts w:ascii="Times New Roman" w:hAnsi="Times New Roman" w:eastAsia="Times New Roman" w:cs="Times New Roman"/>
        </w:rPr>
        <w:t xml:space="preserve"> </w:t>
      </w:r>
      <w:r>
        <w:rPr>
          <w:rFonts w:ascii="Nirmala UI" w:hAnsi="Nirmala UI" w:eastAsia="Nirmala UI" w:cs="Nirmala UI"/>
        </w:rPr>
        <w:t>પરીક્ષા</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સારા</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બુરાઈ</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સત્ય</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ભૂલનું</w:t>
      </w:r>
      <w:r>
        <w:rPr>
          <w:rFonts w:ascii="Times New Roman" w:hAnsi="Times New Roman" w:eastAsia="Times New Roman" w:cs="Times New Roman"/>
        </w:rPr>
        <w:t xml:space="preserve"> </w:t>
      </w:r>
      <w:r>
        <w:rPr>
          <w:rFonts w:ascii="Nirmala UI" w:hAnsi="Nirmala UI" w:eastAsia="Nirmala UI" w:cs="Nirmala UI"/>
        </w:rPr>
        <w:t>મિશ્રણ</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r>
        <w:rPr>
          <w:rFonts w:ascii="Nirmala UI" w:hAnsi="Nirmala UI" w:eastAsia="Nirmala UI" w:cs="Nirmala UI"/>
        </w:rPr>
        <w:t>તેનું</w:t>
      </w:r>
      <w:r>
        <w:rPr>
          <w:rFonts w:ascii="Times New Roman" w:hAnsi="Times New Roman" w:eastAsia="Times New Roman" w:cs="Times New Roman"/>
        </w:rPr>
        <w:t xml:space="preserve"> </w:t>
      </w:r>
      <w:r>
        <w:rPr>
          <w:rFonts w:ascii="Nirmala UI" w:hAnsi="Nirmala UI" w:eastAsia="Nirmala UI" w:cs="Nirmala UI"/>
        </w:rPr>
        <w:t>કાર્ય</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શાસ્ત્રના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પવિત્ર</w:t>
      </w:r>
      <w:r>
        <w:rPr>
          <w:rFonts w:ascii="Times New Roman" w:hAnsi="Times New Roman" w:eastAsia="Times New Roman" w:cs="Times New Roman"/>
        </w:rPr>
        <w:t xml:space="preserve"> </w:t>
      </w:r>
      <w:r>
        <w:rPr>
          <w:rFonts w:ascii="Nirmala UI" w:hAnsi="Nirmala UI" w:eastAsia="Nirmala UI" w:cs="Nirmala UI"/>
        </w:rPr>
        <w:t>ઇતિહાસોમાં</w:t>
      </w:r>
      <w:r>
        <w:rPr>
          <w:rFonts w:ascii="Times New Roman" w:hAnsi="Times New Roman" w:eastAsia="Times New Roman" w:cs="Times New Roman"/>
        </w:rPr>
        <w:t xml:space="preserve">, </w:t>
      </w:r>
      <w:r>
        <w:rPr>
          <w:rFonts w:ascii="Nirmala UI" w:hAnsi="Nirmala UI" w:eastAsia="Nirmala UI" w:cs="Nirmala UI"/>
        </w:rPr>
        <w:t>જ્યાં</w:t>
      </w:r>
      <w:r>
        <w:rPr>
          <w:rFonts w:ascii="Times New Roman" w:hAnsi="Times New Roman" w:eastAsia="Times New Roman" w:cs="Times New Roman"/>
        </w:rPr>
        <w:t xml:space="preserve"> </w:t>
      </w:r>
      <w:r>
        <w:rPr>
          <w:rFonts w:ascii="Nirmala UI" w:hAnsi="Nirmala UI" w:eastAsia="Nirmala UI" w:cs="Nirmala UI"/>
        </w:rPr>
        <w:t>પ્રભુ</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પ્રજાને</w:t>
      </w:r>
      <w:r>
        <w:rPr>
          <w:rFonts w:ascii="Times New Roman" w:hAnsi="Times New Roman" w:eastAsia="Times New Roman" w:cs="Times New Roman"/>
        </w:rPr>
        <w:t xml:space="preserve"> </w:t>
      </w:r>
      <w:r>
        <w:rPr>
          <w:rFonts w:ascii="Nirmala UI" w:hAnsi="Nirmala UI" w:eastAsia="Nirmala UI" w:cs="Nirmala UI"/>
        </w:rPr>
        <w:t>પરીક્ષાની</w:t>
      </w:r>
      <w:r>
        <w:rPr>
          <w:rFonts w:ascii="Times New Roman" w:hAnsi="Times New Roman" w:eastAsia="Times New Roman" w:cs="Times New Roman"/>
        </w:rPr>
        <w:t xml:space="preserve"> </w:t>
      </w:r>
      <w:r>
        <w:rPr>
          <w:rFonts w:ascii="Nirmala UI" w:hAnsi="Nirmala UI" w:eastAsia="Nirmala UI" w:cs="Nirmala UI"/>
        </w:rPr>
        <w:t>પ્રક્રિયામાં</w:t>
      </w:r>
      <w:r>
        <w:rPr>
          <w:rFonts w:ascii="Times New Roman" w:hAnsi="Times New Roman" w:eastAsia="Times New Roman" w:cs="Times New Roman"/>
        </w:rPr>
        <w:t xml:space="preserve"> </w:t>
      </w:r>
      <w:r>
        <w:rPr>
          <w:rFonts w:ascii="Nirmala UI" w:hAnsi="Nirmala UI" w:eastAsia="Nirmala UI" w:cs="Nirmala UI"/>
        </w:rPr>
        <w:t>લાવે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હંમેશા</w:t>
      </w:r>
      <w:r>
        <w:rPr>
          <w:rFonts w:ascii="Times New Roman" w:hAnsi="Times New Roman" w:eastAsia="Times New Roman" w:cs="Times New Roman"/>
        </w:rPr>
        <w:t xml:space="preserve"> </w:t>
      </w:r>
      <w:r>
        <w:rPr>
          <w:rFonts w:ascii="Nirmala UI" w:hAnsi="Nirmala UI" w:eastAsia="Nirmala UI" w:cs="Nirmala UI"/>
        </w:rPr>
        <w:t>અધર્મનું</w:t>
      </w:r>
      <w:r>
        <w:rPr>
          <w:rFonts w:ascii="Times New Roman" w:hAnsi="Times New Roman" w:eastAsia="Times New Roman" w:cs="Times New Roman"/>
        </w:rPr>
        <w:t xml:space="preserve"> </w:t>
      </w:r>
      <w:r>
        <w:rPr>
          <w:rFonts w:ascii="Nirmala UI" w:hAnsi="Nirmala UI" w:eastAsia="Nirmala UI" w:cs="Nirmala UI"/>
        </w:rPr>
        <w:t>રહસ્ય</w:t>
      </w:r>
      <w:r>
        <w:rPr>
          <w:rFonts w:ascii="Times New Roman" w:hAnsi="Times New Roman" w:eastAsia="Times New Roman" w:cs="Times New Roman"/>
        </w:rPr>
        <w:t xml:space="preserve"> </w:t>
      </w:r>
      <w:r>
        <w:rPr>
          <w:rFonts w:ascii="Nirmala UI" w:hAnsi="Nirmala UI" w:eastAsia="Nirmala UI" w:cs="Nirmala UI"/>
        </w:rPr>
        <w:t>જોશો</w:t>
      </w:r>
      <w:r>
        <w:rPr>
          <w:rFonts w:ascii="Times New Roman" w:hAnsi="Times New Roman" w:eastAsia="Times New Roman" w:cs="Times New Roman"/>
        </w:rPr>
        <w:t>—</w:t>
      </w:r>
      <w:r>
        <w:rPr>
          <w:rFonts w:ascii="Nirmala UI" w:hAnsi="Nirmala UI" w:eastAsia="Nirmala UI" w:cs="Nirmala UI"/>
        </w:rPr>
        <w:t>સત્યને</w:t>
      </w:r>
      <w:r>
        <w:rPr>
          <w:rFonts w:ascii="Times New Roman" w:hAnsi="Times New Roman" w:eastAsia="Times New Roman" w:cs="Times New Roman"/>
        </w:rPr>
        <w:t xml:space="preserve"> </w:t>
      </w:r>
      <w:r>
        <w:rPr>
          <w:rFonts w:ascii="Nirmala UI" w:hAnsi="Nirmala UI" w:eastAsia="Nirmala UI" w:cs="Nirmala UI"/>
        </w:rPr>
        <w:t>ભૂલ</w:t>
      </w:r>
      <w:r>
        <w:rPr>
          <w:rFonts w:ascii="Times New Roman" w:hAnsi="Times New Roman" w:eastAsia="Times New Roman" w:cs="Times New Roman"/>
        </w:rPr>
        <w:t xml:space="preserve"> </w:t>
      </w:r>
      <w:r>
        <w:rPr>
          <w:rFonts w:ascii="Nirmala UI" w:hAnsi="Nirmala UI" w:eastAsia="Nirmala UI" w:cs="Nirmala UI"/>
        </w:rPr>
        <w:t>સાથે</w:t>
      </w:r>
      <w:r>
        <w:rPr>
          <w:rFonts w:ascii="Times New Roman" w:hAnsi="Times New Roman" w:eastAsia="Times New Roman" w:cs="Times New Roman"/>
        </w:rPr>
        <w:t xml:space="preserve"> </w:t>
      </w:r>
      <w:r>
        <w:rPr>
          <w:rFonts w:ascii="Nirmala UI" w:hAnsi="Nirmala UI" w:eastAsia="Nirmala UI" w:cs="Nirmala UI"/>
        </w:rPr>
        <w:t>મિશ્રિત</w:t>
      </w:r>
      <w:r>
        <w:rPr>
          <w:rFonts w:ascii="Times New Roman" w:hAnsi="Times New Roman" w:eastAsia="Times New Roman" w:cs="Times New Roman"/>
        </w:rPr>
        <w:t xml:space="preserve"> </w:t>
      </w:r>
      <w:r>
        <w:rPr>
          <w:rFonts w:ascii="Nirmala UI" w:hAnsi="Nirmala UI" w:eastAsia="Nirmala UI" w:cs="Nirmala UI"/>
        </w:rPr>
        <w:t>કરવામાં</w:t>
      </w:r>
      <w:r>
        <w:rPr>
          <w:rFonts w:ascii="Times New Roman" w:hAnsi="Times New Roman" w:eastAsia="Times New Roman" w:cs="Times New Roman"/>
        </w:rPr>
        <w:t xml:space="preserve"> </w:t>
      </w:r>
      <w:r>
        <w:rPr>
          <w:rFonts w:ascii="Nirmala UI" w:hAnsi="Nirmala UI" w:eastAsia="Nirmala UI" w:cs="Nirmala UI"/>
        </w:rPr>
        <w:t>શેતાનની</w:t>
      </w:r>
      <w:r>
        <w:rPr>
          <w:rFonts w:ascii="Times New Roman" w:hAnsi="Times New Roman" w:eastAsia="Times New Roman" w:cs="Times New Roman"/>
        </w:rPr>
        <w:t xml:space="preserve"> </w:t>
      </w:r>
      <w:r>
        <w:rPr>
          <w:rFonts w:ascii="Nirmala UI" w:hAnsi="Nirmala UI" w:eastAsia="Nirmala UI" w:cs="Nirmala UI"/>
        </w:rPr>
        <w:t>પ્રવૃત્તિ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લોકો</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પરીક્ષાના</w:t>
      </w:r>
      <w:r>
        <w:rPr>
          <w:rFonts w:ascii="Times New Roman" w:hAnsi="Times New Roman" w:eastAsia="Times New Roman" w:cs="Times New Roman"/>
        </w:rPr>
        <w:t xml:space="preserve"> </w:t>
      </w:r>
      <w:r>
        <w:rPr>
          <w:rFonts w:ascii="Nirmala UI" w:hAnsi="Nirmala UI" w:eastAsia="Nirmala UI" w:cs="Nirmala UI"/>
        </w:rPr>
        <w:t>બિંદુએ</w:t>
      </w:r>
      <w:r>
        <w:rPr>
          <w:rFonts w:ascii="Times New Roman" w:hAnsi="Times New Roman" w:eastAsia="Times New Roman" w:cs="Times New Roman"/>
        </w:rPr>
        <w:t xml:space="preserve"> </w:t>
      </w:r>
      <w:r>
        <w:rPr>
          <w:rFonts w:ascii="Nirmala UI" w:hAnsi="Nirmala UI" w:eastAsia="Nirmala UI" w:cs="Nirmala UI"/>
        </w:rPr>
        <w:t>આવે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ત્યારે</w:t>
      </w:r>
      <w:r>
        <w:rPr>
          <w:rFonts w:ascii="Times New Roman" w:hAnsi="Times New Roman" w:eastAsia="Times New Roman" w:cs="Times New Roman"/>
        </w:rPr>
        <w:t xml:space="preserve"> </w:t>
      </w:r>
      <w:r>
        <w:rPr>
          <w:rFonts w:ascii="Nirmala UI" w:hAnsi="Nirmala UI" w:eastAsia="Nirmala UI" w:cs="Nirmala UI"/>
        </w:rPr>
        <w:t>અધર્મના</w:t>
      </w:r>
      <w:r>
        <w:rPr>
          <w:rFonts w:ascii="Times New Roman" w:hAnsi="Times New Roman" w:eastAsia="Times New Roman" w:cs="Times New Roman"/>
        </w:rPr>
        <w:t xml:space="preserve"> </w:t>
      </w:r>
      <w:r>
        <w:rPr>
          <w:rFonts w:ascii="Nirmala UI" w:hAnsi="Nirmala UI" w:eastAsia="Nirmala UI" w:cs="Nirmala UI"/>
        </w:rPr>
        <w:t>રહસ્યે</w:t>
      </w:r>
      <w:r>
        <w:rPr>
          <w:rFonts w:ascii="Times New Roman" w:hAnsi="Times New Roman" w:eastAsia="Times New Roman" w:cs="Times New Roman"/>
        </w:rPr>
        <w:t xml:space="preserve"> </w:t>
      </w:r>
      <w:r>
        <w:rPr>
          <w:rFonts w:ascii="Nirmala UI" w:hAnsi="Nirmala UI" w:eastAsia="Nirmala UI" w:cs="Nirmala UI"/>
        </w:rPr>
        <w:t>મુદ્દાઓને</w:t>
      </w:r>
      <w:r>
        <w:rPr>
          <w:rFonts w:ascii="Times New Roman" w:hAnsi="Times New Roman" w:eastAsia="Times New Roman" w:cs="Times New Roman"/>
        </w:rPr>
        <w:t xml:space="preserve"> </w:t>
      </w:r>
      <w:r>
        <w:rPr>
          <w:rFonts w:ascii="Nirmala UI" w:hAnsi="Nirmala UI" w:eastAsia="Nirmala UI" w:cs="Nirmala UI"/>
        </w:rPr>
        <w:t>ધૂંધળા</w:t>
      </w:r>
      <w:r>
        <w:rPr>
          <w:rFonts w:ascii="Times New Roman" w:hAnsi="Times New Roman" w:eastAsia="Times New Roman" w:cs="Times New Roman"/>
        </w:rPr>
        <w:t xml:space="preserve"> </w:t>
      </w:r>
      <w:r>
        <w:rPr>
          <w:rFonts w:ascii="Nirmala UI" w:hAnsi="Nirmala UI" w:eastAsia="Nirmala UI" w:cs="Nirmala UI"/>
        </w:rPr>
        <w:t>બનાવી</w:t>
      </w:r>
      <w:r>
        <w:rPr>
          <w:rFonts w:ascii="Times New Roman" w:hAnsi="Times New Roman" w:eastAsia="Times New Roman" w:cs="Times New Roman"/>
        </w:rPr>
        <w:t xml:space="preserve"> </w:t>
      </w:r>
      <w:r>
        <w:rPr>
          <w:rFonts w:ascii="Nirmala UI" w:hAnsi="Nirmala UI" w:eastAsia="Nirmala UI" w:cs="Nirmala UI"/>
        </w:rPr>
        <w:t>દીધા</w:t>
      </w:r>
      <w:r>
        <w:rPr>
          <w:rFonts w:ascii="Times New Roman" w:hAnsi="Times New Roman" w:eastAsia="Times New Roman" w:cs="Times New Roman"/>
        </w:rPr>
        <w:t xml:space="preserve"> </w:t>
      </w:r>
      <w:r>
        <w:rPr>
          <w:rFonts w:ascii="Nirmala UI" w:hAnsi="Nirmala UI" w:eastAsia="Nirmala UI" w:cs="Nirmala UI"/>
        </w:rPr>
        <w:t>હોય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Amikor elérkezett Noé megpróbáltatásának ideje, a Biblia elmondja nekünk, hogy azelőtt a Sátán magva összekeveredett az Isten magvával. Ez okozta, hogy a törvényszegés titka beteljesedjék Noé idejében, amely a Teremtés könyvében úgy jut kifejezésre, hogy az Isten fiai feleségül vették az emberek leányait — a két mag összekeveredése, a törvényszegés titka, amely megelőzi Noé próbáját.</w:t>
      </w:r>
    </w:p>
    <w:p>
      <w:pPr>
        <w:pStyle w:val="ArticleBody"/>
        <w:jc w:val="left"/>
      </w:pP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ፈተና</w:t>
      </w:r>
      <w:r>
        <w:rPr>
          <w:rFonts w:ascii="Times New Roman" w:hAnsi="Times New Roman" w:eastAsia="Times New Roman" w:cs="Times New Roman"/>
        </w:rPr>
        <w:t xml:space="preserve"> </w:t>
      </w:r>
      <w:r>
        <w:rPr>
          <w:rFonts w:ascii="Ebrima" w:hAnsi="Ebrima" w:eastAsia="Ebrima" w:cs="Ebrima"/>
        </w:rPr>
        <w:t>ሙሴን</w:t>
      </w:r>
      <w:r>
        <w:rPr>
          <w:rFonts w:ascii="Times New Roman" w:hAnsi="Times New Roman" w:eastAsia="Times New Roman" w:cs="Times New Roman"/>
        </w:rPr>
        <w:t xml:space="preserve"> </w:t>
      </w:r>
      <w:r>
        <w:rPr>
          <w:rFonts w:ascii="Ebrima" w:hAnsi="Ebrima" w:eastAsia="Ebrima" w:cs="Ebrima"/>
        </w:rPr>
        <w:t>ቀይሕ</w:t>
      </w:r>
      <w:r>
        <w:rPr>
          <w:rFonts w:ascii="Times New Roman" w:hAnsi="Times New Roman" w:eastAsia="Times New Roman" w:cs="Times New Roman"/>
        </w:rPr>
        <w:t xml:space="preserve"> </w:t>
      </w:r>
      <w:r>
        <w:rPr>
          <w:rFonts w:ascii="Ebrima" w:hAnsi="Ebrima" w:eastAsia="Ebrima" w:cs="Ebrima"/>
        </w:rPr>
        <w:t>ባሕርን፡</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ጽሑፍ</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ዝገልጽዎ፡</w:t>
      </w:r>
      <w:r>
        <w:rPr>
          <w:rFonts w:ascii="Times New Roman" w:hAnsi="Times New Roman" w:eastAsia="Times New Roman" w:cs="Times New Roman"/>
        </w:rPr>
        <w:t xml:space="preserve"> </w:t>
      </w:r>
      <w:r>
        <w:rPr>
          <w:rFonts w:ascii="Ebrima" w:hAnsi="Ebrima" w:eastAsia="Ebrima" w:cs="Ebrima"/>
        </w:rPr>
        <w:t>እስራኤል፡</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ቀይሕ</w:t>
      </w:r>
      <w:r>
        <w:rPr>
          <w:rFonts w:ascii="Times New Roman" w:hAnsi="Times New Roman" w:eastAsia="Times New Roman" w:cs="Times New Roman"/>
        </w:rPr>
        <w:t xml:space="preserve"> </w:t>
      </w:r>
      <w:r>
        <w:rPr>
          <w:rFonts w:ascii="Ebrima" w:hAnsi="Ebrima" w:eastAsia="Ebrima" w:cs="Ebrima"/>
        </w:rPr>
        <w:t>ባሕሪን</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ሲናን</w:t>
      </w:r>
      <w:r>
        <w:rPr>
          <w:rFonts w:ascii="Times New Roman" w:hAnsi="Times New Roman" w:eastAsia="Times New Roman" w:cs="Times New Roman"/>
        </w:rPr>
        <w:t xml:space="preserve"> </w:t>
      </w:r>
      <w:r>
        <w:rPr>
          <w:rFonts w:ascii="Ebrima" w:hAnsi="Ebrima" w:eastAsia="Ebrima" w:cs="Ebrima"/>
        </w:rPr>
        <w:t>ክፍተኑ</w:t>
      </w:r>
      <w:r>
        <w:rPr>
          <w:rFonts w:ascii="Times New Roman" w:hAnsi="Times New Roman" w:eastAsia="Times New Roman" w:cs="Times New Roman"/>
        </w:rPr>
        <w:t xml:space="preserve"> </w:t>
      </w:r>
      <w:r>
        <w:rPr>
          <w:rFonts w:ascii="Ebrima" w:hAnsi="Ebrima" w:eastAsia="Ebrima" w:cs="Ebrima"/>
        </w:rPr>
        <w:t>ዝነበሩ፡</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ግብጺ</w:t>
      </w:r>
      <w:r>
        <w:rPr>
          <w:rFonts w:ascii="Times New Roman" w:hAnsi="Times New Roman" w:eastAsia="Times New Roman" w:cs="Times New Roman"/>
        </w:rPr>
        <w:t xml:space="preserve"> </w:t>
      </w:r>
      <w:r>
        <w:rPr>
          <w:rFonts w:ascii="Ebrima" w:hAnsi="Ebrima" w:eastAsia="Ebrima" w:cs="Ebrima"/>
        </w:rPr>
        <w:t>እዋን</w:t>
      </w:r>
      <w:r>
        <w:rPr>
          <w:rFonts w:ascii="Times New Roman" w:hAnsi="Times New Roman" w:eastAsia="Times New Roman" w:cs="Times New Roman"/>
        </w:rPr>
        <w:t xml:space="preserve"> </w:t>
      </w:r>
      <w:r>
        <w:rPr>
          <w:rFonts w:ascii="Ebrima" w:hAnsi="Ebrima" w:eastAsia="Ebrima" w:cs="Ebrima"/>
        </w:rPr>
        <w:t>ነዊሕ</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ዝቐመጡ፡</w:t>
      </w:r>
      <w:r>
        <w:rPr>
          <w:rFonts w:ascii="Times New Roman" w:hAnsi="Times New Roman" w:eastAsia="Times New Roman" w:cs="Times New Roman"/>
        </w:rPr>
        <w:t xml:space="preserve"> </w:t>
      </w:r>
      <w:r>
        <w:rPr>
          <w:rFonts w:ascii="Ebrima" w:hAnsi="Ebrima" w:eastAsia="Ebrima" w:cs="Ebrima"/>
        </w:rPr>
        <w:t>ብትምህርቲ</w:t>
      </w:r>
      <w:r>
        <w:rPr>
          <w:rFonts w:ascii="Times New Roman" w:hAnsi="Times New Roman" w:eastAsia="Times New Roman" w:cs="Times New Roman"/>
        </w:rPr>
        <w:t xml:space="preserve"> </w:t>
      </w:r>
      <w:r>
        <w:rPr>
          <w:rFonts w:ascii="Ebrima" w:hAnsi="Ebrima" w:eastAsia="Ebrima" w:cs="Ebrima"/>
        </w:rPr>
        <w:t>ግብጺ</w:t>
      </w:r>
      <w:r>
        <w:rPr>
          <w:rFonts w:ascii="Times New Roman" w:hAnsi="Times New Roman" w:eastAsia="Times New Roman" w:cs="Times New Roman"/>
        </w:rPr>
        <w:t xml:space="preserve"> </w:t>
      </w:r>
      <w:r>
        <w:rPr>
          <w:rFonts w:ascii="Ebrima" w:hAnsi="Ebrima" w:eastAsia="Ebrima" w:cs="Ebrima"/>
        </w:rPr>
        <w:t>ተበላሽዮም</w:t>
      </w:r>
      <w:r>
        <w:rPr>
          <w:rFonts w:ascii="Times New Roman" w:hAnsi="Times New Roman" w:eastAsia="Times New Roman" w:cs="Times New Roman"/>
        </w:rPr>
        <w:t xml:space="preserve"> </w:t>
      </w:r>
      <w:r>
        <w:rPr>
          <w:rFonts w:ascii="Ebrima" w:hAnsi="Ebrima" w:eastAsia="Ebrima" w:cs="Ebrima"/>
        </w:rPr>
        <w:t>ነበሩ።</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ምስጢር</w:t>
      </w:r>
      <w:r>
        <w:rPr>
          <w:rFonts w:ascii="Times New Roman" w:hAnsi="Times New Roman" w:eastAsia="Times New Roman" w:cs="Times New Roman"/>
        </w:rPr>
        <w:t xml:space="preserve"> </w:t>
      </w:r>
      <w:r>
        <w:rPr>
          <w:rFonts w:ascii="Ebrima" w:hAnsi="Ebrima" w:eastAsia="Ebrima" w:cs="Ebrima"/>
        </w:rPr>
        <w:t>ዓመፃ</w:t>
      </w:r>
      <w:r>
        <w:rPr>
          <w:rFonts w:ascii="Times New Roman" w:hAnsi="Times New Roman" w:eastAsia="Times New Roman" w:cs="Times New Roman"/>
        </w:rPr>
        <w:t xml:space="preserve"> </w:t>
      </w:r>
      <w:r>
        <w:rPr>
          <w:rFonts w:ascii="Ebrima" w:hAnsi="Ebrima" w:eastAsia="Ebrima" w:cs="Ebrima"/>
        </w:rPr>
        <w:t>እዚ</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w:t>
      </w:r>
      <w:r>
        <w:rPr>
          <w:rFonts w:ascii="Ebrima" w:hAnsi="Ebrima" w:eastAsia="Ebrima" w:cs="Ebrima"/>
        </w:rPr>
        <w:t>ብሰይጣናዊ</w:t>
      </w:r>
      <w:r>
        <w:rPr>
          <w:rFonts w:ascii="Times New Roman" w:hAnsi="Times New Roman" w:eastAsia="Times New Roman" w:cs="Times New Roman"/>
        </w:rPr>
        <w:t xml:space="preserve"> </w:t>
      </w:r>
      <w:r>
        <w:rPr>
          <w:rFonts w:ascii="Ebrima" w:hAnsi="Ebrima" w:eastAsia="Ebrima" w:cs="Ebrima"/>
        </w:rPr>
        <w:t>ትምህርትታት</w:t>
      </w:r>
      <w:r>
        <w:rPr>
          <w:rFonts w:ascii="Times New Roman" w:hAnsi="Times New Roman" w:eastAsia="Times New Roman" w:cs="Times New Roman"/>
        </w:rPr>
        <w:t xml:space="preserve"> </w:t>
      </w:r>
      <w:r>
        <w:rPr>
          <w:rFonts w:ascii="Ebrima" w:hAnsi="Ebrima" w:eastAsia="Ebrima" w:cs="Ebrima"/>
        </w:rPr>
        <w:t>ምጽላው።</w:t>
      </w:r>
    </w:p>
    <w:p>
      <w:pPr>
        <w:pStyle w:val="ArticleBody"/>
        <w:jc w:val="left"/>
      </w:pPr>
      <w:r>
        <w:rPr>
          <w:rFonts w:ascii="Times New Roman" w:hAnsi="Times New Roman" w:eastAsia="Times New Roman" w:cs="Times New Roman"/>
        </w:rPr>
        <w:t>Ao tempo dos judeus, foram os ensinos gregos que prepararam o caminho para que o Sinédrio rejeitasse o seu processo de prova.</w:t>
      </w:r>
    </w:p>
    <w:p>
      <w:pPr>
        <w:pStyle w:val="ArticleBody"/>
        <w:jc w:val="left"/>
      </w:pPr>
      <w:r>
        <w:rPr>
          <w:rFonts w:ascii="Times New Roman" w:hAnsi="Times New Roman" w:eastAsia="Times New Roman" w:cs="Times New Roman"/>
        </w:rPr>
        <w:t>Dans l’histoire millérite, les millérites des Églises protestantes venaient tout juste de sortir de 1260 années d’influence papale, laquelle avait corrompu la semence pure par la semence impure, produisant un mystère d’iniquité qui précéda l’épreuve de l’histoire millérite.</w:t>
      </w:r>
    </w:p>
    <w:p>
      <w:pPr>
        <w:pStyle w:val="ArticleBody"/>
        <w:jc w:val="left"/>
      </w:pPr>
      <w:r>
        <w:rPr>
          <w:rFonts w:ascii="Times New Roman" w:hAnsi="Times New Roman" w:eastAsia="Times New Roman" w:cs="Times New Roman"/>
        </w:rPr>
        <w:t>Seo é rúndiamhair na héagóra atá i láthair i gcónaí.</w:t>
      </w:r>
    </w:p>
    <w:p>
      <w:pPr>
        <w:pStyle w:val="ArticleBody"/>
        <w:jc w:val="left"/>
      </w:pPr>
      <w:r>
        <w:rPr>
          <w:rFonts w:ascii="Times New Roman" w:hAnsi="Times New Roman" w:eastAsia="Times New Roman" w:cs="Times New Roman"/>
        </w:rPr>
        <w:t>Ikiwa utajifunza jinsi siri ya uovu inavyofanya kazi, nenda kwenye Patriarchs and Prophets, sura ya kwanza. Dada White anatuambia jinsi Shetani alivyotimiza siri ya uovu Mbinguni. Kulikuwapo na jaribio Mbinguni kuhusu ni malaika gani wangebaki na ni gani wangeondolewa, na Shetani alikuwa akitimiza siri ya uovu humo Mbinguni kabla ya mchakato huo wa kupimwa.</w:t>
      </w:r>
    </w:p>
    <w:p>
      <w:pPr>
        <w:pStyle w:val="ArticleBody"/>
        <w:jc w:val="left"/>
      </w:pPr>
      <w:r>
        <w:rPr>
          <w:rFonts w:ascii="Times New Roman" w:hAnsi="Times New Roman" w:eastAsia="Times New Roman" w:cs="Times New Roman"/>
        </w:rPr>
        <w:t>Satan a fait cela en insinuant le doute, en plaçant sa parole au-dessus de la Parole de Dieu et, plus important encore, en amenant d’autres à exprimer ses faux enseignements — une activité sinistre. Il introduirait le doute dans votre esprit, puis vous iriez exprimer ce doute devant un groupe. Si quelqu’un se plaignait de ce doute, il se plaindrait de vous, et non de lui.</w:t>
      </w:r>
    </w:p>
    <w:p>
      <w:pPr>
        <w:pStyle w:val="ArticleBody"/>
        <w:jc w:val="left"/>
      </w:pPr>
      <w:r>
        <w:rPr>
          <w:rFonts w:ascii="Times New Roman" w:hAnsi="Times New Roman" w:eastAsia="Times New Roman" w:cs="Times New Roman"/>
        </w:rPr>
        <w:t>Nokutshi nje, umfundisi othile eSpokane, eWashington, waphawula nge-Early Writings, ikhasi 74, ethi, “Ngaya kusichazamazwi sosuku nesikhathi sika-Ellen White, i-Webster’s Dictionary, futhi figures akusho lutho oluhlobene nezibalo.” Iningi labantu elalizokuzwa lokho belingeke likuhlole, futhi belizomkholwa. Okungenani, lowo mfundisi wayehlwanyela ukungabaza mayelana nalokho lezi zibalo ezimele kona kulesi siqephu; empeleni, wayeqamba amanga. Webster’s 1828 Dictionary ithi: FIGURE, n. Ezibalweni, uphawu olubonisa inani, njengokuthi 2, 7, 9.</w:t>
      </w:r>
    </w:p>
    <w:p>
      <w:pPr>
        <w:pStyle w:val="ArticleBody"/>
        <w:jc w:val="left"/>
      </w:pPr>
      <w:r>
        <w:rPr>
          <w:rFonts w:ascii="Times New Roman" w:hAnsi="Times New Roman" w:eastAsia="Times New Roman" w:cs="Times New Roman"/>
        </w:rPr>
        <w:t>Il exprimait le doute, accomplissant l’œuvre représentée comme le mystère d’iniquité. Il montrait aux Adventistes, s’ils sont disposés à le voir, qu’en ce moment de l’histoire de la terre, vous devez comprendre la vérité par vous-mêmes et ne pas écouter des êtres humains; car « . . . le mystère d’iniquité agit déjà : . . . ».</w:t>
      </w:r>
    </w:p>
    <w:p>
      <w:pPr>
        <w:pStyle w:val="ArticleScripture"/>
        <w:jc w:val="left"/>
      </w:pPr>
      <w:r>
        <w:rPr>
          <w:rFonts w:ascii="Times New Roman" w:hAnsi="Times New Roman" w:eastAsia="Times New Roman" w:cs="Times New Roman"/>
        </w:rPr>
        <w:t>Écrits anciens, page 74 : « . . . que les chiffres étaient tels qu’Il les voulait, que Sa main était étendue dessus et cachait une erreur dans certains des chiffres, de sorte que nul ne pouvait la voir, jusqu’à ce que Sa main fût retirée. »</w:t>
      </w:r>
    </w:p>
    <w:p>
      <w:pPr>
        <w:pStyle w:val="ArticleBody"/>
        <w:jc w:val="left"/>
      </w:pPr>
      <w:r>
        <w:rPr>
          <w:rFonts w:ascii="Times New Roman" w:hAnsi="Times New Roman" w:eastAsia="Times New Roman" w:cs="Times New Roman"/>
        </w:rPr>
        <w:t>Yoo dogoggora, akkasumas hayyoonni amantii yeroo baayʼee akkas ni godhu. Yoo hiikni jecha tokkoo Macaafa Qulqulluu keessatti yookaan Hafuura Raajii keessatti maal akka taʼe hubachuu barbaadde, jalqaba gara galmee jechootaa miti kan ilaaltu; gara raajichaa ilaalta. Fakkeenyaaf, Daaniʼel Daaniʼel 8:11 keessatti jecha Ibrootaa rum jedhamu fayyadama; inni “taken away” jedhamee hiikameera. Namoonni hiikni isaa “removed” akka taʼe yaadu. Garuu Daaniʼel rum yeroo shan kan biraa fayyadameera, yeroo tokkollee hiikni isaa “take away” miti—hiikni isaa “ol kaasuudhaa fi ulfeessuudha.” Kanaafuu, rum inni Daaniʼel 8:11 keessatti fayyadame “take away” jechuu isaati jechuun aadaa duudhaa hordofuudha malee, akka Daaniʼel jecha sana itti fayyadame hordofuu miti.</w:t>
      </w:r>
    </w:p>
    <w:p>
      <w:pPr>
        <w:pStyle w:val="ArticleBody"/>
        <w:jc w:val="left"/>
      </w:pPr>
      <w:r>
        <w:rPr>
          <w:rFonts w:ascii="Times New Roman" w:hAnsi="Times New Roman" w:eastAsia="Times New Roman" w:cs="Times New Roman"/>
        </w:rPr>
        <w:t>Menm jan an tou, konsènan Ellen White: Si ou vle fè konnen ke nan Early Writings, 74, “figures” vle di desen oswa imaj grafik, ou ta ka di: “Diksyonè nan epòk Ellen White la pa di figures vle di aritmetik,” avèk konfyans ke pifò moun pap verifye sa. Men si yo ta verifye l, yo t ap jwenn ke figures vrèman vle di aritmetik.</w:t>
      </w:r>
    </w:p>
    <w:p>
      <w:pPr>
        <w:pStyle w:val="ArticleBody"/>
        <w:jc w:val="left"/>
      </w:pPr>
      <w:r>
        <w:rPr>
          <w:rFonts w:ascii="Times New Roman" w:hAnsi="Times New Roman" w:eastAsia="Times New Roman" w:cs="Times New Roman"/>
        </w:rPr>
        <w:t>Mais le premier endroit où l’on se tourne, c’est vers Ellen White elle-même : qu’entend-elle par « chiffres » ? Dans Premiers écrits, page 74, elle dit : « Sa main était étendue et cachait une erreur dans quelques-uns des chiffres », et à la page 236 elle dit : « Sa main couvrait une erreur dans le calcul des périodes prophétiques. » La prophétesse indique que, dans sa terminologie, les chiffres désignent les périodes prophétiques — le calcul, non l’illustration.</w:t>
      </w:r>
    </w:p>
    <w:p>
      <w:pPr>
        <w:pStyle w:val="ArticleBody"/>
        <w:jc w:val="left"/>
      </w:pPr>
      <w:r>
        <w:rPr>
          <w:rFonts w:ascii="Times New Roman" w:hAnsi="Times New Roman" w:eastAsia="Times New Roman" w:cs="Times New Roman"/>
        </w:rPr>
        <w:t>Так над чым жа Гасподзь трымаў Сваю руку? Ён трымаў Сваю руку над памылкай у вылічэнні прарочых перыядаў — над лічбамі.</w:t>
      </w:r>
    </w:p>
    <w:p>
      <w:pPr>
        <w:pStyle w:val="ArticleHeading"/>
        <w:jc w:val="left"/>
      </w:pPr>
      <w:r>
        <w:rPr>
          <w:rFonts w:ascii="Arial" w:hAnsi="Arial" w:eastAsia="Arial" w:cs="Arial"/>
        </w:rPr>
        <w:t>L’Approbation par Ellen White des 2520</w:t>
      </w:r>
    </w:p>
    <w:p>
      <w:pPr>
        <w:pStyle w:val="ArticleBody"/>
        <w:jc w:val="left"/>
      </w:pPr>
      <w:r>
        <w:rPr>
          <w:rFonts w:ascii="Times New Roman" w:hAnsi="Times New Roman" w:eastAsia="Times New Roman" w:cs="Times New Roman"/>
        </w:rPr>
        <w:t>Voici le point décisif. Nombreux sont ceux qui présentent le même message que nous, et je les soutiens. Mais lorsqu’il s’agit du 2520 et de savoir si Ellen White croyait qu’il s’agissait d’une prophétie valable, voici l’argument — voici la preuve, et c’est par là qu’il faut commencer. Tous les autres arguments sont valables et vrais, mais ceci est le point de départ.</w:t>
      </w:r>
    </w:p>
    <w:p>
      <w:pPr>
        <w:pStyle w:val="ArticleBody"/>
        <w:jc w:val="left"/>
      </w:pPr>
      <w:r>
        <w:rPr>
          <w:rFonts w:ascii="Times New Roman" w:hAnsi="Times New Roman" w:eastAsia="Times New Roman" w:cs="Times New Roman"/>
        </w:rPr>
        <w:t>Dans Early Writings, à la page 74, là où il est dit que le Seigneur tint Sa main sur une erreur dans certains des chiffres, elle définit ce que cela signifie dans le même livre, à la page 236 : « Je vis le peuple de Dieu, joyeux dans l’attente, regardant à son Seigneur. Mais Dieu avait dessein de les éprouver. » Elle parle du Temps de retard, de la première déception.</w:t>
      </w:r>
    </w:p>
    <w:p>
      <w:pPr>
        <w:pStyle w:val="ArticleBody"/>
        <w:jc w:val="left"/>
      </w:pPr>
      <w:r>
        <w:rPr>
          <w:rFonts w:ascii="Times New Roman" w:hAnsi="Times New Roman" w:eastAsia="Times New Roman" w:cs="Times New Roman"/>
        </w:rPr>
        <w:t>Elle ne parle pas de la Déception du 22 octobre 1844, car là aussi ils devaient être éprouvés; mais ici, elle parle du temps d’attente: «Dieu avait dessein de les éprouver.» «Sa main couvrit une erreur dans le calcul des périodes prophétiques.» Comment allait-Il les éprouver par le temps d’attente? En tenant Sa main sur leur compréhension des périodes prophétiques. Vous n’avez rien à craindre pour l’avenir, si ce n’est dans la mesure où nous oublierions comment le Seigneur nous a conduits dans le passé, dans l’histoire des millérites et dans Ses enseignements.</w:t>
      </w:r>
    </w:p>
    <w:p>
      <w:pPr>
        <w:pStyle w:val="ArticleBody"/>
        <w:jc w:val="left"/>
      </w:pPr>
      <w:r>
        <w:rPr>
          <w:rFonts w:ascii="Times New Roman" w:hAnsi="Times New Roman" w:eastAsia="Times New Roman" w:cs="Times New Roman"/>
        </w:rPr>
        <w:t>Tugun nämä profeetalliset ajanjaksot ovat ne opetukset, jotka synnyttivät viivytyksen ajan. “Hänen kätensä peitti erehdyksen profeetallisten ajanjaksojen laskennassa. Ne, jotka odottivat Herraansa, eivät havainneet tätä erehdystä” — yksi ainoa erehdys — “eivätkä myöskään oppineimmat miehet, jotka vastustivat tätä aikaa, kyenneet sitä näkemään. Jumala tarkoitti, että Hänen kansansa kohtaisi pettymyksen. Aika kului, ja ne, jotka olivat odottaneet Vapahtajaansa iloisin odotuksin, olivat murheellisia ja lannistuneita, kun taas ne, jotka eivät olleet rakastaneet Jeesuksen ilmestymistä vaan olivat omaksuneet sanoman pelosta, olivat tyytyväisiä siihen, ettei Hän tullut odotettuna aikana. Heidän tunnustuksensa ei ollut vaikuttanut sydämeen eikä puhdistanut elämää. Ajan kuluminen oli tarkoin laskettu paljastamaan tällaiset sydämet. He olivat ensimmäisiä kääntymään pois ja pilkkaamaan murheellisia, pettyneitä niitä, jotka todella rakastivat Vapahtajansa ilmestymistä. Näin Jumalan viisauden siinä, että Hän koetteli kansaansa ja antoi sille tutkivan koetuksen paljastaakseen ne, jotka koetuksen hetkellä vetäytyisivät pois ja kääntyisivät takaisin.</w:t>
      </w:r>
    </w:p>
    <w:p>
      <w:pPr>
        <w:pStyle w:val="ArticleBody"/>
        <w:jc w:val="left"/>
      </w:pPr>
      <w:r>
        <w:rPr>
          <w:rFonts w:ascii="Times New Roman" w:hAnsi="Times New Roman" w:eastAsia="Times New Roman" w:cs="Times New Roman"/>
        </w:rPr>
        <w:t>Yesus na chumbu chonse cha kumwamba anayang’ana ndi chifundo ndi chikondi pa iwo amene, ndi chiyembekezo chokoma, analakalaka kuona Iye amene miyoyo yawo inamukonda. Angelo anali kuzungulira iwo, kuwathandiza pa nthawi ya mayesero awo. Iwo amene ananyalanyaza kulandira uthenga wakumwamba anasiyidwa mu mdima, ndipo mkwiyo wa Mulungu unayaka pa iwo, chifukwa sanafune kulandira kuunika kumene Iye anawatumizira kuchokera kumwamba. Okhulupirika aja, ngakhale anakhumudwitsidwa, amene sakanatha kumvetsa chifukwa chake Ambuye wawo sanabwere, sanasiyidwe mu mdima. Kachiwiri anatsogoleredwa ku Mabaibulo awo kuti afufuze nthawi za uneneri. Dzanja la Ambuye linachotsedwa pa ziwerengerozo, ndipo kulakwikako—kumodzi kokha—kunafotokozedwa.</w:t>
      </w:r>
    </w:p>
    <w:p>
      <w:pPr>
        <w:pStyle w:val="ArticleBody"/>
        <w:jc w:val="left"/>
      </w:pPr>
      <w:r>
        <w:rPr>
          <w:rFonts w:ascii="Times New Roman" w:hAnsi="Times New Roman" w:eastAsia="Times New Roman" w:cs="Times New Roman"/>
        </w:rPr>
        <w:t>Ici, elle explique l’erreur contenue dans les chiffres du Tableau de 1843, et elle a déjà établi que ces chiffres représentent les périodes prophétiques. « Ils virent que les périodes prophétiques s’étendaient jusqu’en 1844, et que les mêmes preuves qu’ils avaient présentées pour montrer que les périodes prophétiques prenaient fin en 1843 démontraient qu’elles s’achèveraient en 1844. » Fin de la discussion ! Ellen White appose son sceau d’approbation sur le 2520.</w:t>
      </w:r>
    </w:p>
    <w:p>
      <w:pPr>
        <w:pStyle w:val="ArticleBody"/>
        <w:jc w:val="left"/>
      </w:pPr>
      <w:r>
        <w:rPr>
          <w:rFonts w:ascii="Times New Roman" w:hAnsi="Times New Roman" w:eastAsia="Times New Roman" w:cs="Times New Roman"/>
        </w:rPr>
        <w:t>There are only three prophetic periods on the 1843 Chart that they understood ended in 1843: The 1335, the 2520, and the 2300. God held His hand over a mistake in some of the figures—the prophetic periods on this Chart—until His hand was removed. When He removed His hand, the faithful waiting ones were led to study the prophetic periods again and found that the same evidence that led them to present that the prophetic periods closed in 1843 was then recognized to prove that two ended in 1844.</w:t>
      </w:r>
    </w:p>
    <w:p>
      <w:pPr>
        <w:pStyle w:val="ArticleBody"/>
        <w:jc w:val="left"/>
      </w:pPr>
      <w:r>
        <w:rPr>
          <w:rFonts w:ascii="Times New Roman" w:hAnsi="Times New Roman" w:eastAsia="Times New Roman" w:cs="Times New Roman"/>
        </w:rPr>
        <w:t>1335</w:t>
      </w:r>
      <w:r>
        <w:rPr>
          <w:rFonts w:ascii="Malgun Gothic" w:hAnsi="Malgun Gothic" w:eastAsia="Malgun Gothic" w:cs="Malgun Gothic"/>
        </w:rPr>
        <w:t>을은</w:t>
      </w:r>
      <w:r>
        <w:rPr>
          <w:rFonts w:ascii="Times New Roman" w:hAnsi="Times New Roman" w:eastAsia="Times New Roman" w:cs="Times New Roman"/>
        </w:rPr>
        <w:t xml:space="preserve"> 508</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 2520</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677</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해의</w:t>
      </w:r>
      <w:r>
        <w:rPr>
          <w:rFonts w:ascii="Times New Roman" w:hAnsi="Times New Roman" w:eastAsia="Times New Roman" w:cs="Times New Roman"/>
        </w:rPr>
        <w:t xml:space="preserve"> </w:t>
      </w:r>
      <w:r>
        <w:rPr>
          <w:rFonts w:ascii="Malgun Gothic" w:hAnsi="Malgun Gothic" w:eastAsia="Malgun Gothic" w:cs="Malgun Gothic"/>
        </w:rPr>
        <w:t>충만함의</w:t>
      </w:r>
      <w:r>
        <w:rPr>
          <w:rFonts w:ascii="Times New Roman" w:hAnsi="Times New Roman" w:eastAsia="Times New Roman" w:cs="Times New Roman"/>
        </w:rPr>
        <w:t xml:space="preserve"> </w:t>
      </w:r>
      <w:r>
        <w:rPr>
          <w:rFonts w:ascii="Malgun Gothic" w:hAnsi="Malgun Gothic" w:eastAsia="Malgun Gothic" w:cs="Malgun Gothic"/>
        </w:rPr>
        <w:t>영향을</w:t>
      </w:r>
      <w:r>
        <w:rPr>
          <w:rFonts w:ascii="Times New Roman" w:hAnsi="Times New Roman" w:eastAsia="Times New Roman" w:cs="Times New Roman"/>
        </w:rPr>
        <w:t xml:space="preserve"> </w:t>
      </w:r>
      <w:r>
        <w:rPr>
          <w:rFonts w:ascii="Malgun Gothic" w:hAnsi="Malgun Gothic" w:eastAsia="Malgun Gothic" w:cs="Malgun Gothic"/>
        </w:rPr>
        <w:t>받는다</w:t>
      </w:r>
      <w:r>
        <w:rPr>
          <w:rFonts w:ascii="Times New Roman" w:hAnsi="Times New Roman" w:eastAsia="Times New Roman" w:cs="Times New Roman"/>
        </w:rPr>
        <w:t xml:space="preserve">. </w:t>
      </w:r>
      <w:r>
        <w:rPr>
          <w:rFonts w:ascii="Malgun Gothic" w:hAnsi="Malgun Gothic" w:eastAsia="Malgun Gothic" w:cs="Malgun Gothic"/>
        </w:rPr>
        <w:t>선구자들은</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끝난다고</w:t>
      </w:r>
      <w:r>
        <w:rPr>
          <w:rFonts w:ascii="Times New Roman" w:hAnsi="Times New Roman" w:eastAsia="Times New Roman" w:cs="Times New Roman"/>
        </w:rPr>
        <w:t xml:space="preserve"> </w:t>
      </w:r>
      <w:r>
        <w:rPr>
          <w:rFonts w:ascii="Malgun Gothic" w:hAnsi="Malgun Gothic" w:eastAsia="Malgun Gothic" w:cs="Malgun Gothic"/>
        </w:rPr>
        <w:t>생각했으나</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1843</w:t>
      </w:r>
      <w:r>
        <w:rPr>
          <w:rFonts w:ascii="Malgun Gothic" w:hAnsi="Malgun Gothic" w:eastAsia="Malgun Gothic" w:cs="Malgun Gothic"/>
        </w:rPr>
        <w:t>년을</w:t>
      </w:r>
      <w:r>
        <w:rPr>
          <w:rFonts w:ascii="Times New Roman" w:hAnsi="Times New Roman" w:eastAsia="Times New Roman" w:cs="Times New Roman"/>
        </w:rPr>
        <w:t xml:space="preserve"> </w:t>
      </w:r>
      <w:r>
        <w:rPr>
          <w:rFonts w:ascii="Malgun Gothic" w:hAnsi="Malgun Gothic" w:eastAsia="Malgun Gothic" w:cs="Malgun Gothic"/>
        </w:rPr>
        <w:t>예언하도록</w:t>
      </w:r>
      <w:r>
        <w:rPr>
          <w:rFonts w:ascii="Times New Roman" w:hAnsi="Times New Roman" w:eastAsia="Times New Roman" w:cs="Times New Roman"/>
        </w:rPr>
        <w:t xml:space="preserve"> </w:t>
      </w:r>
      <w:r>
        <w:rPr>
          <w:rFonts w:ascii="Malgun Gothic" w:hAnsi="Malgun Gothic" w:eastAsia="Malgun Gothic" w:cs="Malgun Gothic"/>
        </w:rPr>
        <w:t>그들을</w:t>
      </w:r>
      <w:r>
        <w:rPr>
          <w:rFonts w:ascii="Times New Roman" w:hAnsi="Times New Roman" w:eastAsia="Times New Roman" w:cs="Times New Roman"/>
        </w:rPr>
        <w:t xml:space="preserve"> </w:t>
      </w:r>
      <w:r>
        <w:rPr>
          <w:rFonts w:ascii="Malgun Gothic" w:hAnsi="Malgun Gothic" w:eastAsia="Malgun Gothic" w:cs="Malgun Gothic"/>
        </w:rPr>
        <w:t>이끌었던</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증거가</w:t>
      </w:r>
      <w:r>
        <w:rPr>
          <w:rFonts w:ascii="Times New Roman" w:hAnsi="Times New Roman" w:eastAsia="Times New Roman" w:cs="Times New Roman"/>
        </w:rPr>
        <w:t xml:space="preserve"> 2520 </w:t>
      </w:r>
      <w:r>
        <w:rPr>
          <w:rFonts w:ascii="Malgun Gothic" w:hAnsi="Malgun Gothic" w:eastAsia="Malgun Gothic" w:cs="Malgun Gothic"/>
        </w:rPr>
        <w:t>예언이</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끝났음을</w:t>
      </w:r>
      <w:r>
        <w:rPr>
          <w:rFonts w:ascii="Times New Roman" w:hAnsi="Times New Roman" w:eastAsia="Times New Roman" w:cs="Times New Roman"/>
        </w:rPr>
        <w:t xml:space="preserve"> </w:t>
      </w:r>
      <w:r>
        <w:rPr>
          <w:rFonts w:ascii="Malgun Gothic" w:hAnsi="Malgun Gothic" w:eastAsia="Malgun Gothic" w:cs="Malgun Gothic"/>
        </w:rPr>
        <w:t>입증한다는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깨달았다</w:t>
      </w:r>
      <w:r>
        <w:rPr>
          <w:rFonts w:ascii="Times New Roman" w:hAnsi="Times New Roman" w:eastAsia="Times New Roman" w:cs="Times New Roman"/>
        </w:rPr>
        <w:t xml:space="preserve">. 2300 </w:t>
      </w:r>
      <w:r>
        <w:rPr>
          <w:rFonts w:ascii="Malgun Gothic" w:hAnsi="Malgun Gothic" w:eastAsia="Malgun Gothic" w:cs="Malgun Gothic"/>
        </w:rPr>
        <w:t>예언은</w:t>
      </w:r>
      <w:r>
        <w:rPr>
          <w:rFonts w:ascii="Times New Roman" w:hAnsi="Times New Roman" w:eastAsia="Times New Roman" w:cs="Times New Roman"/>
        </w:rPr>
        <w:t xml:space="preserve"> </w:t>
      </w:r>
      <w:r>
        <w:rPr>
          <w:rFonts w:ascii="Malgun Gothic" w:hAnsi="Malgun Gothic" w:eastAsia="Malgun Gothic" w:cs="Malgun Gothic"/>
        </w:rPr>
        <w:t>기원전</w:t>
      </w:r>
      <w:r>
        <w:rPr>
          <w:rFonts w:ascii="Times New Roman" w:hAnsi="Times New Roman" w:eastAsia="Times New Roman" w:cs="Times New Roman"/>
        </w:rPr>
        <w:t xml:space="preserve"> 457</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시작하며</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1843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끝난다고</w:t>
      </w:r>
      <w:r>
        <w:rPr>
          <w:rFonts w:ascii="Times New Roman" w:hAnsi="Times New Roman" w:eastAsia="Times New Roman" w:cs="Times New Roman"/>
        </w:rPr>
        <w:t xml:space="preserve"> </w:t>
      </w:r>
      <w:r>
        <w:rPr>
          <w:rFonts w:ascii="Malgun Gothic" w:hAnsi="Malgun Gothic" w:eastAsia="Malgun Gothic" w:cs="Malgun Gothic"/>
        </w:rPr>
        <w:t>생각했지만</w:t>
      </w:r>
      <w:r>
        <w:rPr>
          <w:rFonts w:ascii="Times New Roman" w:hAnsi="Times New Roman" w:eastAsia="Times New Roman" w:cs="Times New Roman"/>
        </w:rPr>
        <w:t xml:space="preserve">, </w:t>
      </w:r>
      <w:r>
        <w:rPr>
          <w:rFonts w:ascii="Malgun Gothic" w:hAnsi="Malgun Gothic" w:eastAsia="Malgun Gothic" w:cs="Malgun Gothic"/>
        </w:rPr>
        <w:t>대실망</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예언</w:t>
      </w:r>
      <w:r>
        <w:rPr>
          <w:rFonts w:ascii="Times New Roman" w:hAnsi="Times New Roman" w:eastAsia="Times New Roman" w:cs="Times New Roman"/>
        </w:rPr>
        <w:t xml:space="preserve"> </w:t>
      </w:r>
      <w:r>
        <w:rPr>
          <w:rFonts w:ascii="Malgun Gothic" w:hAnsi="Malgun Gothic" w:eastAsia="Malgun Gothic" w:cs="Malgun Gothic"/>
        </w:rPr>
        <w:t>기간들에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연구를</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끝났음을</w:t>
      </w:r>
      <w:r>
        <w:rPr>
          <w:rFonts w:ascii="Times New Roman" w:hAnsi="Times New Roman" w:eastAsia="Times New Roman" w:cs="Times New Roman"/>
        </w:rPr>
        <w:t xml:space="preserve"> </w:t>
      </w:r>
      <w:r>
        <w:rPr>
          <w:rFonts w:ascii="Malgun Gothic" w:hAnsi="Malgun Gothic" w:eastAsia="Malgun Gothic" w:cs="Malgun Gothic"/>
        </w:rPr>
        <w:t>깨달았다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يوجد ثلاث نبوءات فقط كانوا قد تنبأوا بأنها ستنتهي في سنة 1843، وإحداها تنتهي فعلًا: الـ1335. وهذه النبوءة ليست هي التي بسط الرب يده عليها. فهي تحدد تاريخ الميليّريين من زمن التريث، مرورًا بصراخ منتصف الليل، حتى 22 أكتوبر 1844.</w:t>
      </w:r>
    </w:p>
    <w:p>
      <w:pPr>
        <w:pStyle w:val="ArticleBody"/>
        <w:jc w:val="left"/>
      </w:pPr>
      <w:r>
        <w:rPr>
          <w:rFonts w:ascii="Times New Roman" w:hAnsi="Times New Roman" w:eastAsia="Times New Roman" w:cs="Times New Roman"/>
        </w:rPr>
        <w:t>An der gestrigen Präsentation schlossen wir mit diesem Zitat von Ellen White: „Gesegnet sind die Augen, die die Dinge sahen, die in den Jahren 1843 und 1844 gesehen wurden.“ Dies ist: „Gesegnet ist, wer zu 1843 kommt.“ Im nächsten Absatz sagt sie: „Die Botschaft wurde gegeben. Und es sollte kein Verzug sein, die Botschaft zu wiederholen; denn die Zeichen der Zeit erfüllen sich; das abschließende Werk muss getan werden. Ein großes Werk wird in kurzer Zeit getan werden. Bald wird nach Gottes Bestimmung eine Botschaft gegeben werden, die zu einem lauten Ruf anschwellen wird. Dann wird Daniel in seinem Los stehen, um sein Zeugnis zu geben.“ Manuscript Releases, Band 21, 437.</w:t>
      </w:r>
    </w:p>
    <w:p>
      <w:pPr>
        <w:pStyle w:val="ArticleBody"/>
        <w:jc w:val="left"/>
      </w:pPr>
      <w:r>
        <w:rPr>
          <w:rFonts w:ascii="Nirmala UI" w:hAnsi="Nirmala UI" w:eastAsia="Nirmala UI" w:cs="Nirmala UI"/>
        </w:rPr>
        <w:t>ദാനീയേൽ</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നിയമിത</w:t>
      </w:r>
      <w:r>
        <w:rPr>
          <w:rFonts w:ascii="Times New Roman" w:hAnsi="Times New Roman" w:eastAsia="Times New Roman" w:cs="Times New Roman"/>
        </w:rPr>
        <w:t xml:space="preserve"> </w:t>
      </w:r>
      <w:r>
        <w:rPr>
          <w:rFonts w:ascii="Nirmala UI" w:hAnsi="Nirmala UI" w:eastAsia="Nirmala UI" w:cs="Nirmala UI"/>
        </w:rPr>
        <w:t>അവകാശത്തിൽ</w:t>
      </w:r>
      <w:r>
        <w:rPr>
          <w:rFonts w:ascii="Times New Roman" w:hAnsi="Times New Roman" w:eastAsia="Times New Roman" w:cs="Times New Roman"/>
        </w:rPr>
        <w:t xml:space="preserve"> </w:t>
      </w:r>
      <w:r>
        <w:rPr>
          <w:rFonts w:ascii="Nirmala UI" w:hAnsi="Nirmala UI" w:eastAsia="Nirmala UI" w:cs="Nirmala UI"/>
        </w:rPr>
        <w:t>നിലകൊള്ളുന്നതു</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12-</w:t>
      </w:r>
      <w:r>
        <w:rPr>
          <w:rFonts w:ascii="Nirmala UI" w:hAnsi="Nirmala UI" w:eastAsia="Nirmala UI" w:cs="Nirmala UI"/>
        </w:rPr>
        <w:t>ലെ</w:t>
      </w:r>
      <w:r>
        <w:rPr>
          <w:rFonts w:ascii="Times New Roman" w:hAnsi="Times New Roman" w:eastAsia="Times New Roman" w:cs="Times New Roman"/>
        </w:rPr>
        <w:t xml:space="preserve"> 13-</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വാക്യമാണ്</w:t>
      </w:r>
      <w:r>
        <w:rPr>
          <w:rFonts w:ascii="Times New Roman" w:hAnsi="Times New Roman" w:eastAsia="Times New Roman" w:cs="Times New Roman"/>
        </w:rPr>
        <w:t>. “1843-</w:t>
      </w:r>
      <w:r>
        <w:rPr>
          <w:rFonts w:ascii="Nirmala UI" w:hAnsi="Nirmala UI" w:eastAsia="Nirmala UI" w:cs="Nirmala UI"/>
        </w:rPr>
        <w:t>ലും</w:t>
      </w:r>
      <w:r>
        <w:rPr>
          <w:rFonts w:ascii="Times New Roman" w:hAnsi="Times New Roman" w:eastAsia="Times New Roman" w:cs="Times New Roman"/>
        </w:rPr>
        <w:t xml:space="preserve">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കാര്യങ്ങളെ</w:t>
      </w:r>
      <w:r>
        <w:rPr>
          <w:rFonts w:ascii="Times New Roman" w:hAnsi="Times New Roman" w:eastAsia="Times New Roman" w:cs="Times New Roman"/>
        </w:rPr>
        <w:t xml:space="preserve"> </w:t>
      </w:r>
      <w:r>
        <w:rPr>
          <w:rFonts w:ascii="Nirmala UI" w:hAnsi="Nirmala UI" w:eastAsia="Nirmala UI" w:cs="Nirmala UI"/>
        </w:rPr>
        <w:t>കണ്ട</w:t>
      </w:r>
      <w:r>
        <w:rPr>
          <w:rFonts w:ascii="Times New Roman" w:hAnsi="Times New Roman" w:eastAsia="Times New Roman" w:cs="Times New Roman"/>
        </w:rPr>
        <w:t xml:space="preserve"> </w:t>
      </w:r>
      <w:r>
        <w:rPr>
          <w:rFonts w:ascii="Nirmala UI" w:hAnsi="Nirmala UI" w:eastAsia="Nirmala UI" w:cs="Nirmala UI"/>
        </w:rPr>
        <w:t>കണ്ണുകൾ</w:t>
      </w:r>
      <w:r>
        <w:rPr>
          <w:rFonts w:ascii="Times New Roman" w:hAnsi="Times New Roman" w:eastAsia="Times New Roman" w:cs="Times New Roman"/>
        </w:rPr>
        <w:t xml:space="preserve"> </w:t>
      </w:r>
      <w:r>
        <w:rPr>
          <w:rFonts w:ascii="Nirmala UI" w:hAnsi="Nirmala UI" w:eastAsia="Nirmala UI" w:cs="Nirmala UI"/>
        </w:rPr>
        <w:t>ഭാഗ്യമുള്ളവയാണ്</w:t>
      </w:r>
      <w:r>
        <w:rPr>
          <w:rFonts w:ascii="Times New Roman" w:hAnsi="Times New Roman" w:eastAsia="Times New Roman" w:cs="Times New Roman"/>
        </w:rPr>
        <w:t xml:space="preserve">” </w:t>
      </w:r>
      <w:r>
        <w:rPr>
          <w:rFonts w:ascii="Nirmala UI" w:hAnsi="Nirmala UI" w:eastAsia="Nirmala UI" w:cs="Nirmala UI"/>
        </w:rPr>
        <w:t>എന്നത്</w:t>
      </w:r>
      <w:r>
        <w:rPr>
          <w:rFonts w:ascii="Times New Roman" w:hAnsi="Times New Roman" w:eastAsia="Times New Roman" w:cs="Times New Roman"/>
        </w:rPr>
        <w:t xml:space="preserve"> 12-</w:t>
      </w:r>
      <w:r>
        <w:rPr>
          <w:rFonts w:ascii="Nirmala UI" w:hAnsi="Nirmala UI" w:eastAsia="Nirmala UI" w:cs="Nirmala UI"/>
        </w:rPr>
        <w:t>ാം</w:t>
      </w:r>
      <w:r>
        <w:rPr>
          <w:rFonts w:ascii="Times New Roman" w:hAnsi="Times New Roman" w:eastAsia="Times New Roman" w:cs="Times New Roman"/>
        </w:rPr>
        <w:t xml:space="preserve"> </w:t>
      </w:r>
      <w:r>
        <w:rPr>
          <w:rFonts w:ascii="Nirmala UI" w:hAnsi="Nirmala UI" w:eastAsia="Nirmala UI" w:cs="Nirmala UI"/>
        </w:rPr>
        <w:t>വാക്യമാണ്</w:t>
      </w:r>
      <w:r>
        <w:rPr>
          <w:rFonts w:ascii="Times New Roman" w:hAnsi="Times New Roman" w:eastAsia="Times New Roman" w:cs="Times New Roman"/>
        </w:rPr>
        <w:t xml:space="preserve">. </w:t>
      </w:r>
      <w:r>
        <w:rPr>
          <w:rFonts w:ascii="Nirmala UI" w:hAnsi="Nirmala UI" w:eastAsia="Nirmala UI" w:cs="Nirmala UI"/>
        </w:rPr>
        <w:t>എലൻ</w:t>
      </w:r>
      <w:r>
        <w:rPr>
          <w:rFonts w:ascii="Times New Roman" w:hAnsi="Times New Roman" w:eastAsia="Times New Roman" w:cs="Times New Roman"/>
        </w:rPr>
        <w:t xml:space="preserve"> </w:t>
      </w:r>
      <w:r>
        <w:rPr>
          <w:rFonts w:ascii="Nirmala UI" w:hAnsi="Nirmala UI" w:eastAsia="Nirmala UI" w:cs="Nirmala UI"/>
        </w:rPr>
        <w:t>വൈറ്റ്</w:t>
      </w:r>
      <w:r>
        <w:rPr>
          <w:rFonts w:ascii="Times New Roman" w:hAnsi="Times New Roman" w:eastAsia="Times New Roman" w:cs="Times New Roman"/>
        </w:rPr>
        <w:t xml:space="preserve"> </w:t>
      </w:r>
      <w:r>
        <w:rPr>
          <w:rFonts w:ascii="Nirmala UI" w:hAnsi="Nirmala UI" w:eastAsia="Nirmala UI" w:cs="Nirmala UI"/>
        </w:rPr>
        <w:t>ദാനീയേൽ</w:t>
      </w:r>
      <w:r>
        <w:rPr>
          <w:rFonts w:ascii="Times New Roman" w:hAnsi="Times New Roman" w:eastAsia="Times New Roman" w:cs="Times New Roman"/>
        </w:rPr>
        <w:t xml:space="preserve"> 12:12–13-</w:t>
      </w:r>
      <w:r>
        <w:rPr>
          <w:rFonts w:ascii="Nirmala UI" w:hAnsi="Nirmala UI" w:eastAsia="Nirmala UI" w:cs="Nirmala UI"/>
        </w:rPr>
        <w:t>നെക്കുറിച്ചു</w:t>
      </w:r>
      <w:r>
        <w:rPr>
          <w:rFonts w:ascii="Times New Roman" w:hAnsi="Times New Roman" w:eastAsia="Times New Roman" w:cs="Times New Roman"/>
        </w:rPr>
        <w:t xml:space="preserve"> </w:t>
      </w:r>
      <w:r>
        <w:rPr>
          <w:rFonts w:ascii="Nirmala UI" w:hAnsi="Nirmala UI" w:eastAsia="Nirmala UI" w:cs="Nirmala UI"/>
        </w:rPr>
        <w:t>ദൈവിക</w:t>
      </w:r>
      <w:r>
        <w:rPr>
          <w:rFonts w:ascii="Times New Roman" w:hAnsi="Times New Roman" w:eastAsia="Times New Roman" w:cs="Times New Roman"/>
        </w:rPr>
        <w:t xml:space="preserve"> </w:t>
      </w:r>
      <w:r>
        <w:rPr>
          <w:rFonts w:ascii="Nirmala UI" w:hAnsi="Nirmala UI" w:eastAsia="Nirmala UI" w:cs="Nirmala UI"/>
        </w:rPr>
        <w:t>വ്യാഖ്യാനം</w:t>
      </w:r>
      <w:r>
        <w:rPr>
          <w:rFonts w:ascii="Times New Roman" w:hAnsi="Times New Roman" w:eastAsia="Times New Roman" w:cs="Times New Roman"/>
        </w:rPr>
        <w:t xml:space="preserve"> </w:t>
      </w:r>
      <w:r>
        <w:rPr>
          <w:rFonts w:ascii="Nirmala UI" w:hAnsi="Nirmala UI" w:eastAsia="Nirmala UI" w:cs="Nirmala UI"/>
        </w:rPr>
        <w:t>നല്കിക്കൊണ്ട്</w:t>
      </w:r>
      <w:r>
        <w:rPr>
          <w:rFonts w:ascii="Times New Roman" w:hAnsi="Times New Roman" w:eastAsia="Times New Roman" w:cs="Times New Roman"/>
        </w:rPr>
        <w:t xml:space="preserve">, </w:t>
      </w:r>
      <w:r>
        <w:rPr>
          <w:rFonts w:ascii="Nirmala UI" w:hAnsi="Nirmala UI" w:eastAsia="Nirmala UI" w:cs="Nirmala UI"/>
        </w:rPr>
        <w:t>ഈ</w:t>
      </w:r>
      <w:r>
        <w:rPr>
          <w:rFonts w:ascii="Times New Roman" w:hAnsi="Times New Roman" w:eastAsia="Times New Roman" w:cs="Times New Roman"/>
        </w:rPr>
        <w:t xml:space="preserve"> </w:t>
      </w:r>
      <w:r>
        <w:rPr>
          <w:rFonts w:ascii="Nirmala UI" w:hAnsi="Nirmala UI" w:eastAsia="Nirmala UI" w:cs="Nirmala UI"/>
        </w:rPr>
        <w:t>വാക്യങ്ങൾ</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കാലപ്രവചനത്തെക്കുറിച്ചല്ല</w:t>
      </w:r>
      <w:r>
        <w:rPr>
          <w:rFonts w:ascii="Times New Roman" w:hAnsi="Times New Roman" w:eastAsia="Times New Roman" w:cs="Times New Roman"/>
        </w:rPr>
        <w:t xml:space="preserve">, </w:t>
      </w:r>
      <w:r>
        <w:rPr>
          <w:rFonts w:ascii="Nirmala UI" w:hAnsi="Nirmala UI" w:eastAsia="Nirmala UI" w:cs="Nirmala UI"/>
        </w:rPr>
        <w:t>മറിച്ച്</w:t>
      </w:r>
      <w:r>
        <w:rPr>
          <w:rFonts w:ascii="Times New Roman" w:hAnsi="Times New Roman" w:eastAsia="Times New Roman" w:cs="Times New Roman"/>
        </w:rPr>
        <w:t xml:space="preserve"> 1843-</w:t>
      </w:r>
      <w:r>
        <w:rPr>
          <w:rFonts w:ascii="Nirmala UI" w:hAnsi="Nirmala UI" w:eastAsia="Nirmala UI" w:cs="Nirmala UI"/>
        </w:rPr>
        <w:t>നോടനുബന്ധിച്ച</w:t>
      </w:r>
      <w:r>
        <w:rPr>
          <w:rFonts w:ascii="Times New Roman" w:hAnsi="Times New Roman" w:eastAsia="Times New Roman" w:cs="Times New Roman"/>
        </w:rPr>
        <w:t xml:space="preserve"> </w:t>
      </w:r>
      <w:r>
        <w:rPr>
          <w:rFonts w:ascii="Nirmala UI" w:hAnsi="Nirmala UI" w:eastAsia="Nirmala UI" w:cs="Nirmala UI"/>
        </w:rPr>
        <w:t>തെറ്റിദ്ധാരണ</w:t>
      </w:r>
      <w:r>
        <w:rPr>
          <w:rFonts w:ascii="Times New Roman" w:hAnsi="Times New Roman" w:eastAsia="Times New Roman" w:cs="Times New Roman"/>
        </w:rPr>
        <w:t xml:space="preserve"> </w:t>
      </w:r>
      <w:r>
        <w:rPr>
          <w:rFonts w:ascii="Nirmala UI" w:hAnsi="Nirmala UI" w:eastAsia="Nirmala UI" w:cs="Nirmala UI"/>
        </w:rPr>
        <w:t>മൂലം</w:t>
      </w:r>
      <w:r>
        <w:rPr>
          <w:rFonts w:ascii="Times New Roman" w:hAnsi="Times New Roman" w:eastAsia="Times New Roman" w:cs="Times New Roman"/>
        </w:rPr>
        <w:t xml:space="preserve"> </w:t>
      </w:r>
      <w:r>
        <w:rPr>
          <w:rFonts w:ascii="Nirmala UI" w:hAnsi="Nirmala UI" w:eastAsia="Nirmala UI" w:cs="Nirmala UI"/>
        </w:rPr>
        <w:t>ഉളവായി</w:t>
      </w:r>
      <w:r>
        <w:rPr>
          <w:rFonts w:ascii="Times New Roman" w:hAnsi="Times New Roman" w:eastAsia="Times New Roman" w:cs="Times New Roman"/>
        </w:rPr>
        <w:t xml:space="preserve"> </w:t>
      </w:r>
      <w:r>
        <w:rPr>
          <w:rFonts w:ascii="Nirmala UI" w:hAnsi="Nirmala UI" w:eastAsia="Nirmala UI" w:cs="Nirmala UI"/>
        </w:rPr>
        <w:t>താമസകാലം</w:t>
      </w:r>
      <w:r>
        <w:rPr>
          <w:rFonts w:ascii="Times New Roman" w:hAnsi="Times New Roman" w:eastAsia="Times New Roman" w:cs="Times New Roman"/>
        </w:rPr>
        <w:t xml:space="preserve"> </w:t>
      </w:r>
      <w:r>
        <w:rPr>
          <w:rFonts w:ascii="Nirmala UI" w:hAnsi="Nirmala UI" w:eastAsia="Nirmala UI" w:cs="Nirmala UI"/>
        </w:rPr>
        <w:t>സൃഷ്ടിക്കുന്നതും</w:t>
      </w:r>
      <w:r>
        <w:rPr>
          <w:rFonts w:ascii="Times New Roman" w:hAnsi="Times New Roman" w:eastAsia="Times New Roman" w:cs="Times New Roman"/>
        </w:rPr>
        <w:t xml:space="preserve"> 1843-</w:t>
      </w:r>
      <w:r>
        <w:rPr>
          <w:rFonts w:ascii="Nirmala UI" w:hAnsi="Nirmala UI" w:eastAsia="Nirmala UI" w:cs="Nirmala UI"/>
        </w:rPr>
        <w:t>യും</w:t>
      </w:r>
      <w:r>
        <w:rPr>
          <w:rFonts w:ascii="Times New Roman" w:hAnsi="Times New Roman" w:eastAsia="Times New Roman" w:cs="Times New Roman"/>
        </w:rPr>
        <w:t xml:space="preserve"> 1844-</w:t>
      </w:r>
      <w:r>
        <w:rPr>
          <w:rFonts w:ascii="Nirmala UI" w:hAnsi="Nirmala UI" w:eastAsia="Nirmala UI" w:cs="Nirmala UI"/>
        </w:rPr>
        <w:t>യും</w:t>
      </w:r>
      <w:r>
        <w:rPr>
          <w:rFonts w:ascii="Times New Roman" w:hAnsi="Times New Roman" w:eastAsia="Times New Roman" w:cs="Times New Roman"/>
        </w:rPr>
        <w:t xml:space="preserve"> </w:t>
      </w:r>
      <w:r>
        <w:rPr>
          <w:rFonts w:ascii="Nirmala UI" w:hAnsi="Nirmala UI" w:eastAsia="Nirmala UI" w:cs="Nirmala UI"/>
        </w:rPr>
        <w:t>ഉൾക്കൊള്ളുന്നതുമായ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അനുഭവത്തെക്കുറിച്ചാണെന്ന്</w:t>
      </w:r>
      <w:r>
        <w:rPr>
          <w:rFonts w:ascii="Times New Roman" w:hAnsi="Times New Roman" w:eastAsia="Times New Roman" w:cs="Times New Roman"/>
        </w:rPr>
        <w:t xml:space="preserve"> </w:t>
      </w:r>
      <w:r>
        <w:rPr>
          <w:rFonts w:ascii="Nirmala UI" w:hAnsi="Nirmala UI" w:eastAsia="Nirmala UI" w:cs="Nirmala UI"/>
        </w:rPr>
        <w:t>പറയുന്നു</w:t>
      </w:r>
      <w:r>
        <w:rPr>
          <w:rFonts w:ascii="Times New Roman" w:hAnsi="Times New Roman" w:eastAsia="Times New Roman" w:cs="Times New Roman"/>
        </w:rPr>
        <w:t xml:space="preserve">. </w:t>
      </w:r>
      <w:r>
        <w:rPr>
          <w:rFonts w:ascii="Nirmala UI" w:hAnsi="Nirmala UI" w:eastAsia="Nirmala UI" w:cs="Nirmala UI"/>
        </w:rPr>
        <w:t>താമസകാലം</w:t>
      </w:r>
      <w:r>
        <w:rPr>
          <w:rFonts w:ascii="Times New Roman" w:hAnsi="Times New Roman" w:eastAsia="Times New Roman" w:cs="Times New Roman"/>
        </w:rPr>
        <w:t xml:space="preserve"> </w:t>
      </w:r>
      <w:r>
        <w:rPr>
          <w:rFonts w:ascii="Nirmala UI" w:hAnsi="Nirmala UI" w:eastAsia="Nirmala UI" w:cs="Nirmala UI"/>
        </w:rPr>
        <w:t>വരുമ്പോൾ</w:t>
      </w:r>
      <w:r>
        <w:rPr>
          <w:rFonts w:ascii="Times New Roman" w:hAnsi="Times New Roman" w:eastAsia="Times New Roman" w:cs="Times New Roman"/>
        </w:rPr>
        <w:t>, “</w:t>
      </w:r>
      <w:r>
        <w:rPr>
          <w:rFonts w:ascii="Nirmala UI" w:hAnsi="Nirmala UI" w:eastAsia="Nirmala UI" w:cs="Nirmala UI"/>
        </w:rPr>
        <w:t>കാത്തിരിക്കുന്നവൻ</w:t>
      </w:r>
      <w:r>
        <w:rPr>
          <w:rFonts w:ascii="Times New Roman" w:hAnsi="Times New Roman" w:eastAsia="Times New Roman" w:cs="Times New Roman"/>
        </w:rPr>
        <w:t xml:space="preserve"> </w:t>
      </w:r>
      <w:r>
        <w:rPr>
          <w:rFonts w:ascii="Nirmala UI" w:hAnsi="Nirmala UI" w:eastAsia="Nirmala UI" w:cs="Nirmala UI"/>
        </w:rPr>
        <w:t>ഭാഗ്യവാൻ</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താമസിച്ചാലും</w:t>
      </w:r>
      <w:r>
        <w:rPr>
          <w:rFonts w:ascii="Times New Roman" w:hAnsi="Times New Roman" w:eastAsia="Times New Roman" w:cs="Times New Roman"/>
        </w:rPr>
        <w:t xml:space="preserve"> </w:t>
      </w:r>
      <w:r>
        <w:rPr>
          <w:rFonts w:ascii="Nirmala UI" w:hAnsi="Nirmala UI" w:eastAsia="Nirmala UI" w:cs="Nirmala UI"/>
        </w:rPr>
        <w:t>അതിന്നായി</w:t>
      </w:r>
      <w:r>
        <w:rPr>
          <w:rFonts w:ascii="Times New Roman" w:hAnsi="Times New Roman" w:eastAsia="Times New Roman" w:cs="Times New Roman"/>
        </w:rPr>
        <w:t xml:space="preserve"> </w:t>
      </w:r>
      <w:r>
        <w:rPr>
          <w:rFonts w:ascii="Nirmala UI" w:hAnsi="Nirmala UI" w:eastAsia="Nirmala UI" w:cs="Nirmala UI"/>
        </w:rPr>
        <w:t>കാത്തിരിക്ക</w:t>
      </w:r>
      <w:r>
        <w:rPr>
          <w:rFonts w:ascii="Times New Roman" w:hAnsi="Times New Roman" w:eastAsia="Times New Roman" w:cs="Times New Roman"/>
        </w:rPr>
        <w:t xml:space="preserve">. </w:t>
      </w:r>
      <w:r>
        <w:rPr>
          <w:rFonts w:ascii="Nirmala UI" w:hAnsi="Nirmala UI" w:eastAsia="Nirmala UI" w:cs="Nirmala UI"/>
        </w:rPr>
        <w:t>താമസകാലം</w:t>
      </w:r>
      <w:r>
        <w:rPr>
          <w:rFonts w:ascii="Times New Roman" w:hAnsi="Times New Roman" w:eastAsia="Times New Roman" w:cs="Times New Roman"/>
        </w:rPr>
        <w:t xml:space="preserve"> </w:t>
      </w:r>
      <w:r>
        <w:rPr>
          <w:rFonts w:ascii="Nirmala UI" w:hAnsi="Nirmala UI" w:eastAsia="Nirmala UI" w:cs="Nirmala UI"/>
        </w:rPr>
        <w:t>മുതൽ</w:t>
      </w:r>
      <w:r>
        <w:rPr>
          <w:rFonts w:ascii="Times New Roman" w:hAnsi="Times New Roman" w:eastAsia="Times New Roman" w:cs="Times New Roman"/>
        </w:rPr>
        <w:t xml:space="preserve"> </w:t>
      </w:r>
      <w:r>
        <w:rPr>
          <w:rFonts w:ascii="Nirmala UI" w:hAnsi="Nirmala UI" w:eastAsia="Nirmala UI" w:cs="Nirmala UI"/>
        </w:rPr>
        <w:t>വാതിൽ</w:t>
      </w:r>
      <w:r>
        <w:rPr>
          <w:rFonts w:ascii="Times New Roman" w:hAnsi="Times New Roman" w:eastAsia="Times New Roman" w:cs="Times New Roman"/>
        </w:rPr>
        <w:t xml:space="preserve"> </w:t>
      </w:r>
      <w:r>
        <w:rPr>
          <w:rFonts w:ascii="Nirmala UI" w:hAnsi="Nirmala UI" w:eastAsia="Nirmala UI" w:cs="Nirmala UI"/>
        </w:rPr>
        <w:t>അടയ്ക്കപ്പെടുന്നതുവരെ</w:t>
      </w:r>
      <w:r>
        <w:rPr>
          <w:rFonts w:ascii="Times New Roman" w:hAnsi="Times New Roman" w:eastAsia="Times New Roman" w:cs="Times New Roman"/>
        </w:rPr>
        <w:t xml:space="preserve"> </w:t>
      </w:r>
      <w:r>
        <w:rPr>
          <w:rFonts w:ascii="Nirmala UI" w:hAnsi="Nirmala UI" w:eastAsia="Nirmala UI" w:cs="Nirmala UI"/>
        </w:rPr>
        <w:t>വിശ്വസ്തമായി</w:t>
      </w:r>
      <w:r>
        <w:rPr>
          <w:rFonts w:ascii="Times New Roman" w:hAnsi="Times New Roman" w:eastAsia="Times New Roman" w:cs="Times New Roman"/>
        </w:rPr>
        <w:t xml:space="preserve"> </w:t>
      </w:r>
      <w:r>
        <w:rPr>
          <w:rFonts w:ascii="Nirmala UI" w:hAnsi="Nirmala UI" w:eastAsia="Nirmala UI" w:cs="Nirmala UI"/>
        </w:rPr>
        <w:t>കാത്തിരിക്കുന്നവൻ</w:t>
      </w:r>
      <w:r>
        <w:rPr>
          <w:rFonts w:ascii="Times New Roman" w:hAnsi="Times New Roman" w:eastAsia="Times New Roman" w:cs="Times New Roman"/>
        </w:rPr>
        <w:t xml:space="preserve"> </w:t>
      </w:r>
      <w:r>
        <w:rPr>
          <w:rFonts w:ascii="Nirmala UI" w:hAnsi="Nirmala UI" w:eastAsia="Nirmala UI" w:cs="Nirmala UI"/>
        </w:rPr>
        <w:t>ഭാഗ്യവാനാകുന്നു</w:t>
      </w:r>
      <w:r>
        <w:rPr>
          <w:rFonts w:ascii="Times New Roman" w:hAnsi="Times New Roman" w:eastAsia="Times New Roman" w:cs="Times New Roman"/>
        </w:rPr>
        <w:t>. 1843-</w:t>
      </w:r>
      <w:r>
        <w:rPr>
          <w:rFonts w:ascii="Nirmala UI" w:hAnsi="Nirmala UI" w:eastAsia="Nirmala UI" w:cs="Nirmala UI"/>
        </w:rPr>
        <w:t>ലും</w:t>
      </w:r>
      <w:r>
        <w:rPr>
          <w:rFonts w:ascii="Times New Roman" w:hAnsi="Times New Roman" w:eastAsia="Times New Roman" w:cs="Times New Roman"/>
        </w:rPr>
        <w:t xml:space="preserve"> 1844-</w:t>
      </w:r>
      <w:r>
        <w:rPr>
          <w:rFonts w:ascii="Nirmala UI" w:hAnsi="Nirmala UI" w:eastAsia="Nirmala UI" w:cs="Nirmala UI"/>
        </w:rPr>
        <w:t>ലും</w:t>
      </w:r>
      <w:r>
        <w:rPr>
          <w:rFonts w:ascii="Times New Roman" w:hAnsi="Times New Roman" w:eastAsia="Times New Roman" w:cs="Times New Roman"/>
        </w:rPr>
        <w:t xml:space="preserve"> </w:t>
      </w:r>
      <w:r>
        <w:rPr>
          <w:rFonts w:ascii="Nirmala UI" w:hAnsi="Nirmala UI" w:eastAsia="Nirmala UI" w:cs="Nirmala UI"/>
        </w:rPr>
        <w:t>വിശ്വസ്തർ</w:t>
      </w:r>
      <w:r>
        <w:rPr>
          <w:rFonts w:ascii="Times New Roman" w:hAnsi="Times New Roman" w:eastAsia="Times New Roman" w:cs="Times New Roman"/>
        </w:rPr>
        <w:t xml:space="preserve"> </w:t>
      </w:r>
      <w:r>
        <w:rPr>
          <w:rFonts w:ascii="Nirmala UI" w:hAnsi="Nirmala UI" w:eastAsia="Nirmala UI" w:cs="Nirmala UI"/>
        </w:rPr>
        <w:t>കാണുന്നതു</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അതിപരിശുദ്ധസ്ഥലത്തിലേക്കു</w:t>
      </w:r>
      <w:r>
        <w:rPr>
          <w:rFonts w:ascii="Times New Roman" w:hAnsi="Times New Roman" w:eastAsia="Times New Roman" w:cs="Times New Roman"/>
        </w:rPr>
        <w:t xml:space="preserve"> </w:t>
      </w:r>
      <w:r>
        <w:rPr>
          <w:rFonts w:ascii="Nirmala UI" w:hAnsi="Nirmala UI" w:eastAsia="Nirmala UI" w:cs="Nirmala UI"/>
        </w:rPr>
        <w:t>നയിക്കുന്ന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അനുഗ്രഹമാണ്</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Profecia celor 1335 s-a încheiat în 1843, marcând sosirea Strigătului de la Miezul Nopții. Cele 2520 și 2300 de perioade profetice se încheie în 1844. Ellen White spune că aceleași dovezi care i-au condus să proclame că cele 2520, 2300 și 1335 se încheiau în 1843 au fost atunci recunoscute ca dovedind că ele aveau să se încheie în 1844.</w:t>
      </w:r>
    </w:p>
    <w:p>
      <w:pPr>
        <w:pStyle w:val="ArticleScripture"/>
        <w:jc w:val="left"/>
      </w:pPr>
      <w:r>
        <w:rPr>
          <w:rFonts w:ascii="Nirmala UI" w:hAnsi="Nirmala UI" w:eastAsia="Nirmala UI" w:cs="Nirmala UI"/>
        </w:rPr>
        <w:t>गॉड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चमका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ठहरने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पाया</w:t>
      </w:r>
      <w:r>
        <w:rPr>
          <w:rFonts w:ascii="Times New Roman" w:hAnsi="Times New Roman" w:eastAsia="Times New Roman" w:cs="Times New Roman"/>
        </w:rPr>
        <w:t>—“</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बाट</w:t>
      </w:r>
      <w:r>
        <w:rPr>
          <w:rFonts w:ascii="Times New Roman" w:hAnsi="Times New Roman" w:eastAsia="Times New Roman" w:cs="Times New Roman"/>
        </w:rPr>
        <w:t xml:space="preserve"> </w:t>
      </w:r>
      <w:r>
        <w:rPr>
          <w:rFonts w:ascii="Nirmala UI" w:hAnsi="Nirmala UI" w:eastAsia="Nirmala UI" w:cs="Nirmala UI"/>
        </w:rPr>
        <w:t>जोहते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मसीह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तत्काल</w:t>
      </w:r>
      <w:r>
        <w:rPr>
          <w:rFonts w:ascii="Times New Roman" w:hAnsi="Times New Roman" w:eastAsia="Times New Roman" w:cs="Times New Roman"/>
        </w:rPr>
        <w:t xml:space="preserve"> </w:t>
      </w:r>
      <w:r>
        <w:rPr>
          <w:rFonts w:ascii="Nirmala UI" w:hAnsi="Nirmala UI" w:eastAsia="Nirmala UI" w:cs="Nirmala UI"/>
        </w:rPr>
        <w:t>आगमन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विलंब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अनदेखा</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प्रगट</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निश्चित</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गहन</w:t>
      </w:r>
      <w:r>
        <w:rPr>
          <w:rFonts w:ascii="Times New Roman" w:hAnsi="Times New Roman" w:eastAsia="Times New Roman" w:cs="Times New Roman"/>
        </w:rPr>
        <w:t xml:space="preserve"> </w:t>
      </w:r>
      <w:r>
        <w:rPr>
          <w:rFonts w:ascii="Nirmala UI" w:hAnsi="Nirmala UI" w:eastAsia="Nirmala UI" w:cs="Nirmala UI"/>
        </w:rPr>
        <w:t>निराशा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उठकर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उत्साह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ग्रहण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1843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चिह्नित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Satan da mala'ikunsa sun yi nasara a kansu, kuma waɗanda ba za su karɓi saƙon ba suka taya kansu murna saboda hangen nesa na nesa da hikimarsu wajen ƙin karɓar ruɗin nan, kamar yadda suka kira shi. Ba su gane cewa suna ƙin shawarar Allah a kan kansu ba, kuma suna aiki tare da jituwa da Satan da mala'ikunsa domin rikita mutanen Allah, waɗanda suke rayuwa bisa ga saƙon da aka aiko daga sama.</w:t>
      </w:r>
    </w:p>
    <w:p>
      <w:pPr>
        <w:pStyle w:val="ArticleBody"/>
        <w:jc w:val="left"/>
      </w:pPr>
      <w:r>
        <w:rPr>
          <w:rFonts w:ascii="Times New Roman" w:hAnsi="Times New Roman" w:eastAsia="Times New Roman" w:cs="Times New Roman"/>
        </w:rPr>
        <w:t>Nani cikin wannan tarihin akwai rukuni biyu na masu bauta. Rukuni marar aminci yana yi wa masu jira ba’a, amma ana komar da masu jiran zuwa ga lokutan annabci, kuma suna fahimtar cewa hujja ɗaya da ta sa suka gane cikar 2520 da 2300 a 1843 ita ce ta tabbatar cewa sun ƙare a 1844.</w:t>
      </w:r>
    </w:p>
    <w:p>
      <w:pPr>
        <w:pStyle w:val="ArticleBody"/>
        <w:jc w:val="left"/>
      </w:pPr>
      <w:r>
        <w:rPr>
          <w:rFonts w:ascii="Times New Roman" w:hAnsi="Times New Roman" w:eastAsia="Times New Roman" w:cs="Times New Roman"/>
        </w:rPr>
        <w:t>Miye wen tagut ol i save long dispela, ol i no bin gat wankain strongpela laik long Bikpela olsem bipo long namba wan bikpela bel hevi. Ol bai kirap gen long strongpela spirit long tok bilong Biknait Krai. Bipo long Biknait Krai, ol tagut pinis i bin save pinis long 1844, em pinis bilong ol profesi.</w:t>
      </w:r>
    </w:p>
    <w:p>
      <w:pPr>
        <w:pStyle w:val="ArticleBody"/>
        <w:jc w:val="left"/>
      </w:pPr>
      <w:r>
        <w:rPr>
          <w:rFonts w:ascii="Times New Roman" w:hAnsi="Times New Roman" w:eastAsia="Times New Roman" w:cs="Times New Roman"/>
        </w:rPr>
        <w:t>Itangazo ryo mu Gicuku ryatumye abategereje bashobora kumenya ku wa 22 Ukwakira 1844. Hamwe n’ayo makuru, ntibyari gusa ko byari ahantu runaka mu mwaka wa 1844; ahubwo byari kuri uwo munsi nyir’izina, kandi ibyo ni byo byahaye ubutumwa imbaraga.</w:t>
      </w:r>
    </w:p>
    <w:p>
      <w:pPr>
        <w:pStyle w:val="ArticleBody"/>
        <w:jc w:val="left"/>
      </w:pPr>
      <w:r>
        <w:rPr>
          <w:rFonts w:ascii="Times New Roman" w:hAnsi="Times New Roman" w:eastAsia="Times New Roman" w:cs="Times New Roman"/>
        </w:rPr>
        <w:t>Voyez-vous le processus ? Les enseignements qui produisent cette expérience sont trois prophéties : les 1335, les 2300 et les 2520.</w:t>
      </w:r>
    </w:p>
    <w:p>
      <w:pPr>
        <w:pStyle w:val="ArticleBody"/>
        <w:jc w:val="left"/>
      </w:pPr>
      <w:r>
        <w:rPr>
          <w:rFonts w:ascii="Times New Roman" w:hAnsi="Times New Roman" w:eastAsia="Times New Roman" w:cs="Times New Roman"/>
        </w:rPr>
        <w:t>Apre yo te vin konprann sa, yo te kòmanse pwoklame: « Sòti nan Babilòn. » Sa a se mesaj dezyèm zanj lan.</w:t>
      </w:r>
    </w:p>
    <w:p>
      <w:pPr>
        <w:pStyle w:val="ArticleBody"/>
        <w:jc w:val="left"/>
      </w:pPr>
      <w:r>
        <w:rPr>
          <w:rFonts w:ascii="Times New Roman" w:hAnsi="Times New Roman" w:eastAsia="Times New Roman" w:cs="Times New Roman"/>
        </w:rPr>
        <w:t>Ti o dájú kí a sọ kedere: Kí ni ó parí ní àkókò ìdádúró náà? Ìlò Àwòrán-ìtòlẹ́sẹẹsẹ 1843. Wọ́n fi Àwòrán-ìtòlẹ́sẹẹsẹ yìí sí apá kan nítorí pé ní báyìí wọ́n ti lóye pé Olúwa ń bọ ní ọdún 1844, nígbà tí Àwòrán-ìtòlẹ́sẹẹsẹ náà sọ pé 1843. Nítorí náà, wọ́n fi Àwòrán-ìtòlẹ́sẹẹsẹ náà sí apá kan fún ìtàn Ìhìnrere Áńgẹ́lì Kejì náà.</w:t>
      </w:r>
    </w:p>
    <w:p>
      <w:pPr>
        <w:pStyle w:val="ArticleBody"/>
        <w:jc w:val="left"/>
      </w:pPr>
      <w:r>
        <w:rPr>
          <w:rFonts w:ascii="Times New Roman" w:hAnsi="Times New Roman" w:eastAsia="Times New Roman" w:cs="Times New Roman"/>
        </w:rPr>
        <w:t>Quel devient leur message dans l’histoire du Deuxième Ange ? Le dernier paragraphe l’explique.</w:t>
      </w:r>
    </w:p>
    <w:p>
      <w:pPr>
        <w:pStyle w:val="ArticleScripture"/>
        <w:jc w:val="left"/>
      </w:pPr>
      <w:r>
        <w:rPr>
          <w:rFonts w:ascii="Times New Roman" w:hAnsi="Times New Roman" w:eastAsia="Times New Roman" w:cs="Times New Roman"/>
        </w:rPr>
        <w:t>Les croyants en ce message furent opprimés dans les Églises. Pendant un temps, ceux qui ne voulaient pas recevoir le message furent retenus par la crainte de manifester les sentiments de leur cœur; mais l’écoulement du temps révéla leurs véritables dispositions. Ils désiraient faire taire le témoignage que ceux qui attendaient se sentaient contraints de rendre, à savoir que les périodes prophétiques s’étendaient jusqu’en 1844.</w:t>
      </w:r>
    </w:p>
    <w:p>
      <w:pPr>
        <w:pStyle w:val="ArticleBody"/>
        <w:jc w:val="left"/>
      </w:pPr>
      <w:r>
        <w:rPr>
          <w:rFonts w:ascii="Times New Roman" w:hAnsi="Times New Roman" w:eastAsia="Times New Roman" w:cs="Times New Roman"/>
        </w:rPr>
        <w:t>Waa raajiiwwan raajii maalii? 2520 fi 2300. Inni sun seenaa kana keessatti ergaa isaanii dha. Amma isaan, “Ni hubanne! Raajiiwwan kun hanga 1844 tti diriiru,” jedhu. Ergaan isaanii seenaa Iyyata Halkan-Waqqaa sana keessatti raajiiwwan waggaa 2520 fi 2300 dha.</w:t>
      </w:r>
    </w:p>
    <w:p>
      <w:pPr>
        <w:pStyle w:val="ArticleScripture"/>
        <w:jc w:val="left"/>
      </w:pPr>
      <w:r>
        <w:rPr>
          <w:rFonts w:ascii="Times New Roman" w:hAnsi="Times New Roman" w:eastAsia="Times New Roman" w:cs="Times New Roman"/>
        </w:rPr>
        <w:t>«За известно време онези, които не искаха да приемат вестта, бяха възпирани от страх да проявят чувствата на сърцата си; но изтичането на времето разкри истинските им чувства. Те желаеха да заглушат свидетелството, което чакащите се чувстваха принудени да носят — че пророческите периоди се простират до 1844 година. С яснота вярващите обясняваха своята грешка — особена грешка — и излагаха причините, поради които очакваха своя Господ през 1844 година. Техните противници не можеха да приведат никакви доводи против силните основания, които бяха представени. Но гневът на църквите се разпали; те бяха решени да не слушат доказателствата и да изключат свидетелството от църквите, за да не могат и другите да го чуят.»</w:t>
      </w:r>
    </w:p>
    <w:p>
      <w:pPr>
        <w:pStyle w:val="ArticleBody"/>
        <w:jc w:val="left"/>
      </w:pPr>
      <w:r>
        <w:rPr>
          <w:rFonts w:ascii="Times New Roman" w:hAnsi="Times New Roman" w:eastAsia="Times New Roman" w:cs="Times New Roman"/>
        </w:rPr>
        <w:t>Que se passe-t-il lorsque vous présentez les 2520 en relation avec les 2300 jours ? Dans l’histoire millérite, vous êtes exclus des Églises, et il y a un effort pour réduire ce message au silence.</w:t>
      </w:r>
    </w:p>
    <w:p>
      <w:pPr>
        <w:pStyle w:val="ArticleScripture"/>
        <w:jc w:val="left"/>
      </w:pPr>
      <w:r>
        <w:rPr>
          <w:rFonts w:ascii="Times New Roman" w:hAnsi="Times New Roman" w:eastAsia="Times New Roman" w:cs="Times New Roman"/>
        </w:rPr>
        <w:t>Awo, ame siwo metu ŋu ɖe gbeɖe me be yewomate ŋu aɖo kekeli si Mawu na wo la ɖi le ame bubuwo ŋu o la, wowo tututu le hamewo me; gake Yesu nɔ anyi kpli wo, eye wòkafukafu le Eƒe ŋku me kekeli la me. Woɖo wo ɖe asi be yewoanye dzudzɔe na dɔla evelia ƒe gbe la xɔxɔ. Early Writings, 235–237.</w:t>
      </w:r>
    </w:p>
    <w:p>
      <w:pPr>
        <w:pStyle w:val="ArticleBody"/>
        <w:jc w:val="left"/>
      </w:pPr>
      <w:r>
        <w:rPr>
          <w:rFonts w:ascii="Times New Roman" w:hAnsi="Times New Roman" w:eastAsia="Times New Roman" w:cs="Times New Roman"/>
        </w:rPr>
        <w:t>Sans entreprendre une étude sur les 2520, ce que nous cherchons à montrer, c’est qu’Ellen White appose son sceau d’approbation sur les 2520. Si vous ne pouvez pas le voir, vous devez prier afin que Jésus ôte les écailles de vos yeux. Ellen White a dit que les mêmes preuves qui les avaient conduits à annoncer 1843 furent alors reconnues comme démontrant que ces périodes prophétiques prenaient fin en 1844. Elle désigne toujours les périodes prophétiques, ou les chiffres, au pluriel. Il n’y a que trois périodes prophétiques sur la carte de 1843 qui prenaient fin en 1843.</w:t>
      </w:r>
    </w:p>
    <w:p>
      <w:pPr>
        <w:pStyle w:val="ArticleBody"/>
        <w:jc w:val="left"/>
      </w:pPr>
      <w:r>
        <w:rPr>
          <w:rFonts w:ascii="Times New Roman" w:hAnsi="Times New Roman" w:eastAsia="Times New Roman" w:cs="Times New Roman"/>
        </w:rPr>
        <w:t>الذي ينتهي في سنة 1843، أي الـ1335، يقتضي، من أجل السلامة النحوية، وجود فترتين نبويتين على الأقل لكي تقول «الأرقام» و«الفترات النبوية». فإذا كانت هناك ثلاثٌ وأُزيلت واحدة، فإن الاثنتين اللتين تقرّهما هما الـ2520 والـ2300، بصرف النظر عمّا قد يقوله أيّ شخص آخر.</w:t>
      </w:r>
    </w:p>
    <w:p>
      <w:pPr>
        <w:pStyle w:val="ArticleBody"/>
        <w:jc w:val="left"/>
      </w:pPr>
      <w:r>
        <w:rPr>
          <w:rFonts w:ascii="Times New Roman" w:hAnsi="Times New Roman" w:eastAsia="Times New Roman" w:cs="Times New Roman"/>
        </w:rPr>
        <w:t>Dans cette histoire, y compris la Grande Déception des adventistes du 22 octobre 1844, le Seigneur produisait une expérience par laquelle ils étaient exclus des Églises, afin qu’ils se tiennent, non sur l’influence des hommes, mais sur la Parole de Dieu. Ils avaient besoin de cette expérience pour avoir la foi d’entrer avec Jésus-Christ dans le lieu très saint. Il les amenait à la perfection afin de mener à son terme l’Évangile éternel.</w:t>
      </w:r>
    </w:p>
    <w:p>
      <w:pPr>
        <w:pStyle w:val="ArticleHeading"/>
        <w:jc w:val="left"/>
      </w:pPr>
      <w:r>
        <w:rPr>
          <w:rFonts w:ascii="Arial" w:hAnsi="Arial" w:eastAsia="Arial" w:cs="Arial"/>
        </w:rPr>
        <w:t>Témoignage des pionniers : James White et Uriah Smith</w:t>
      </w:r>
    </w:p>
    <w:p>
      <w:pPr>
        <w:pStyle w:val="ArticleBody"/>
        <w:jc w:val="left"/>
      </w:pPr>
      <w:r>
        <w:rPr>
          <w:rFonts w:ascii="Times New Roman" w:hAnsi="Times New Roman" w:eastAsia="Times New Roman" w:cs="Times New Roman"/>
        </w:rPr>
        <w:t>Ensuite, nous avons deux pionniers, James White et Uriah Smith. Ce sont les principaux hommes auxquels les théologiens modernes se réfèrent pour soutenir que James White a rejeté le 2520 en 1863 et qu’Uriah Smith l’a rejeté dans ses écrits des années 1870 et 1880.</w:t>
      </w:r>
    </w:p>
    <w:p>
      <w:pPr>
        <w:pStyle w:val="ArticleBody"/>
        <w:jc w:val="left"/>
      </w:pPr>
      <w:r>
        <w:rPr>
          <w:rFonts w:ascii="Times New Roman" w:hAnsi="Times New Roman" w:eastAsia="Times New Roman" w:cs="Times New Roman"/>
        </w:rPr>
        <w:t>Nous retournons en 1844 et peu après, afin de voir comment James White et Uriah Smith décrivent cette histoire même qu’Ellen White vient de relater. Elle parle des périodes prophétiques, du Seigneur retirant sa main et de la constatation de l’erreur, et ces deux pionniers en parlent eux aussi.</w:t>
      </w:r>
    </w:p>
    <w:p>
      <w:pPr>
        <w:pStyle w:val="ArticleBody"/>
        <w:jc w:val="left"/>
      </w:pPr>
      <w:r>
        <w:rPr>
          <w:rFonts w:ascii="Times New Roman" w:hAnsi="Times New Roman" w:eastAsia="Times New Roman" w:cs="Times New Roman"/>
        </w:rPr>
        <w:t>Ellen White ne dit pas « 2520 » ni « sept temps », mais Uriah Smith et James White, eux, le disent. Ils montrent clairement que les périodes prophétiques reconnues dans cette histoire étaient les 2520 et les 2300.</w:t>
      </w:r>
    </w:p>
    <w:p>
      <w:pPr>
        <w:pStyle w:val="ArticleScripture"/>
        <w:jc w:val="left"/>
      </w:pPr>
      <w:r>
        <w:rPr>
          <w:rFonts w:ascii="Times New Roman" w:hAnsi="Times New Roman" w:eastAsia="Times New Roman" w:cs="Times New Roman"/>
        </w:rPr>
        <w:t>James White, Review and Herald, volume 1, 9 juillet 1851 : « Un objecteur dit : “Je ne crois pas que le cri de minuit ait encore été donné.” Nous non plus, nous ne croyons pas que le cri de minuit ait été entendu par nous, ni qu’il le soit jamais. Le cri de Matthieu 25:6 : “Voici, l’époux vient”, appartient à l’histoire d’un mariage oriental. Mais qu’un cri ait été poussé, et pleinement reçu par tout le corps adventiste à l’automne de 1844, cri qui correspond bien au cri de minuit de la parabole, cela ne devrait pas être nié par ceux qui en ont fait l’expérience. »</w:t>
      </w:r>
    </w:p>
    <w:p>
      <w:pPr>
        <w:pStyle w:val="ArticleBody"/>
        <w:jc w:val="left"/>
      </w:pPr>
      <w:r>
        <w:rPr>
          <w:rFonts w:ascii="Times New Roman" w:hAnsi="Times New Roman" w:eastAsia="Times New Roman" w:cs="Times New Roman"/>
        </w:rPr>
        <w:t>James White traite d’une histoire dans laquelle des personnes rejettent le Cri de Minuit et tombent hors du sentier. Il répond à cela et traitera de cette histoire.</w:t>
      </w:r>
    </w:p>
    <w:p>
      <w:pPr>
        <w:pStyle w:val="ArticleScripture"/>
        <w:jc w:val="left"/>
      </w:pPr>
      <w:r>
        <w:rPr>
          <w:rFonts w:ascii="Times New Roman" w:hAnsi="Times New Roman" w:eastAsia="Times New Roman" w:cs="Times New Roman"/>
        </w:rPr>
        <w:t>Այն եկաւ ճիշդ ժամանակին։ Առակի աղաղակը անմիջապէս յաջորդեց ուշացմանը, եւ ննջելուն ու քնելուն։ Ասիկա յաջորդեց մեր ուշացմանը, երբ յուսախաբ եղած էինք, եւ հասաւ մեր ականջներուն, մինչ անգործ վիճակի մէջ կը գտնուէինք։ Այդ աղաղակը արթնցուց տասը կոյսերը եւ զանոնք առաջնորդեց իրենց ճրագները կարգի դնելու։ Ասիկա, Հոգիին զօրութեամբ ուղեկցուած, արթնցուց Աւետման ժողովուրդը եւ առաջնորդեց զանոնք Սուրբ Գիրքը խուզարկելու՝ ինչպէս երբեք առաջ, եւ իրենց ու իրենց աշխարհային ստացուածքները ամբողջութեամբ Տիրոջ նուիրաբերելու։ Անոնք, որոնք տուին այն աղաղակը, թէ Տէրը պիտի գար եօթներորդ ամսուն, 1844-ին, յստակօրէն կը տեսնէին, որ մարգարէական ժամանակաշրջանները մինչեւ այդ ժամանակը կը հասնէին. ուստի այն ապացոյցը, որ ժամանակաշրջաններէն ներկայացուած էր՝ ապացուցելու համար, թէ Աւետումը պիտի ըլլար 1843-ին, կը փաստէր, թէ անիկա պիտի ըլլար 1844-ին։ Այն ատեն տեսանք սխալ մը այդ հաշուարկման կերպին մէջ, որ 2300 օրերը կը վերջացնէր 1843-ին։ Անոնցմէ ոչ մէկը, որոնք կը գրէին Աւետման դէմ, զայն տեսաւ։ Նախախնամութեան ձեռքը ծածկած էր այդ սխալը մինչեւ ժամանակը գար, որ զայն տեսնուէր։ Սխալը այն էր, որ 2300-էն հանած էին 457 ամբողջ տարիներ, ինչ որ կը ձգէր 1843, առանց բնաւ հաշուի առնելու Ք.Ա. 457 տարուան այն բաժին տարին, որ արդէն անցած էր, երբ պատուէրը ելաւ, որմէ 70 շաբաթները կը հաշուուին։</w:t>
      </w:r>
    </w:p>
    <w:p>
      <w:pPr>
        <w:pStyle w:val="ArticleScripture"/>
        <w:jc w:val="left"/>
      </w:pPr>
      <w:r>
        <w:rPr>
          <w:rFonts w:ascii="Times New Roman" w:hAnsi="Times New Roman" w:eastAsia="Times New Roman" w:cs="Times New Roman"/>
        </w:rPr>
        <w:t>„Kuncento estis direktitaj al tiu tempopunkto, [1843,] pro la fakto, ke, datigante la diversajn profetajn periodojn ekde tiuj jaroj, al kiuj la plej bonaj kronologoj atribuas la plenumon de tiuj eventoj, kiuj devis marki ilian komencon, ili ĉiuj ŝajnis finiĝi en tiu jaro.“</w:t>
      </w:r>
    </w:p>
    <w:p>
      <w:pPr>
        <w:pStyle w:val="ArticleBody"/>
        <w:jc w:val="left"/>
      </w:pPr>
      <w:r>
        <w:rPr>
          <w:rFonts w:ascii="Times New Roman" w:hAnsi="Times New Roman" w:eastAsia="Times New Roman" w:cs="Times New Roman"/>
        </w:rPr>
        <w:t>Maintenant, il nous indique les périodes prophétiques qu’ils pensaient avoir pris fin en 1843.</w:t>
      </w:r>
    </w:p>
    <w:p>
      <w:pPr>
        <w:pStyle w:val="ArticleBody"/>
        <w:jc w:val="left"/>
      </w:pPr>
      <w:r>
        <w:rPr>
          <w:rFonts w:ascii="Times New Roman" w:hAnsi="Times New Roman" w:eastAsia="Times New Roman" w:cs="Times New Roman"/>
        </w:rPr>
        <w:t>“Ceci n’était toutefois qu’apparent.” Apparemment seulement, ils se terminaient en 1843. Ils découvriraient qu’ils se terminaient en 1844.</w:t>
      </w:r>
    </w:p>
    <w:p>
      <w:pPr>
        <w:pStyle w:val="ArticleScripture"/>
        <w:jc w:val="left"/>
      </w:pPr>
      <w:r>
        <w:rPr>
          <w:rFonts w:ascii="Times New Roman" w:hAnsi="Times New Roman" w:eastAsia="Times New Roman" w:cs="Times New Roman"/>
        </w:rPr>
        <w:t>“Nós datamos os ‘sete tempos’, ou 2520 anos, a partir do cativeiro de Manassés, o qual é, com grande unanimidade, situado pelos cronologistas em 677 a.C.” Estes eram os períodos proféticos com os quais eles estavam lidando. “Esta é a única data da qual alguma vez calculamos o início deste período; e, subtraindo 677 a.C. de 2520 anos, restava 1843 d.C. Nós, porém, não observamos que, assim como seriam necessários 677 anos completos a.C. e 1843 anos completos d.C. para completar 2520 anos, isso também nos obrigaria a estender este período até certo ponto dentro de 1844, visto que ele poderia ter começado depois do início de 677 a.C.”</w:t>
      </w:r>
    </w:p>
    <w:p>
      <w:pPr>
        <w:pStyle w:val="ArticleBody"/>
        <w:jc w:val="left"/>
      </w:pPr>
      <w:r>
        <w:rPr>
          <w:rFonts w:ascii="Times New Roman" w:hAnsi="Times New Roman" w:eastAsia="Times New Roman" w:cs="Times New Roman"/>
        </w:rPr>
        <w:t>Amibi adiyisɛm mmere a “Nhwɛso no de ne nsa kataa ne mfomso no so” no kaa 2520 no ho.</w:t>
      </w:r>
    </w:p>
    <w:p>
      <w:pPr>
        <w:pStyle w:val="ArticleScripture"/>
        <w:jc w:val="left"/>
      </w:pPr>
      <w:r>
        <w:rPr>
          <w:rFonts w:ascii="Times New Roman" w:hAnsi="Times New Roman" w:eastAsia="Times New Roman" w:cs="Times New Roman"/>
        </w:rPr>
        <w:t>Uriah Smith: „Kad laiks turpinājās pēc 1843. gada, daudzi sāka izzināt sava pieviltā gaidījuma iemeslus attiecībā uz gadu, kurā viņi bija cerējuši uz savu atbrīvošanu. Tad kļuva redzams, ka, ja visas pravietiskās laika atskaites sākas tajos gados pirms Kristus, kuros mēs vienmēr bijām datējuši to sākumu, tad tās attiecīgi netiktu pabeigtas, pat pieņemot, ka mūsu hronoloģija un to sākuma datējums bija pareizi, līdz kādam brīdim 1844. gada laikā. Tādējādi septiņi laiki jeb 2520 gadi, kas sākas 677. gadā pr. Kr.; lielais jubilejas periods jeb 2450 gadi [nav attēloti ne 1843., ne 1850. gada tabulās], kas sākas 607. gadā pr. Kr.; un Daniēla 2300 gadi, kas sākas 457. gadā pr. Kr., — tā kā daļa no katra no šiem gadiem, no kuriem attiecīgie pravietiskie periodi tika datēti, bija pagājusi pirms to vairāko notikumu iestāšanās, kuri iezīmēja to sākumu, bija nepieciešams, lai tie turpinātos 1844. gadā tik tālu, cik attiecīgi tie bija sākušies pēc to gadu pr. Kr. sākuma, no kuriem katrs atsevišķi tiek skaitīts, lai vai nu piepildītu gadu skaitu katrā no tiem, vai arī pārbaudītu mūsu hronoloģijas pareizību. Taču nebija nekādas norādes uz to laiku attiecīgajos gados pr. Kr., kad šie vairāki periodi sākās; un līdz ar to to beigu gada laiku nevarēja precīzi noteikt.”</w:t>
      </w:r>
    </w:p>
    <w:p>
      <w:pPr>
        <w:pStyle w:val="ArticleBody"/>
        <w:jc w:val="left"/>
      </w:pPr>
      <w:r>
        <w:rPr>
          <w:rFonts w:ascii="Times New Roman" w:hAnsi="Times New Roman" w:eastAsia="Times New Roman" w:cs="Times New Roman"/>
        </w:rPr>
        <w:t>Uriah Smith et James White attestent tous deux que les périodes prophétiques reconnues comme devant s’achever en 1844 étaient les 2520 et les 2300 ans, en employant les mêmes expressions qu’Ellen White dans Early Writings, à partir de la page 236.</w:t>
      </w:r>
    </w:p>
    <w:p>
      <w:pPr>
        <w:pStyle w:val="ArticleHeading"/>
        <w:jc w:val="left"/>
      </w:pPr>
      <w:r>
        <w:rPr>
          <w:rFonts w:ascii="Arial" w:hAnsi="Arial" w:eastAsia="Arial" w:cs="Arial"/>
        </w:rPr>
        <w:t>Сілсилә-и һәқиқәт: Вильям Миллерниң башлиниш нуқтилири</w:t>
      </w:r>
    </w:p>
    <w:p>
      <w:pPr>
        <w:pStyle w:val="ArticleScripture"/>
        <w:jc w:val="left"/>
      </w:pPr>
      <w:r>
        <w:rPr>
          <w:rFonts w:ascii="Times New Roman" w:hAnsi="Times New Roman" w:eastAsia="Times New Roman" w:cs="Times New Roman"/>
        </w:rPr>
        <w:t>Ntɔnhoma a wɔakyerɛw dedaw, kratafa 230: “Onyankopɔn somaa Ne bɔfo” — ɔbɔfo Gabriel — “sɛ ɔnkanyan kuayɛfo bi koma so” — William Miller — “a na onnnye Bible no nni, na ɔmfa no nkɔhyɛ nsɛm no mu nhwehwɛmu mu. Onyankopɔn abɔfo san baa saa obi a wɔayi no no nkyɛn mpɛn pii, sɛ wɔnhwɛ n’adwene so na wɔnkan n’ase mma no wɔ nkɔhyɛ ahorow a na bere nyinaa ayɛ sum ama Onyankopɔn nkurɔfo no ho. Wɔde nokware no nhama no mfiase maa no, na wɔde no kɔɔ so ma ɔhwehwɛɛ nkabom no baako baako, kɔsii sɛ ɔde anwonwaso ne n’ani a ɛsɔ hwɛɛ Onyankopɔn Asɛm no. Ohui wɔ hɔ nokware no nhama a ɛwie pɛ. Saa Asɛm a na wabu no sɛ ɛnyɛ homegye no, afei buee n’ani so wɔ ne fɛw ne n’anuonyam mu. Ohui sɛ Kyerɛwsɛm no fã baako kyerɛkyerɛ foforo mu,”</w:t>
      </w:r>
    </w:p>
    <w:p>
      <w:pPr>
        <w:pStyle w:val="ArticleBody"/>
        <w:jc w:val="left"/>
      </w:pPr>
      <w:r>
        <w:rPr>
          <w:rFonts w:ascii="Times New Roman" w:hAnsi="Times New Roman" w:eastAsia="Times New Roman" w:cs="Times New Roman"/>
        </w:rPr>
        <w:t>Gabriël toonde hem de methode die wij noemen: het bewijzen met Schriftplaatsen, regel op regel, hier een weinig en daar een weinig.</w:t>
      </w:r>
    </w:p>
    <w:p>
      <w:pPr>
        <w:pStyle w:val="ArticleBody"/>
        <w:jc w:val="left"/>
      </w:pPr>
      <w:r>
        <w:rPr>
          <w:rFonts w:ascii="Times New Roman" w:hAnsi="Times New Roman" w:eastAsia="Times New Roman" w:cs="Times New Roman"/>
        </w:rPr>
        <w:t>Gabriel lui donna le commencement de la chaîne de vérité et la méthode d’interprétation par textes de preuve.</w:t>
      </w:r>
    </w:p>
    <w:p>
      <w:pPr>
        <w:pStyle w:val="ArticleScripture"/>
        <w:jc w:val="left"/>
      </w:pPr>
      <w:r>
        <w:rPr>
          <w:rFonts w:ascii="Times New Roman" w:hAnsi="Times New Roman" w:eastAsia="Times New Roman" w:cs="Times New Roman"/>
        </w:rPr>
        <w:t>William Miller, Advent Review and Sabbath Herald, 18 avril 1854 : « À la suite d’une étude plus approfondie des Écritures, je conclus que les sept temps de la suprématie des Gentils devaient commencer lorsque les Juifs cessèrent d’être une nation indépendante, à la captivité de Manassé, que les meilleurs chronologistes situaient en 677 av. J.-C. ; que les 2300 jours commencèrent avec les soixante-dix semaines, que les meilleurs chronologistes dataient de 457 av. J.-C. ; et que les 1335 jours, commençant avec la suppression du sacrifice perpétuel et l’établissement de l’abomination qui cause la désolation, [Daniel 12:11] devaient être datés de l’établissement de la suprématie papale, après la suppression des abominations païennes, et qui, selon les meilleurs historiens que je pouvais consulter, devait être daté d’environ 508. »</w:t>
      </w:r>
    </w:p>
    <w:p>
      <w:pPr>
        <w:pStyle w:val="ArticleBody"/>
        <w:jc w:val="left"/>
      </w:pPr>
      <w:r>
        <w:rPr>
          <w:rFonts w:ascii="Times New Roman" w:hAnsi="Times New Roman" w:eastAsia="Times New Roman" w:cs="Times New Roman"/>
        </w:rPr>
        <w:t>Ellen White dit que Gabriel donna à William Miller les points de commencement de la chaîne de vérité, et William Miller atteste que les trois points de commencement qui lui furent donnés sont 508, 677 av. J.-C. et 457 av. J.-C. C’est de l’ange Gabriel qu’il reçut les points de commencement de ces prophéties qui produisirent l’histoire du Cri de Minuit.</w:t>
      </w:r>
    </w:p>
    <w:p>
      <w:pPr>
        <w:pStyle w:val="ArticleHeading"/>
        <w:jc w:val="left"/>
      </w:pPr>
      <w:r>
        <w:rPr>
          <w:rFonts w:ascii="Arial" w:hAnsi="Arial" w:eastAsia="Arial" w:cs="Arial"/>
        </w:rPr>
        <w:t>La Dernière Tromperie : Rejeter l’Esprit de prophétie</w:t>
      </w:r>
    </w:p>
    <w:p>
      <w:pPr>
        <w:pStyle w:val="ArticleScripture"/>
        <w:jc w:val="left"/>
      </w:pPr>
      <w:r>
        <w:rPr>
          <w:rFonts w:ascii="Times New Roman" w:hAnsi="Times New Roman" w:eastAsia="Times New Roman" w:cs="Times New Roman"/>
        </w:rPr>
        <w:t>Messages Choisis, livre 1, page 48 : « Satan est . . . constamment occupé à introduire le faux, afin de détourner de la vérité. La toute dernière séduction de Satan sera de rendre sans effet le témoignage de l’Esprit de Dieu. » La dernière séduction de Satan est de détruire l’Esprit de prophétie.</w:t>
      </w:r>
    </w:p>
    <w:p>
      <w:pPr>
        <w:pStyle w:val="ArticleBody"/>
        <w:jc w:val="left"/>
      </w:pPr>
      <w:r>
        <w:rPr>
          <w:rFonts w:ascii="Times New Roman" w:hAnsi="Times New Roman" w:eastAsia="Times New Roman" w:cs="Times New Roman"/>
        </w:rPr>
        <w:t>بۇ ئاساسىي ھەقىقەتلەرنى رەت قىلسىڭىز، سىز شۇنىڭ بىلەن بىر ۋاقىتتا پەيغەمبەرلىك روھىنىمۇ رەت قىلغان بولىسىز. ئېللېن ۋايت 2520 غا ئۆزىنىڭ قوللىشىنى بەرگەن. 2520 نى رەت قىلسىڭىز، سىز «بالا بىلەن يۇيۇنۇش سۈيىنى بىللە تۆكۈپ تاشلىغان» بولىسىز.</w:t>
      </w:r>
    </w:p>
    <w:p>
      <w:pPr>
        <w:pStyle w:val="ArticleScripture"/>
        <w:jc w:val="left"/>
      </w:pPr>
      <w:r>
        <w:rPr>
          <w:rFonts w:ascii="Times New Roman" w:hAnsi="Times New Roman" w:eastAsia="Times New Roman" w:cs="Times New Roman"/>
        </w:rPr>
        <w:t>Satan er . . . bestandig opptatt av å trenge det uekte inn—for å lede bort fra sannheten. Satans aller siste bedrag vil være å gjøre Guds Ånds vitnesbyrd uten virkning. «Uten åpenbaring blir folket tøylesløst» (Ordspåkene 29:18). Hun taler om å forkaste profetiens ånd og sier i den forbindelse at dersom du forkaster profetiens ånd, der det ikke er noe syn, går folket til grunne. Hva er synet? Hvis du forkaster profetiens ånd, hvilket syn er det du mangler?</w:t>
      </w:r>
    </w:p>
    <w:p>
      <w:pPr>
        <w:pStyle w:val="ArticleScripture"/>
        <w:jc w:val="left"/>
      </w:pPr>
      <w:r>
        <w:rPr>
          <w:rFonts w:ascii="Times New Roman" w:hAnsi="Times New Roman" w:eastAsia="Times New Roman" w:cs="Times New Roman"/>
        </w:rPr>
        <w:t>“Écris la vision, et grave-la sur des tables, afin qu’on la lise couramment.” Habacuc 2:2 (KJV).</w:t>
      </w:r>
    </w:p>
    <w:p>
      <w:pPr>
        <w:pStyle w:val="ArticleBody"/>
        <w:jc w:val="left"/>
      </w:pPr>
      <w:r>
        <w:rPr>
          <w:rFonts w:ascii="Times New Roman" w:hAnsi="Times New Roman" w:eastAsia="Times New Roman" w:cs="Times New Roman"/>
        </w:rPr>
        <w:t>Si vous rejetez l’Esprit de prophétie, vous allez rejeter le tableau de 1843 ; et, si vous rejetez ce tableau, vous rejetez l’Esprit de prophétie.</w:t>
      </w:r>
    </w:p>
    <w:p>
      <w:pPr>
        <w:pStyle w:val="ArticleScripture"/>
        <w:jc w:val="left"/>
      </w:pPr>
      <w:r>
        <w:rPr>
          <w:rFonts w:ascii="Times New Roman" w:hAnsi="Times New Roman" w:eastAsia="Times New Roman" w:cs="Times New Roman"/>
        </w:rPr>
        <w:t>«Satan agira avec ingéniosité, de diverses manières et par l’entremise de divers instruments, afin d’ébranler la confiance du peuple du reste de Dieu dans le vrai témoignage. Une haine sera attisée contre les Témoignages, haine qui sera satanique.» Parfois, nous pensons au terme «satanique» comme désignant des actes sinistres, mais, dans Patriarches et prophètes, il nous est dit que Satan agit en insinuant des doutes. Telle est l’attaque satanique contre l’Esprit de prophétie et contre ces vérités fondamentales. Elle s’exerce par le moyen d’hommes en qui nous sommes censés avoir confiance, lesquels insinuent ces doutes.</w:t>
      </w:r>
    </w:p>
    <w:p>
      <w:pPr>
        <w:pStyle w:val="ArticleScripture"/>
        <w:jc w:val="left"/>
      </w:pPr>
      <w:r>
        <w:rPr>
          <w:rFonts w:ascii="Times New Roman" w:hAnsi="Times New Roman" w:eastAsia="Times New Roman" w:cs="Times New Roman"/>
        </w:rPr>
        <w:t>“E ku ta pfuriwa rivengo exikarhi ka Timbhoni lexi nga xa vuSathana. Mintirho ya Sathana yi ta va ku tsekatsekisa ripfumelo ra mavandla ya kereke eka tona, hikwalaho ka xivangelo lexi: Sathana a nge koti ku va ni ndlela leyi nga erivaleni swinene yo nghenisa vuxisi bya yena ni ku boha mimoya eka ku kanganyisa ka yena loko switsundzuxo ni ku tshinya ni switsundzuxo swa Moya wa Xikwembu swi yingisiwa.” Selected Messages, book 1, 48.</w:t>
      </w:r>
    </w:p>
    <w:p>
      <w:pPr>
        <w:pStyle w:val="ArticleBody"/>
        <w:jc w:val="left"/>
      </w:pPr>
      <w:r>
        <w:rPr>
          <w:rFonts w:ascii="Times New Roman" w:hAnsi="Times New Roman" w:eastAsia="Times New Roman" w:cs="Times New Roman"/>
        </w:rPr>
        <w:t>Kapag dinadala natin ito sa pagwawakas, kapag sinasabi ni Sister White na wala tayong dapat ikatakot para sa hinaharap maliban na malimutan natin ang pag-akay ng Panginoon, sinasabi ko na ang pag-akay ng Panginoon na kaniyang tinutukoy ay ang kasaysayan mula sa Panahon ng Paghihintay hanggang sa saradong pinto—ang kasaysayang kinakatawan ng katawagang, Ang Sigaw sa Hatinggabi. Wala tayong dapat ikatakot para sa hinaharap maliban na malimutan natin kung paano tayo inakay ng Panginoon sa karanasan ng Sigaw sa Hatinggabi, at gayundin ang mga aral na kaugnay ng pag-akay na ito. Ang mga aral na nagbunga ng karanasang ito ay ang tatlong propesiya ng panahon, na nagsisimula sa mga petsang ibinigay kay William Miller ng anghel na si Gabriel. Wala tayong dapat ikatakot para sa hinaharap maliban na malimutan natin ang mga aral na ito, kabilang ang 2520, na nagbunga ng karanasan ng Sigaw sa Hatinggabi habang inaakay ng Panginoon ang mga Millerita sa kasukdulan ng Walang-Hanggang Ebanghelyo.</w:t>
      </w:r>
    </w:p>
    <w:p>
      <w:pPr>
        <w:pStyle w:val="ArticleScripture"/>
        <w:jc w:val="left"/>
      </w:pPr>
      <w:r>
        <w:rPr>
          <w:rFonts w:ascii="Times New Roman" w:hAnsi="Times New Roman" w:eastAsia="Times New Roman" w:cs="Times New Roman"/>
        </w:rPr>
        <w:t>”Як чиз аниқ: Шайтонинг байроғи остида турадиган еттинчи кун адвентистлари, аввало, Худо Руҳининг Гувоҳликларидаги огоҳлантиришлар ва танбеҳларга бўлган имонларидан воз кечадилар.“</w:t>
      </w:r>
    </w:p>
    <w:p>
      <w:pPr>
        <w:pStyle w:val="ArticleBody"/>
        <w:jc w:val="left"/>
      </w:pPr>
      <w:r>
        <w:rPr>
          <w:rFonts w:ascii="Times New Roman" w:hAnsi="Times New Roman" w:eastAsia="Times New Roman" w:cs="Times New Roman"/>
        </w:rPr>
        <w:t>Vous rejetez les Fondements, vous rejetez l’Esprit de prophétie. Si vous rejetez l’Esprit de prophétie, vous rejetez les Fondements. Ils vont ensemble. Là où il n’y a pas d’Esprit de prophétie, il n’y a pas de vision.</w:t>
      </w:r>
    </w:p>
    <w:p>
      <w:pPr>
        <w:pStyle w:val="ArticleScripture"/>
        <w:jc w:val="left"/>
      </w:pPr>
      <w:r>
        <w:rPr>
          <w:rFonts w:ascii="Times New Roman" w:hAnsi="Times New Roman" w:eastAsia="Times New Roman" w:cs="Times New Roman"/>
        </w:rPr>
        <w:t>L’appel à une consécration plus grande et à un service plus saint est lancé, et il continuera de l’être. Quelques-uns de ceux qui expriment maintenant les suggestions de Satan reviendront à eux-mêmes. Il en est qui occupent d’importantes positions de confiance et qui ne comprennent pas la vérité pour ce temps. Le message doit leur être annoncé. S’ils le reçoivent, Christ les acceptera et fera d’eux des ouvriers avec lui. Mais s’ils refusent d’entendre le message, ils prendront position sous la noire bannière du prince des ténèbres.</w:t>
      </w:r>
    </w:p>
    <w:p>
      <w:pPr>
        <w:pStyle w:val="ArticleScripture"/>
        <w:jc w:val="left"/>
      </w:pPr>
      <w:r>
        <w:rPr>
          <w:rFonts w:ascii="Times New Roman" w:hAnsi="Times New Roman" w:eastAsia="Times New Roman" w:cs="Times New Roman"/>
        </w:rPr>
        <w:t>«Как мне повелено сказать, драгоценная истина для настоящего времени открывается человеческому разуму всё более и более ясно. В особом смысле мужчины и женщины должны есть плоть Христа и пить Его кровь. Произойдёт развитие разумения, ибо истина способна к постоянному расширению. Божественный Источник истины будет входить во всё более тесное и ещё более тесное общение с теми, кто стремится познать Его. Когда народ Божий принимает Его слово как хлеб небесный, они узнают, что явление Его приготовлено, как утро. Они будут принимать духовную силу, как тело принимает физическую силу, когда вкушается пища.</w:t>
      </w:r>
    </w:p>
    <w:p>
      <w:pPr>
        <w:pStyle w:val="ArticleScripture"/>
        <w:jc w:val="left"/>
      </w:pPr>
      <w:r>
        <w:rPr>
          <w:rFonts w:ascii="Times New Roman" w:hAnsi="Times New Roman" w:eastAsia="Times New Roman" w:cs="Times New Roman"/>
        </w:rPr>
        <w:t>“En comprendons-nous à peine la moitié du dessein du Seigneur lorsqu’il prit les enfants d’Israël de la servitude égyptienne et les conduisit à travers le désert jusque dans le pays de Canaan. »</w:t>
      </w:r>
    </w:p>
    <w:p>
      <w:pPr>
        <w:pStyle w:val="ArticleScripture"/>
        <w:jc w:val="left"/>
      </w:pPr>
      <w:r>
        <w:rPr>
          <w:rFonts w:ascii="Times New Roman" w:hAnsi="Times New Roman" w:eastAsia="Times New Roman" w:cs="Times New Roman"/>
        </w:rPr>
        <w:t>«Нгатиҳе тукунг’аниа миизи иа Угӱнду ииетоотоа кӯма Уи̃тгурири, нитукоона и̃ндва ија кӯгити̃кйра гитуми̃ра киа Аяһуди, na kūmenya биu кӯrata ma kūhoya ma ciarĩa matūmĩte. Kūrũgamia gwitu kwa ma keiha ni kūrĩa kūtarĩ kūhingia. Tũkũng’ania ni miĩzi mike ya weru. Arĩa matari atũri a Mũhĩrĩga mũthenya kwa mũthenya matikaheana guciria ciugo cia gũtũma kwa gĩtumĩra kia Ayaһudi. Matikamenya keiha iria ciatũmĩrĩtwo nĩ wĩra wa hekarũ. Wĩra wa Ngai urathiagĩrĩrwo nĩ guciria kwa kĩgũrũ kwa mpango wake mũnene. Muoyo wa rĩu ukĩrĩa mũthenya mũno nĩũkũhurũra rũgano rwa marĩa maathani marĩa Kristũ, ehingĩrĩtwo nĩ ndigi ya rũrũrĩ rwa itu, aheanire andũ ake.» Spalding and Magan, 305, 306.</w:t>
      </w:r>
    </w:p>
    <w:p>
      <w:pPr>
        <w:pStyle w:val="ArticleBody"/>
        <w:jc w:val="left"/>
      </w:pPr>
      <w:r>
        <w:rPr>
          <w:rFonts w:ascii="Microsoft Himalaya" w:hAnsi="Microsoft Himalaya" w:eastAsia="Microsoft Himalaya" w:cs="Microsoft Himalaya"/>
        </w:rPr>
        <w:t>ཨེཌ་ཝེན་ཊིསཊ་ཚོ་གང་ཞིག་གིས་གཅན་གཟན་གྱི་རྟགས་དེ་ལེན་པ་དང་།</w:t>
      </w:r>
      <w:r>
        <w:rPr>
          <w:rFonts w:ascii="Times New Roman" w:hAnsi="Times New Roman" w:eastAsia="Times New Roman" w:cs="Times New Roman"/>
        </w:rPr>
        <w:t xml:space="preserve"> </w:t>
      </w:r>
      <w:r>
        <w:rPr>
          <w:rFonts w:ascii="Microsoft Himalaya" w:hAnsi="Microsoft Himalaya" w:eastAsia="Microsoft Himalaya" w:cs="Microsoft Himalaya"/>
        </w:rPr>
        <w:t>སཱ་ཏན་གྱི་དར་ཆ་འོག་ཏུ་ལངས་ནས།</w:t>
      </w:r>
      <w:r>
        <w:rPr>
          <w:rFonts w:ascii="Times New Roman" w:hAnsi="Times New Roman" w:eastAsia="Times New Roman" w:cs="Times New Roman"/>
        </w:rPr>
        <w:t xml:space="preserve"> </w:t>
      </w:r>
      <w:r>
        <w:rPr>
          <w:rFonts w:ascii="Microsoft Himalaya" w:hAnsi="Microsoft Himalaya" w:eastAsia="Microsoft Himalaya" w:cs="Microsoft Himalaya"/>
        </w:rPr>
        <w:t>ཐོག་མར་ལུང་སྟོན་གྱི་སྤི་རིཏ་དེ་དོར་བར་བྱེད་དོ།</w:t>
      </w:r>
    </w:p>
    <w:p>
      <w:pPr>
        <w:pStyle w:val="ArticleBody"/>
        <w:jc w:val="left"/>
      </w:pPr>
      <w:r>
        <w:rPr>
          <w:rFonts w:ascii="Times New Roman" w:hAnsi="Times New Roman" w:eastAsia="Times New Roman" w:cs="Times New Roman"/>
        </w:rPr>
        <w:t>در این بخش دو گروه وجود دارند: آنان که در شناخت خداوند پیش می‌روند، همچنان از جسم او می‌خورند و خون او را می‌نوشند، و همچنان کلام خدا را مطالعه می‌کنند، و آنان که چنین نمی‌کنند. تکامل حقیقت به پایان نرسیده است؛ ایشان دربارهٔ خدمت قدس سخنانی خواهند داشت که هنوز گفته نشده است. آنان بر تغییرِ دورهٔ تدبیر در زمان مسیح تأکید خواهند کرد، تغییری که پیشاپیش، تغییر در زمان میلری را مجسم می‌ساخت و به سوی آن دورهٔ تدبیر اشاره می‌کرد که در آن مسیح از داوری مردگان به داوری زندگان منتقل می‌شود. آنان دربارهٔ قدس و این‌که خداوند در این تغییراتِ دوره‌های تدبیر، حرکات خود را با ریزش روح خویش مشخص می‌سازد، سخنانی خواهند داشت.</w:t>
      </w:r>
    </w:p>
    <w:p>
      <w:pPr>
        <w:pStyle w:val="ArticleBody"/>
        <w:jc w:val="left"/>
      </w:pPr>
      <w:r>
        <w:rPr>
          <w:rFonts w:ascii="Times New Roman" w:hAnsi="Times New Roman" w:eastAsia="Times New Roman" w:cs="Times New Roman"/>
        </w:rPr>
        <w:t>Egy-két további idézet, és csaknem készen vagyunk.</w:t>
      </w:r>
    </w:p>
    <w:p>
      <w:pPr>
        <w:pStyle w:val="ArticleBody"/>
        <w:jc w:val="left"/>
      </w:pPr>
      <w:r>
        <w:rPr>
          <w:rFonts w:ascii="Times New Roman" w:hAnsi="Times New Roman" w:eastAsia="Times New Roman" w:cs="Times New Roman"/>
        </w:rPr>
        <w:t>Ta minahzong Seventh-day Adventists kohte Midnight Cry ah an zawm lotute chu kawng atangin an tla a, Midnight Cry chanchin thlen theihna siamtu Lalpa kaihhruaina leh thurin zirtirna an hnawl a ni. Chu chu kan hlauh tur a ni—zirtirna hrang hrang chu hnawl a, chuta thil thleng hriatthiam lohna. Chutiang chuan kan tih hian, Spirit of Prophecy chu kan hnawl a ni.</w:t>
      </w:r>
    </w:p>
    <w:p>
      <w:pPr>
        <w:pStyle w:val="ArticleBody"/>
        <w:jc w:val="left"/>
      </w:pPr>
      <w:r>
        <w:rPr>
          <w:rFonts w:ascii="Times New Roman" w:hAnsi="Times New Roman" w:eastAsia="Times New Roman" w:cs="Times New Roman"/>
        </w:rPr>
        <w:t>صهر وايت مُهر موافقتها على الـ 2520. وسنُبيّن كيف أنها تضع مُهر موافقتها على حقائق أخرى واردة في مخطط 1843.</w:t>
      </w:r>
    </w:p>
    <w:p>
      <w:pPr>
        <w:pStyle w:val="ArticleBody"/>
        <w:jc w:val="left"/>
      </w:pPr>
      <w:r>
        <w:rPr>
          <w:rFonts w:ascii="Times New Roman" w:hAnsi="Times New Roman" w:eastAsia="Times New Roman" w:cs="Times New Roman"/>
        </w:rPr>
        <w:t>Na ngwụsị nke ụwa, mgbe ihe a niile rutere n’ọkpụrụkpụ ya n’ime Oziọma Ebighị Ebi n’akụkọ ihe mere eme anyị, Akwụkwọ Nzukọ Ndị Adventist ga-eche ihu usoro ọnwụnwa nke nzọụkwụ atọ nke e buru ụzọ gosi n’ihe atụ, dịka a hụrụ ya n’ahụmahụ William Miller.</w:t>
      </w:r>
    </w:p>
    <w:p>
      <w:pPr>
        <w:pStyle w:val="ArticleBody"/>
        <w:jc w:val="left"/>
      </w:pPr>
      <w:r>
        <w:rPr>
          <w:rFonts w:ascii="Times New Roman" w:hAnsi="Times New Roman" w:eastAsia="Times New Roman" w:cs="Times New Roman"/>
        </w:rPr>
        <w:t>William Miller fitxew tlatsa mistakes: (1) Iwja rejecṭa't im Midnight Cry slew fitxew fella off im path sha im wicked world below. (2) Iwja trusta't in human influence after that, Joshua Himes. (3) Iwja rejecṭa't im Sabbath.</w:t>
      </w:r>
    </w:p>
    <w:p>
      <w:pPr>
        <w:pStyle w:val="ArticleBody"/>
        <w:jc w:val="left"/>
      </w:pPr>
      <w:r>
        <w:rPr>
          <w:rFonts w:ascii="Times New Roman" w:hAnsi="Times New Roman" w:eastAsia="Times New Roman" w:cs="Times New Roman"/>
        </w:rPr>
        <w:t>Ari re’ykuae: “¿Omoneĩpa pe sábado térã pe Santuario?” Pe mbo’epy ova’ekue pe santuario yvy arigua guive pe Santuario Yvagapegua pe tiémpope ikatu oime ndaikatúi hague oñentende porãmba Miller rehe. Ellen White ojererahárõ guare pe Tenda Marangatuvévape, ha’e ohecha pe Diez Mandamientos pe arca del pacto ryepýpe, ha pe Mandamiento del sábado oguereko peteĩ tesape marangatu ijerére.</w:t>
      </w:r>
    </w:p>
    <w:p>
      <w:pPr>
        <w:pStyle w:val="ArticleBody"/>
        <w:jc w:val="left"/>
      </w:pPr>
      <w:r>
        <w:rPr>
          <w:rFonts w:ascii="Times New Roman" w:hAnsi="Times New Roman" w:eastAsia="Times New Roman" w:cs="Times New Roman"/>
        </w:rPr>
        <w:t>Ko sa Miller i tinanggihan amo an Balaod han Dios—an Sabbath. Sanglit, gintalikdan ni Miller an Pagsinggit ha Katinungang Gabi-i, katapos nagsandig ha unod, ngan katapos nakarawat han marka han mapintas nga mananap. Ini uuliton ha kataposan han kalibotan.</w:t>
      </w:r>
    </w:p>
    <w:p>
      <w:pPr>
        <w:pStyle w:val="ArticleScripture"/>
        <w:jc w:val="left"/>
      </w:pPr>
      <w:r>
        <w:rPr>
          <w:rFonts w:ascii="Times New Roman" w:hAnsi="Times New Roman" w:eastAsia="Times New Roman" w:cs="Times New Roman"/>
        </w:rPr>
        <w:t>Témoignages, volume 5, page 211 : « Nous voyons ici que l’Église — le sanctuaire du Seigneur — fut la première à sentir le coup de la colère de Dieu. Les anciens, ceux à qui Dieu avait accordé une grande lumière et qui s’étaient tenus comme gardiens des intérêts spirituels du peuple, avaient trahi leur mandat. »</w:t>
      </w:r>
    </w:p>
    <w:p>
      <w:pPr>
        <w:pStyle w:val="ArticleBody"/>
        <w:jc w:val="left"/>
      </w:pPr>
      <w:r>
        <w:rPr>
          <w:rFonts w:ascii="Microsoft YaHei" w:hAnsi="Microsoft YaHei" w:eastAsia="Microsoft YaHei" w:cs="Microsoft YaHei"/>
        </w:rPr>
        <w:t>他女系就</w:t>
      </w:r>
      <w:r>
        <w:rPr>
          <w:rFonts w:ascii="Times New Roman" w:hAnsi="Times New Roman" w:eastAsia="Times New Roman" w:cs="Times New Roman"/>
        </w:rPr>
        <w:t>«</w:t>
      </w:r>
      <w:r>
        <w:rPr>
          <w:rFonts w:ascii="Microsoft YaHei" w:hAnsi="Microsoft YaHei" w:eastAsia="Microsoft YaHei" w:cs="Microsoft YaHei"/>
        </w:rPr>
        <w:t>以西结书</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 xml:space="preserve"> 8 </w:t>
      </w:r>
      <w:r>
        <w:rPr>
          <w:rFonts w:ascii="Microsoft YaHei" w:hAnsi="Microsoft YaHei" w:eastAsia="Microsoft YaHei" w:cs="Microsoft YaHei"/>
        </w:rPr>
        <w:t>章同第</w:t>
      </w:r>
      <w:r>
        <w:rPr>
          <w:rFonts w:ascii="Times New Roman" w:hAnsi="Times New Roman" w:eastAsia="Times New Roman" w:cs="Times New Roman"/>
        </w:rPr>
        <w:t xml:space="preserve"> 9 </w:t>
      </w:r>
      <w:r>
        <w:rPr>
          <w:rFonts w:ascii="Microsoft YaHei" w:hAnsi="Microsoft YaHei" w:eastAsia="Microsoft YaHei" w:cs="Microsoft YaHei"/>
        </w:rPr>
        <w:t>章</w:t>
      </w:r>
      <w:r>
        <w:rPr>
          <w:rFonts w:ascii="Times New Roman" w:hAnsi="Times New Roman" w:eastAsia="Times New Roman" w:cs="Times New Roman"/>
        </w:rPr>
        <w:t>,</w:t>
      </w:r>
      <w:r>
        <w:rPr>
          <w:rFonts w:ascii="Microsoft YaHei" w:hAnsi="Microsoft YaHei" w:eastAsia="Microsoft YaHei" w:cs="Microsoft YaHei"/>
        </w:rPr>
        <w:t>即受印</w:t>
      </w:r>
      <w:r>
        <w:rPr>
          <w:rFonts w:ascii="Times New Roman" w:hAnsi="Times New Roman" w:eastAsia="Times New Roman" w:cs="Times New Roman"/>
        </w:rPr>
        <w:t>,</w:t>
      </w:r>
      <w:r>
        <w:rPr>
          <w:rFonts w:ascii="Microsoft YaHei" w:hAnsi="Microsoft YaHei" w:eastAsia="Microsoft YaHei" w:cs="Microsoft YaHei"/>
        </w:rPr>
        <w:t>发表意见</w:t>
      </w:r>
      <w:r>
        <w:rPr>
          <w:rFonts w:ascii="Times New Roman" w:hAnsi="Times New Roman" w:eastAsia="Times New Roman" w:cs="Times New Roman"/>
        </w:rPr>
        <w:t>.</w:t>
      </w:r>
      <w:r>
        <w:rPr>
          <w:rFonts w:ascii="Microsoft YaHei" w:hAnsi="Microsoft YaHei" w:eastAsia="Microsoft YaHei" w:cs="Microsoft YaHei"/>
        </w:rPr>
        <w:t>怀爱伦姊妹话</w:t>
      </w:r>
      <w:r>
        <w:rPr>
          <w:rFonts w:ascii="Times New Roman" w:hAnsi="Times New Roman" w:eastAsia="Times New Roman" w:cs="Times New Roman"/>
        </w:rPr>
        <w:t>,«</w:t>
      </w:r>
      <w:r>
        <w:rPr>
          <w:rFonts w:ascii="Microsoft YaHei" w:hAnsi="Microsoft YaHei" w:eastAsia="Microsoft YaHei" w:cs="Microsoft YaHei"/>
        </w:rPr>
        <w:t>以西结书</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 xml:space="preserve"> 9 </w:t>
      </w:r>
      <w:r>
        <w:rPr>
          <w:rFonts w:ascii="Microsoft YaHei" w:hAnsi="Microsoft YaHei" w:eastAsia="Microsoft YaHei" w:cs="Microsoft YaHei"/>
        </w:rPr>
        <w:t>章所讲个受印</w:t>
      </w:r>
      <w:r>
        <w:rPr>
          <w:rFonts w:ascii="Times New Roman" w:hAnsi="Times New Roman" w:eastAsia="Times New Roman" w:cs="Times New Roman"/>
        </w:rPr>
        <w:t>,</w:t>
      </w:r>
      <w:r>
        <w:rPr>
          <w:rFonts w:ascii="Microsoft YaHei" w:hAnsi="Microsoft YaHei" w:eastAsia="Microsoft YaHei" w:cs="Microsoft YaHei"/>
        </w:rPr>
        <w:t>同</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 xml:space="preserve"> 7 </w:t>
      </w:r>
      <w:r>
        <w:rPr>
          <w:rFonts w:ascii="Microsoft YaHei" w:hAnsi="Microsoft YaHei" w:eastAsia="Microsoft YaHei" w:cs="Microsoft YaHei"/>
        </w:rPr>
        <w:t>章个受印系一样个</w:t>
      </w:r>
      <w:r>
        <w:rPr>
          <w:rFonts w:ascii="Times New Roman" w:hAnsi="Times New Roman" w:eastAsia="Times New Roman" w:cs="Times New Roman"/>
        </w:rPr>
        <w:t>.</w:t>
      </w:r>
      <w:r>
        <w:rPr>
          <w:rFonts w:ascii="Microsoft YaHei" w:hAnsi="Microsoft YaHei" w:eastAsia="Microsoft YaHei" w:cs="Microsoft YaHei"/>
        </w:rPr>
        <w:t>伊所讲个</w:t>
      </w:r>
      <w:r>
        <w:rPr>
          <w:rFonts w:ascii="Times New Roman" w:hAnsi="Times New Roman" w:eastAsia="Times New Roman" w:cs="Times New Roman"/>
        </w:rPr>
        <w:t>,</w:t>
      </w:r>
      <w:r>
        <w:rPr>
          <w:rFonts w:ascii="Microsoft YaHei" w:hAnsi="Microsoft YaHei" w:eastAsia="Microsoft YaHei" w:cs="Microsoft YaHei"/>
        </w:rPr>
        <w:t>系十四万四千人受印个时期</w:t>
      </w:r>
      <w:r>
        <w:rPr>
          <w:rFonts w:ascii="Times New Roman" w:hAnsi="Times New Roman" w:eastAsia="Times New Roman" w:cs="Times New Roman"/>
        </w:rPr>
        <w:t>.</w:t>
      </w:r>
      <w:r>
        <w:rPr>
          <w:rFonts w:ascii="Microsoft YaHei" w:hAnsi="Microsoft YaHei" w:eastAsia="Microsoft YaHei" w:cs="Microsoft YaHei"/>
        </w:rPr>
        <w:t>伊话</w:t>
      </w:r>
      <w:r>
        <w:rPr>
          <w:rFonts w:ascii="Times New Roman" w:hAnsi="Times New Roman" w:eastAsia="Times New Roman" w:cs="Times New Roman"/>
        </w:rPr>
        <w:t>,</w:t>
      </w:r>
      <w:r>
        <w:rPr>
          <w:rFonts w:ascii="Microsoft YaHei" w:hAnsi="Microsoft YaHei" w:eastAsia="Microsoft YaHei" w:cs="Microsoft YaHei"/>
        </w:rPr>
        <w:t>那些本当作守望看守个</w:t>
      </w:r>
      <w:r>
        <w:rPr>
          <w:rFonts w:ascii="Times New Roman" w:hAnsi="Times New Roman" w:eastAsia="Times New Roman" w:cs="Times New Roman"/>
        </w:rPr>
        <w:t>,</w:t>
      </w:r>
      <w:r>
        <w:rPr>
          <w:rFonts w:ascii="Microsoft YaHei" w:hAnsi="Microsoft YaHei" w:eastAsia="Microsoft YaHei" w:cs="Microsoft YaHei"/>
        </w:rPr>
        <w:t>已经背弃了他们所受个托付</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«Ils avaient adopté la position selon laquelle nous ne devons pas nous attendre à des miracles ni à la manifestation marquée de la puissance de Dieu comme aux jours passés. Les temps ont changé.» Leur première erreur fut de s’opposer au Cri de Minuit, en disant: «Ce qui s’est produit dans cette histoire du Cri de Minuit ne se répète pas.»</w:t>
      </w:r>
    </w:p>
    <w:p>
      <w:pPr>
        <w:pStyle w:val="ArticleBody"/>
        <w:jc w:val="left"/>
      </w:pPr>
      <w:r>
        <w:rPr>
          <w:rFonts w:ascii="Times New Roman" w:hAnsi="Times New Roman" w:eastAsia="Times New Roman" w:cs="Times New Roman"/>
        </w:rPr>
        <w:t>Wọ́n ń yapa kúrò lójú ọ̀nà.</w:t>
      </w:r>
    </w:p>
    <w:p>
      <w:pPr>
        <w:pStyle w:val="ArticleScripture"/>
        <w:jc w:val="left"/>
      </w:pPr>
      <w:r>
        <w:rPr>
          <w:rFonts w:ascii="Times New Roman" w:hAnsi="Times New Roman" w:eastAsia="Times New Roman" w:cs="Times New Roman"/>
        </w:rPr>
        <w:t>“Shawazi maneno haya huimarisha kutokuamini kwao, nao husema: Bwana hatatenda mema, wala hatatenda mabaya. Yeye ana rehema mno hata asiwaadhibu watu Wake kwa hukumu. Hivyo basi, ‘Amani na salama’ ndiko kulio kutoka kwa watu ambao hawatainua tena sauti yao kama tarumbeta kuwaonyesha watu wa Mungu makosa yao na nyumba ya Yakobo dhambi zao. Mbwa hawa bubu wasiopenda kubweka ndio wale wanaohisi kisasi cha haki cha Mungu aliyekasirika. Wanaume, mabikira, na watoto wadogo wote huangamia pamoja.” Testimonies, volume 5, 211.</w:t>
      </w:r>
    </w:p>
    <w:p>
      <w:pPr>
        <w:pStyle w:val="ArticleBody"/>
        <w:jc w:val="left"/>
      </w:pPr>
      <w:r>
        <w:rPr>
          <w:rFonts w:ascii="Times New Roman" w:hAnsi="Times New Roman" w:eastAsia="Times New Roman" w:cs="Times New Roman"/>
        </w:rPr>
        <w:t>Jérémie, parlant du second échec de William Miller, a dit : « Ainsi parle l’Éternel : Maudit soit l’homme qui se confie dans l’homme, qui prend la chair pour son appui, et dont le cœur se détourne de l’Éternel. » Jérémie 17:5. Si vous vous confiez en un homme, votre cœur se détourne du Seigneur.</w:t>
      </w:r>
    </w:p>
    <w:p>
      <w:pPr>
        <w:pStyle w:val="ArticleBody"/>
        <w:jc w:val="left"/>
      </w:pPr>
      <w:r>
        <w:rPr>
          <w:rFonts w:ascii="Times New Roman" w:hAnsi="Times New Roman" w:eastAsia="Times New Roman" w:cs="Times New Roman"/>
        </w:rPr>
        <w:t>A jù ọ̀nà àkọ́kọ́ sílẹ̀ ní ìkẹyìn ni Ìkígbe Ọ̀gànjọ́ Òru, àtúnṣe ìfarahàn agbára Ọlọ́run. Èkejì ni fífi ara lé ẹran-ara. Ẹ̀kẹta ni Òfin Ọjọ́-Àìkú.</w:t>
      </w:r>
    </w:p>
    <w:p>
      <w:pPr>
        <w:pStyle w:val="ArticleScripture"/>
        <w:jc w:val="left"/>
      </w:pPr>
      <w:r>
        <w:rPr>
          <w:rFonts w:ascii="Times New Roman" w:hAnsi="Times New Roman" w:eastAsia="Times New Roman" w:cs="Times New Roman"/>
        </w:rPr>
        <w:t>Kunaweza kuwako makundi mawili tu. Kila upande umewekwa chapa dhahiri, ama kwa muhuri wa Mungu aliye hai, au kwa chapa ya mnyama au ya sanamu yake. Kila mwana na binti wa Adamu humchagua aidha Kristo au Baraba kuwa mkuu wake. Nao wote wanaojiweka upande wa wasio waaminifu wamesimama chini ya bendera nyeusi ya Shetani, na wanahesabiwa kuwa wamemkataa Kristo na wamemtumia kwa dharau. Wanahesabiwa kuwa wanamsulibisha kwa makusudi Bwana wa uzima na utukufu. Review and Herald, Januari 30, 1900.</w:t>
      </w:r>
    </w:p>
    <w:p>
      <w:pPr>
        <w:pStyle w:val="ArticleBody"/>
        <w:jc w:val="left"/>
      </w:pPr>
      <w:r>
        <w:rPr>
          <w:rFonts w:ascii="Times New Roman" w:hAnsi="Times New Roman" w:eastAsia="Times New Roman" w:cs="Times New Roman"/>
        </w:rPr>
        <w:t>Un fait est certain : les adventistes du septième jour qui prennent position sous la bannière de Satan renonceront d’abord à leur confiance dans l’Esprit de prophétie.</w:t>
      </w:r>
    </w:p>
    <w:p>
      <w:pPr>
        <w:pStyle w:val="ArticleBody"/>
        <w:jc w:val="left"/>
      </w:pPr>
      <w:r>
        <w:rPr>
          <w:rFonts w:ascii="Times New Roman" w:hAnsi="Times New Roman" w:eastAsia="Times New Roman" w:cs="Times New Roman"/>
        </w:rPr>
        <w:t>L’adventisme répète le processus d’épreuve en trois étapes auquel William Miller a échoué. Mais des anges attendent de ressusciter Miller et de le ramener chez lui auprès de son Sauveur. Pour les adventistes qui reçoivent la marque de la bête, ce ne sont pas ces anges-là qui les attendent.</w:t>
      </w:r>
    </w:p>
    <w:p>
      <w:pPr>
        <w:pStyle w:val="ArticleScripture"/>
        <w:jc w:val="left"/>
      </w:pPr>
      <w:r>
        <w:rPr>
          <w:rFonts w:ascii="Malgun Gothic" w:hAnsi="Malgun Gothic" w:eastAsia="Malgun Gothic" w:cs="Malgun Gothic"/>
        </w:rPr>
        <w:t>회듭하여</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백성의</w:t>
      </w:r>
      <w:r>
        <w:rPr>
          <w:rFonts w:ascii="Times New Roman" w:hAnsi="Times New Roman" w:eastAsia="Times New Roman" w:cs="Times New Roman"/>
        </w:rPr>
        <w:t xml:space="preserve"> </w:t>
      </w:r>
      <w:r>
        <w:rPr>
          <w:rFonts w:ascii="Malgun Gothic" w:hAnsi="Malgun Gothic" w:eastAsia="Malgun Gothic" w:cs="Malgun Gothic"/>
        </w:rPr>
        <w:t>과거</w:t>
      </w:r>
      <w:r>
        <w:rPr>
          <w:rFonts w:ascii="Times New Roman" w:hAnsi="Times New Roman" w:eastAsia="Times New Roman" w:cs="Times New Roman"/>
        </w:rPr>
        <w:t xml:space="preserve"> </w:t>
      </w:r>
      <w:r>
        <w:rPr>
          <w:rFonts w:ascii="Malgun Gothic" w:hAnsi="Malgun Gothic" w:eastAsia="Malgun Gothic" w:cs="Malgun Gothic"/>
        </w:rPr>
        <w:t>경험들이</w:t>
      </w:r>
      <w:r>
        <w:rPr>
          <w:rFonts w:ascii="Times New Roman" w:hAnsi="Times New Roman" w:eastAsia="Times New Roman" w:cs="Times New Roman"/>
        </w:rPr>
        <w:t xml:space="preserve"> </w:t>
      </w:r>
      <w:r>
        <w:rPr>
          <w:rFonts w:ascii="Malgun Gothic" w:hAnsi="Malgun Gothic" w:eastAsia="Malgun Gothic" w:cs="Malgun Gothic"/>
        </w:rPr>
        <w:t>죽은</w:t>
      </w:r>
      <w:r>
        <w:rPr>
          <w:rFonts w:ascii="Times New Roman" w:hAnsi="Times New Roman" w:eastAsia="Times New Roman" w:cs="Times New Roman"/>
        </w:rPr>
        <w:t xml:space="preserve"> </w:t>
      </w:r>
      <w:r>
        <w:rPr>
          <w:rFonts w:ascii="Malgun Gothic" w:hAnsi="Malgun Gothic" w:eastAsia="Malgun Gothic" w:cs="Malgun Gothic"/>
        </w:rPr>
        <w:t>사실들로</w:t>
      </w:r>
      <w:r>
        <w:rPr>
          <w:rFonts w:ascii="Times New Roman" w:hAnsi="Times New Roman" w:eastAsia="Times New Roman" w:cs="Times New Roman"/>
        </w:rPr>
        <w:t xml:space="preserve"> </w:t>
      </w:r>
      <w:r>
        <w:rPr>
          <w:rFonts w:ascii="Malgun Gothic" w:hAnsi="Malgun Gothic" w:eastAsia="Malgun Gothic" w:cs="Malgun Gothic"/>
        </w:rPr>
        <w:t>여겨져서는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된다는</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보여</w:t>
      </w:r>
      <w:r>
        <w:rPr>
          <w:rFonts w:ascii="Times New Roman" w:hAnsi="Times New Roman" w:eastAsia="Times New Roman" w:cs="Times New Roman"/>
        </w:rPr>
        <w:t xml:space="preserve"> </w:t>
      </w:r>
      <w:r>
        <w:rPr>
          <w:rFonts w:ascii="Malgun Gothic" w:hAnsi="Malgun Gothic" w:eastAsia="Malgun Gothic" w:cs="Malgun Gothic"/>
        </w:rPr>
        <w:t>받아</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이러한</w:t>
      </w:r>
      <w:r>
        <w:rPr>
          <w:rFonts w:ascii="Times New Roman" w:hAnsi="Times New Roman" w:eastAsia="Times New Roman" w:cs="Times New Roman"/>
        </w:rPr>
        <w:t xml:space="preserve"> </w:t>
      </w:r>
      <w:r>
        <w:rPr>
          <w:rFonts w:ascii="Malgun Gothic" w:hAnsi="Malgun Gothic" w:eastAsia="Malgun Gothic" w:cs="Malgun Gothic"/>
        </w:rPr>
        <w:t>경험들의</w:t>
      </w:r>
      <w:r>
        <w:rPr>
          <w:rFonts w:ascii="Times New Roman" w:hAnsi="Times New Roman" w:eastAsia="Times New Roman" w:cs="Times New Roman"/>
        </w:rPr>
        <w:t xml:space="preserve"> </w:t>
      </w:r>
      <w:r>
        <w:rPr>
          <w:rFonts w:ascii="Malgun Gothic" w:hAnsi="Malgun Gothic" w:eastAsia="Malgun Gothic" w:cs="Malgun Gothic"/>
        </w:rPr>
        <w:t>기록을</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작년의</w:t>
      </w:r>
      <w:r>
        <w:rPr>
          <w:rFonts w:ascii="Times New Roman" w:hAnsi="Times New Roman" w:eastAsia="Times New Roman" w:cs="Times New Roman"/>
        </w:rPr>
        <w:t xml:space="preserve"> </w:t>
      </w:r>
      <w:r>
        <w:rPr>
          <w:rFonts w:ascii="Malgun Gothic" w:hAnsi="Malgun Gothic" w:eastAsia="Malgun Gothic" w:cs="Malgun Gothic"/>
        </w:rPr>
        <w:t>연감</w:t>
      </w:r>
      <w:r>
        <w:rPr>
          <w:rFonts w:ascii="Times New Roman" w:hAnsi="Times New Roman" w:eastAsia="Times New Roman" w:cs="Times New Roman"/>
        </w:rPr>
        <w:t>(</w:t>
      </w:r>
      <w:r>
        <w:rPr>
          <w:rFonts w:ascii="Microsoft YaHei" w:hAnsi="Microsoft YaHei" w:eastAsia="Microsoft YaHei" w:cs="Microsoft YaHei"/>
        </w:rPr>
        <w:t>年鑑</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다루듯이</w:t>
      </w:r>
      <w:r>
        <w:rPr>
          <w:rFonts w:ascii="Times New Roman" w:hAnsi="Times New Roman" w:eastAsia="Times New Roman" w:cs="Times New Roman"/>
        </w:rPr>
        <w:t xml:space="preserve"> </w:t>
      </w:r>
      <w:r>
        <w:rPr>
          <w:rFonts w:ascii="Malgun Gothic" w:hAnsi="Malgun Gothic" w:eastAsia="Malgun Gothic" w:cs="Malgun Gothic"/>
        </w:rPr>
        <w:t>취급해서는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기록은</w:t>
      </w:r>
      <w:r>
        <w:rPr>
          <w:rFonts w:ascii="Times New Roman" w:hAnsi="Times New Roman" w:eastAsia="Times New Roman" w:cs="Times New Roman"/>
        </w:rPr>
        <w:t xml:space="preserve"> </w:t>
      </w:r>
      <w:r>
        <w:rPr>
          <w:rFonts w:ascii="Malgun Gothic" w:hAnsi="Malgun Gothic" w:eastAsia="Malgun Gothic" w:cs="Malgun Gothic"/>
        </w:rPr>
        <w:t>마음에</w:t>
      </w:r>
      <w:r>
        <w:rPr>
          <w:rFonts w:ascii="Times New Roman" w:hAnsi="Times New Roman" w:eastAsia="Times New Roman" w:cs="Times New Roman"/>
        </w:rPr>
        <w:t xml:space="preserve"> </w:t>
      </w:r>
      <w:r>
        <w:rPr>
          <w:rFonts w:ascii="Malgun Gothic" w:hAnsi="Malgun Gothic" w:eastAsia="Malgun Gothic" w:cs="Malgun Gothic"/>
        </w:rPr>
        <w:t>간직되어야</w:t>
      </w:r>
      <w:r>
        <w:rPr>
          <w:rFonts w:ascii="Times New Roman" w:hAnsi="Times New Roman" w:eastAsia="Times New Roman" w:cs="Times New Roman"/>
        </w:rPr>
        <w:t xml:space="preserve"> </w:t>
      </w:r>
      <w:r>
        <w:rPr>
          <w:rFonts w:ascii="Malgun Gothic" w:hAnsi="Malgun Gothic" w:eastAsia="Malgun Gothic" w:cs="Malgun Gothic"/>
        </w:rPr>
        <w:t>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역사가</w:t>
      </w:r>
      <w:r>
        <w:rPr>
          <w:rFonts w:ascii="Times New Roman" w:hAnsi="Times New Roman" w:eastAsia="Times New Roman" w:cs="Times New Roman"/>
        </w:rPr>
        <w:t xml:space="preserve"> </w:t>
      </w:r>
      <w:r>
        <w:rPr>
          <w:rFonts w:ascii="Malgun Gothic" w:hAnsi="Malgun Gothic" w:eastAsia="Malgun Gothic" w:cs="Malgun Gothic"/>
        </w:rPr>
        <w:t>반복될</w:t>
      </w:r>
      <w:r>
        <w:rPr>
          <w:rFonts w:ascii="Times New Roman" w:hAnsi="Times New Roman" w:eastAsia="Times New Roman" w:cs="Times New Roman"/>
        </w:rPr>
        <w:t xml:space="preserve"> </w:t>
      </w:r>
      <w:r>
        <w:rPr>
          <w:rFonts w:ascii="Malgun Gothic" w:hAnsi="Malgun Gothic" w:eastAsia="Malgun Gothic" w:cs="Malgun Gothic"/>
        </w:rPr>
        <w:t>것이기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Publishing Ministry, 175.</w:t>
      </w:r>
    </w:p>
    <w:p>
      <w:pPr>
        <w:pStyle w:val="ArticleBody"/>
        <w:jc w:val="left"/>
      </w:pPr>
      <w:r>
        <w:rPr>
          <w:rFonts w:ascii="Times New Roman" w:hAnsi="Times New Roman" w:eastAsia="Times New Roman" w:cs="Times New Roman"/>
        </w:rPr>
        <w:t>Me yasa muke bukatar mu tuna da Kukan Tsakar Dare? Domin tarihi zai maimaitu. A cikin wannan tarihi, saƙon da zai jawo girgizawa shi ne 2520 da 2300; saboda wannan ne zai fitar da mutane daga cikin ikkilisiyoyi.</w:t>
      </w:r>
    </w:p>
    <w:p>
      <w:pPr>
        <w:pStyle w:val="ArticleBody"/>
        <w:jc w:val="left"/>
      </w:pPr>
      <w:r>
        <w:rPr>
          <w:rFonts w:ascii="Times New Roman" w:hAnsi="Times New Roman" w:eastAsia="Times New Roman" w:cs="Times New Roman"/>
        </w:rPr>
        <w:t>Mais cette histoire, le Cri de Minuit, va-t-elle réellement se répéter, ou n’est-ce qu’une simple histoire ? Remarquez cette citation suivante :</w:t>
      </w:r>
    </w:p>
    <w:p>
      <w:pPr>
        <w:pStyle w:val="ArticleScripture"/>
        <w:jc w:val="left"/>
      </w:pPr>
      <w:r>
        <w:rPr>
          <w:rFonts w:ascii="Times New Roman" w:hAnsi="Times New Roman" w:eastAsia="Times New Roman" w:cs="Times New Roman"/>
        </w:rPr>
        <w:t>Kuna ulimwengu uliolala katika uovu, katika udanganyifu na upotovu, katika kivuli chenyewe cha mauti,—umelala, umelala. Ni nani wanaohisi utungu wa roho ili kuwaamsha? Ni sauti gani inayoweza kuwafikia? Akili yangu ilichukuliwa hadi wakati ujao, wakati ishara itakapotolewa. “Tazama, Bwana-arusi anakuja; tokeni mwende kumlaki.” Lakini wengine watakuwa wamechelewa kupata mafuta kwa ajili ya kujazia taa zao, na wakiwa wamechelewa mno watagundua kwamba tabia, ambayo inawakilishwa na mafuta, haiwezi kuhamishwa.” Review and Herald, February 11, 1896.</w:t>
      </w:r>
    </w:p>
    <w:p>
      <w:pPr>
        <w:pStyle w:val="ArticleBody"/>
        <w:jc w:val="left"/>
      </w:pPr>
      <w:r>
        <w:rPr>
          <w:rFonts w:ascii="Times New Roman" w:hAnsi="Times New Roman" w:eastAsia="Times New Roman" w:cs="Times New Roman"/>
        </w:rPr>
        <w:t>L’histoire du Cri de Minuit se répète à la lettre.</w:t>
      </w:r>
    </w:p>
    <w:p>
      <w:pPr>
        <w:pStyle w:val="ArticleBody"/>
        <w:jc w:val="left"/>
      </w:pPr>
      <w:r>
        <w:rPr>
          <w:rFonts w:ascii="Times New Roman" w:hAnsi="Times New Roman" w:eastAsia="Times New Roman" w:cs="Times New Roman"/>
        </w:rPr>
        <w:t>Ellen White comprenait que les 2520 constituaient une prophétie chronologique valide, et qu’ils furent employés par le Seigneur pour produire le temps d’attente, le désappointement qui engendra l’expérience préparant des hommes et des femmes à avancer par la foi dans le lieu très saint avec Christ.</w:t>
      </w:r>
    </w:p>
    <w:p>
      <w:pPr>
        <w:pStyle w:val="ArticleBody"/>
        <w:jc w:val="left"/>
      </w:pPr>
      <w:r>
        <w:rPr>
          <w:rFonts w:ascii="Times New Roman" w:hAnsi="Times New Roman" w:eastAsia="Times New Roman" w:cs="Times New Roman"/>
        </w:rPr>
        <w:t>Sisi bado hatujajaribu kuthibitisha 2520 kutoka katika Biblia. Katika uchunguzi huu wa Majedwali Mawili ya Habakuki, kwanza tunataka kuweka wazi kwamba Ellen White anathibitisha mafundisho haya yanayokataliwa na Waadventista leo; kisha tutaingia katika uchunguzi wa Kibiblia.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Тухнӑн пророчествӑллӑ сасси: ертсе пыракан та вӗрентекен те</dc:title>
  <dc:subject>Les deux tables d’Habacuc</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