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om vers førti – nummer én</w:t>
      </w:r>
    </w:p>
    <w:p>
      <w:pPr>
        <w:pStyle w:val="ArticleSubtitle"/>
        <w:jc w:val="left"/>
      </w:pPr>
      <w:r>
        <w:rPr>
          <w:rFonts w:ascii="Arial" w:hAnsi="Arial" w:eastAsia="Arial" w:cs="Arial"/>
        </w:rPr>
        <w:t>Dévoilement des prophéties : les derniers jours, le Lion de Juda et les derniers mouvements de l’Apocalypse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Dalam Wahyu pasal lima, Singa dari suku Yehuda melambangkan kedudukan Kristus sebagai Dia yang telah menang untuk memeteraikan dan membuka meterai Firman Allah menurut kehendak-Nya. Pada tahun 1989, seratus dua puluh enam tahun setelah pemberontakan tahun 1863, Singa dari suku Yehuda membuka meterai enam ayat terakhir dari Daniel pasal sebelas. Ayat-ayat itu dimulai dengan luka yang mematikan atas kepausan pada tahun 1798, dan memperkenalkan kesaksian tentang bagaimana luka kepausan itu akan disembuhkan dan lebih jauh lagi menuju luka mematikan terakhir atas kepausan. Ayat-ayat itu dimulai sebagaimana ayat-ayat itu berakhir; dengan penghakiman atas Roma kepausan.</w:t>
      </w:r>
    </w:p>
    <w:p>
      <w:pPr>
        <w:pStyle w:val="ArticleBody"/>
        <w:jc w:val="left"/>
      </w:pPr>
      <w:r>
        <w:rPr>
          <w:rFonts w:ascii="Times New Roman" w:hAnsi="Times New Roman" w:eastAsia="Times New Roman" w:cs="Times New Roman"/>
        </w:rPr>
        <w:t>Ces six versets décrivent la guérison de la blessure mortelle de la papauté, ainsi que la manière dont l’union tripartite du dragon, de la bête et du faux prophète conduit le monde à Armaguédon, lequel est identifié au verset quarante-cinq comme étant « entre les mers et la glorieuse montagne sainte ».</w:t>
      </w:r>
    </w:p>
    <w:p>
      <w:pPr>
        <w:pStyle w:val="ArticleBody"/>
        <w:jc w:val="left"/>
      </w:pP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निरन्तर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पूर्वाभास</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22 </w:t>
      </w:r>
      <w:r>
        <w:rPr>
          <w:rFonts w:ascii="Nirmala UI" w:hAnsi="Nirmala UI" w:eastAsia="Nirmala UI" w:cs="Nirmala UI"/>
        </w:rPr>
        <w:t>अक्तूबर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Mwanzoni mwa mwendo katika wakati wa mwisho mwaka 1989, Simba wa kabila la Yuda alifungua mihuri ya aya sita za mwisho za Danieli kumi na moja; na mwishoni mwa mwendo huo, kabla tu ya sheria ya Jumapili, Yeye anafunua historia iliyofichwa ya aya ya arobaini ya Danieli kumi na moja. Maelezo ya Dada White kuhusu ni sehemu gani ya Danieli inayofunuliwa yanahusu kufunuliwa kwa mwaka 1989, na pia kufunuliwa kulikoanza mwezi Julai 2023.</w:t>
      </w:r>
    </w:p>
    <w:p>
      <w:pPr>
        <w:pStyle w:val="ArticleScripture"/>
        <w:jc w:val="left"/>
      </w:pPr>
      <w:r>
        <w:rPr>
          <w:rFonts w:ascii="Times New Roman" w:hAnsi="Times New Roman" w:eastAsia="Times New Roman" w:cs="Times New Roman"/>
        </w:rPr>
        <w:t>“Libri që ishte vulosur nuk ishte libri i Zbulesës, por ajo pjesë e profecisë së Danielit që kishte të bënte me ditët e fundit. Shkrimi thotë: ‘Por ti, o Daniel, mbylli fjalët dhe vulose librin deri në kohën e fundit; shumë do të enden andej-këndej dhe njohuria do të shtohet’ (Danieli 12:4). Kur libri u hap, u bë shpallja: ‘Nuk do të ketë më kohë.’ (Shih Zbulesa 10:6.) Libri i Danielit tani është i pavulosur, dhe zbulesa e dhënë nga Krishti Gjonit duhet t’u vijë të gjithë banorëve të tokës. Përmes shtimit të njohurisë, një popull do të përgatitet për të qëndruar në ditët e fundit. . . .”</w:t>
      </w:r>
    </w:p>
    <w:p>
      <w:pPr>
        <w:pStyle w:val="ArticleScripture"/>
        <w:jc w:val="left"/>
      </w:pPr>
      <w:r>
        <w:rPr>
          <w:rFonts w:ascii="Microsoft YaHei" w:hAnsi="Microsoft YaHei" w:eastAsia="Microsoft YaHei" w:cs="Microsoft YaHei"/>
        </w:rPr>
        <w:t>「第一</w:t>
      </w:r>
      <w:r>
        <w:rPr>
          <w:rFonts w:ascii="MS Gothic" w:hAnsi="MS Gothic" w:eastAsia="MS Gothic" w:cs="MS Gothic"/>
        </w:rPr>
        <w:t>の</w:t>
      </w:r>
      <w:r>
        <w:rPr>
          <w:rFonts w:ascii="Microsoft YaHei" w:hAnsi="Microsoft YaHei" w:eastAsia="Microsoft YaHei" w:cs="Microsoft YaHei"/>
        </w:rPr>
        <w:t>御使</w:t>
      </w:r>
      <w:r>
        <w:rPr>
          <w:rFonts w:ascii="MS Gothic" w:hAnsi="MS Gothic" w:eastAsia="MS Gothic" w:cs="MS Gothic"/>
        </w:rPr>
        <w:t>いのメッセージにおいて</w:t>
      </w:r>
      <w:r>
        <w:rPr>
          <w:rFonts w:ascii="Microsoft YaHei" w:hAnsi="Microsoft YaHei" w:eastAsia="Microsoft YaHei" w:cs="Microsoft YaHei"/>
        </w:rPr>
        <w:t>、人々</w:t>
      </w:r>
      <w:r>
        <w:rPr>
          <w:rFonts w:ascii="MS Gothic" w:hAnsi="MS Gothic" w:eastAsia="MS Gothic" w:cs="MS Gothic"/>
        </w:rPr>
        <w:t>は</w:t>
      </w:r>
      <w:r>
        <w:rPr>
          <w:rFonts w:ascii="Microsoft YaHei" w:hAnsi="Microsoft YaHei" w:eastAsia="Microsoft YaHei" w:cs="Microsoft YaHei"/>
        </w:rPr>
        <w:t>、世界</w:t>
      </w:r>
      <w:r>
        <w:rPr>
          <w:rFonts w:ascii="MS Gothic" w:hAnsi="MS Gothic" w:eastAsia="MS Gothic" w:cs="MS Gothic"/>
        </w:rPr>
        <w:t>とその</w:t>
      </w:r>
      <w:r>
        <w:rPr>
          <w:rFonts w:ascii="Microsoft YaHei" w:hAnsi="Microsoft YaHei" w:eastAsia="Microsoft YaHei" w:cs="Microsoft YaHei"/>
        </w:rPr>
        <w:t>中</w:t>
      </w:r>
      <w:r>
        <w:rPr>
          <w:rFonts w:ascii="MS Gothic" w:hAnsi="MS Gothic" w:eastAsia="MS Gothic" w:cs="MS Gothic"/>
        </w:rPr>
        <w:t>にあるすべてのものを</w:t>
      </w:r>
      <w:r>
        <w:rPr>
          <w:rFonts w:ascii="Microsoft YaHei" w:hAnsi="Microsoft YaHei" w:eastAsia="Microsoft YaHei" w:cs="Microsoft YaHei"/>
        </w:rPr>
        <w:t>造</w:t>
      </w:r>
      <w:r>
        <w:rPr>
          <w:rFonts w:ascii="MS Gothic" w:hAnsi="MS Gothic" w:eastAsia="MS Gothic" w:cs="MS Gothic"/>
        </w:rPr>
        <w:t>られた</w:t>
      </w:r>
      <w:r>
        <w:rPr>
          <w:rFonts w:ascii="Microsoft YaHei" w:hAnsi="Microsoft YaHei" w:eastAsia="Microsoft YaHei" w:cs="Microsoft YaHei"/>
        </w:rPr>
        <w:t>、私</w:t>
      </w:r>
      <w:r>
        <w:rPr>
          <w:rFonts w:ascii="MS Gothic" w:hAnsi="MS Gothic" w:eastAsia="MS Gothic" w:cs="MS Gothic"/>
        </w:rPr>
        <w:t>たちの</w:t>
      </w:r>
      <w:r>
        <w:rPr>
          <w:rFonts w:ascii="Microsoft YaHei" w:hAnsi="Microsoft YaHei" w:eastAsia="Microsoft YaHei" w:cs="Microsoft YaHei"/>
        </w:rPr>
        <w:t>創造主</w:t>
      </w:r>
      <w:r>
        <w:rPr>
          <w:rFonts w:ascii="MS Gothic" w:hAnsi="MS Gothic" w:eastAsia="MS Gothic" w:cs="MS Gothic"/>
        </w:rPr>
        <w:t>なる</w:t>
      </w:r>
      <w:r>
        <w:rPr>
          <w:rFonts w:ascii="Microsoft YaHei" w:hAnsi="Microsoft YaHei" w:eastAsia="Microsoft YaHei" w:cs="Microsoft YaHei"/>
        </w:rPr>
        <w:t>神</w:t>
      </w:r>
      <w:r>
        <w:rPr>
          <w:rFonts w:ascii="MS Gothic" w:hAnsi="MS Gothic" w:eastAsia="MS Gothic" w:cs="MS Gothic"/>
        </w:rPr>
        <w:t>を</w:t>
      </w:r>
      <w:r>
        <w:rPr>
          <w:rFonts w:ascii="Microsoft YaHei" w:hAnsi="Microsoft YaHei" w:eastAsia="Microsoft YaHei" w:cs="Microsoft YaHei"/>
        </w:rPr>
        <w:t>礼拝</w:t>
      </w:r>
      <w:r>
        <w:rPr>
          <w:rFonts w:ascii="MS Gothic" w:hAnsi="MS Gothic" w:eastAsia="MS Gothic" w:cs="MS Gothic"/>
        </w:rPr>
        <w:t>するよう</w:t>
      </w:r>
      <w:r>
        <w:rPr>
          <w:rFonts w:ascii="Microsoft YaHei" w:hAnsi="Microsoft YaHei" w:eastAsia="Microsoft YaHei" w:cs="Microsoft YaHei"/>
        </w:rPr>
        <w:t>求</w:t>
      </w:r>
      <w:r>
        <w:rPr>
          <w:rFonts w:ascii="MS Gothic" w:hAnsi="MS Gothic" w:eastAsia="MS Gothic" w:cs="MS Gothic"/>
        </w:rPr>
        <w:t>められている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教皇権</w:t>
      </w:r>
      <w:r>
        <w:rPr>
          <w:rFonts w:ascii="MS Gothic" w:hAnsi="MS Gothic" w:eastAsia="MS Gothic" w:cs="MS Gothic"/>
        </w:rPr>
        <w:t>の</w:t>
      </w:r>
      <w:r>
        <w:rPr>
          <w:rFonts w:ascii="Microsoft YaHei" w:hAnsi="Microsoft YaHei" w:eastAsia="Microsoft YaHei" w:cs="Microsoft YaHei"/>
        </w:rPr>
        <w:t>一制度</w:t>
      </w:r>
      <w:r>
        <w:rPr>
          <w:rFonts w:ascii="MS Gothic" w:hAnsi="MS Gothic" w:eastAsia="MS Gothic" w:cs="MS Gothic"/>
        </w:rPr>
        <w:t>に</w:t>
      </w:r>
      <w:r>
        <w:rPr>
          <w:rFonts w:ascii="Microsoft YaHei" w:hAnsi="Microsoft YaHei" w:eastAsia="Microsoft YaHei" w:cs="Microsoft YaHei"/>
        </w:rPr>
        <w:t>敬意</w:t>
      </w:r>
      <w:r>
        <w:rPr>
          <w:rFonts w:ascii="MS Gothic" w:hAnsi="MS Gothic" w:eastAsia="MS Gothic" w:cs="MS Gothic"/>
        </w:rPr>
        <w:t>を</w:t>
      </w:r>
      <w:r>
        <w:rPr>
          <w:rFonts w:ascii="Microsoft YaHei" w:hAnsi="Microsoft YaHei" w:eastAsia="Microsoft YaHei" w:cs="Microsoft YaHei"/>
        </w:rPr>
        <w:t>払</w:t>
      </w:r>
      <w:r>
        <w:rPr>
          <w:rFonts w:ascii="MS Gothic" w:hAnsi="MS Gothic" w:eastAsia="MS Gothic" w:cs="MS Gothic"/>
        </w:rPr>
        <w:t>ってきたため</w:t>
      </w:r>
      <w:r>
        <w:rPr>
          <w:rFonts w:ascii="Microsoft YaHei" w:hAnsi="Microsoft YaHei" w:eastAsia="Microsoft YaHei" w:cs="Microsoft YaHei"/>
        </w:rPr>
        <w:t>、</w:t>
      </w:r>
      <w:r>
        <w:rPr>
          <w:rFonts w:ascii="MS Gothic" w:hAnsi="MS Gothic" w:eastAsia="MS Gothic" w:cs="MS Gothic"/>
        </w:rPr>
        <w:t>エホバの</w:t>
      </w:r>
      <w:r>
        <w:rPr>
          <w:rFonts w:ascii="Microsoft YaHei" w:hAnsi="Microsoft YaHei" w:eastAsia="Microsoft YaHei" w:cs="Microsoft YaHei"/>
        </w:rPr>
        <w:t>律法</w:t>
      </w:r>
      <w:r>
        <w:rPr>
          <w:rFonts w:ascii="MS Gothic" w:hAnsi="MS Gothic" w:eastAsia="MS Gothic" w:cs="MS Gothic"/>
        </w:rPr>
        <w:t>を</w:t>
      </w:r>
      <w:r>
        <w:rPr>
          <w:rFonts w:ascii="Microsoft YaHei" w:hAnsi="Microsoft YaHei" w:eastAsia="Microsoft YaHei" w:cs="Microsoft YaHei"/>
        </w:rPr>
        <w:t>無効</w:t>
      </w:r>
      <w:r>
        <w:rPr>
          <w:rFonts w:ascii="MS Gothic" w:hAnsi="MS Gothic" w:eastAsia="MS Gothic" w:cs="MS Gothic"/>
        </w:rPr>
        <w:t>なものとしてきたのである</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主題</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する</w:t>
      </w:r>
      <w:r>
        <w:rPr>
          <w:rFonts w:ascii="Microsoft YaHei" w:hAnsi="Microsoft YaHei" w:eastAsia="Microsoft YaHei" w:cs="Microsoft YaHei"/>
        </w:rPr>
        <w:t>知識</w:t>
      </w:r>
      <w:r>
        <w:rPr>
          <w:rFonts w:ascii="MS Gothic" w:hAnsi="MS Gothic" w:eastAsia="MS Gothic" w:cs="MS Gothic"/>
        </w:rPr>
        <w:t>は</w:t>
      </w:r>
      <w:r>
        <w:rPr>
          <w:rFonts w:ascii="Microsoft YaHei" w:hAnsi="Microsoft YaHei" w:eastAsia="Microsoft YaHei" w:cs="Microsoft YaHei"/>
        </w:rPr>
        <w:t>増</w:t>
      </w:r>
      <w:r>
        <w:rPr>
          <w:rFonts w:ascii="MS Gothic" w:hAnsi="MS Gothic" w:eastAsia="MS Gothic" w:cs="MS Gothic"/>
        </w:rPr>
        <w:t>し</w:t>
      </w:r>
      <w:r>
        <w:rPr>
          <w:rFonts w:ascii="Microsoft YaHei" w:hAnsi="Microsoft YaHei" w:eastAsia="Microsoft YaHei" w:cs="Microsoft YaHei"/>
        </w:rPr>
        <w:t>加</w:t>
      </w:r>
      <w:r>
        <w:rPr>
          <w:rFonts w:ascii="MS Gothic" w:hAnsi="MS Gothic" w:eastAsia="MS Gothic" w:cs="MS Gothic"/>
        </w:rPr>
        <w:t>えられることになっている</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セレクテッド・メッセージズ</w:t>
      </w:r>
      <w:r>
        <w:rPr>
          <w:rFonts w:ascii="Microsoft YaHei" w:hAnsi="Microsoft YaHei" w:eastAsia="Microsoft YaHei" w:cs="Microsoft YaHei"/>
        </w:rPr>
        <w:t>』第</w:t>
      </w:r>
      <w:r>
        <w:rPr>
          <w:rFonts w:ascii="Times New Roman" w:hAnsi="Times New Roman" w:eastAsia="Times New Roman" w:cs="Times New Roman"/>
        </w:rPr>
        <w:t>2</w:t>
      </w:r>
      <w:r>
        <w:rPr>
          <w:rFonts w:ascii="Microsoft YaHei" w:hAnsi="Microsoft YaHei" w:eastAsia="Microsoft YaHei" w:cs="Microsoft YaHei"/>
        </w:rPr>
        <w:t>巻、</w:t>
      </w:r>
      <w:r>
        <w:rPr>
          <w:rFonts w:ascii="Times New Roman" w:hAnsi="Times New Roman" w:eastAsia="Times New Roman" w:cs="Times New Roman"/>
        </w:rPr>
        <w:t>105</w:t>
      </w:r>
      <w:r>
        <w:rPr>
          <w:rFonts w:ascii="Microsoft YaHei" w:hAnsi="Microsoft YaHei" w:eastAsia="Microsoft YaHei" w:cs="Microsoft YaHei"/>
        </w:rPr>
        <w:t>、</w:t>
      </w:r>
      <w:r>
        <w:rPr>
          <w:rFonts w:ascii="Times New Roman" w:hAnsi="Times New Roman" w:eastAsia="Times New Roman" w:cs="Times New Roman"/>
        </w:rPr>
        <w:t>106</w:t>
      </w:r>
      <w:r>
        <w:rPr>
          <w:rFonts w:ascii="Microsoft YaHei" w:hAnsi="Microsoft YaHei" w:eastAsia="Microsoft YaHei" w:cs="Microsoft YaHei"/>
        </w:rPr>
        <w:t>頁</w:t>
      </w:r>
      <w:r>
        <w:rPr>
          <w:rFonts w:ascii="Times New Roman" w:hAnsi="Times New Roman" w:eastAsia="Times New Roman" w:cs="Times New Roman"/>
        </w:rPr>
        <w:t>.</w:t>
      </w:r>
    </w:p>
    <w:p>
      <w:pPr>
        <w:pStyle w:val="ArticleBody"/>
        <w:jc w:val="left"/>
      </w:pPr>
      <w:r>
        <w:rPr>
          <w:rFonts w:ascii="Nirmala UI" w:hAnsi="Nirmala UI" w:eastAsia="Nirmala UI" w:cs="Nirmala UI"/>
        </w:rPr>
        <w:t>सेन्फ़िका</w:t>
      </w:r>
      <w:r>
        <w:rPr>
          <w:rFonts w:ascii="Times New Roman" w:hAnsi="Times New Roman" w:eastAsia="Times New Roman" w:cs="Times New Roman"/>
        </w:rPr>
        <w:t xml:space="preserve"> </w:t>
      </w:r>
      <w:r>
        <w:rPr>
          <w:rFonts w:ascii="Nirmala UI" w:hAnsi="Nirmala UI" w:eastAsia="Nirmala UI" w:cs="Nirmala UI"/>
        </w:rPr>
        <w:t>किताब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सेन्फ़िका</w:t>
      </w:r>
      <w:r>
        <w:rPr>
          <w:rFonts w:ascii="Times New Roman" w:hAnsi="Times New Roman" w:eastAsia="Times New Roman" w:cs="Times New Roman"/>
        </w:rPr>
        <w:t xml:space="preserve"> </w:t>
      </w:r>
      <w:r>
        <w:rPr>
          <w:rFonts w:ascii="Nirmala UI" w:hAnsi="Nirmala UI" w:eastAsia="Nirmala UI" w:cs="Nirmala UI"/>
        </w:rPr>
        <w:t>किताब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1989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A passagem indica que um aumento de conhecimento, “destinado a preparar um povo para permanecer em pé nos últimos dias”, representa o deslacramento dos últimos seis versículos em 1989 e, igualmente, representa o deslacramento da história oculta do versículo quarenta. Em ambas as histórias, a Inspiração identifica que deve haver um aumento de conhecimento acerca do poder papal e da lei dominical. Tanto no início como no fim do movimento dos cento e quarenta e quatro mil, o aumento de conhecimento produz um processo de prova em três etapas, conforme representado em Daniel capítulo doze.</w:t>
      </w:r>
    </w:p>
    <w:p>
      <w:pPr>
        <w:pStyle w:val="ArticleScripture"/>
        <w:jc w:val="left"/>
      </w:pPr>
      <w:r>
        <w:rPr>
          <w:rFonts w:ascii="Times New Roman" w:hAnsi="Times New Roman" w:eastAsia="Times New Roman" w:cs="Times New Roman"/>
        </w:rPr>
        <w:t>Kai jis tarė: „Eik savo keliu, Danieliau, nes šitie žodžiai yra uždaryti ir užantspauduoti iki pabaigos meto. Daugelis bus apvalyti, nubalinti ir išmėginti; bet nedorėliai elgsis nedorai, ir nė vienas iš nedorėlių nesupras, o išmintingieji supras.“ Danieliaus 12:9, 10.</w:t>
      </w:r>
    </w:p>
    <w:p>
      <w:pPr>
        <w:pStyle w:val="ArticleBody"/>
        <w:jc w:val="left"/>
      </w:pPr>
      <w:r>
        <w:rPr>
          <w:rFonts w:ascii="Leelawadee UI" w:hAnsi="Leelawadee UI" w:eastAsia="Leelawadee UI" w:cs="Leelawadee UI"/>
        </w:rPr>
        <w:t>ដូចជាចលនាកំណែទម្រង់ដ៏បរិសុទ្ធទាំងអស់</w:t>
      </w:r>
      <w:r>
        <w:rPr>
          <w:rFonts w:ascii="Times New Roman" w:hAnsi="Times New Roman" w:eastAsia="Times New Roman" w:cs="Times New Roman"/>
        </w:rPr>
        <w:t xml:space="preserve"> </w:t>
      </w:r>
      <w:r>
        <w:rPr>
          <w:rFonts w:ascii="Leelawadee UI" w:hAnsi="Leelawadee UI" w:eastAsia="Leelawadee UI" w:cs="Leelawadee UI"/>
        </w:rPr>
        <w:t>ជំហានបីដែលដានីយ៉ែលបានតំណាងថា</w:t>
      </w:r>
      <w:r>
        <w:rPr>
          <w:rFonts w:ascii="Times New Roman" w:hAnsi="Times New Roman" w:eastAsia="Times New Roman" w:cs="Times New Roman"/>
        </w:rPr>
        <w:t xml:space="preserve"> «</w:t>
      </w:r>
      <w:r>
        <w:rPr>
          <w:rFonts w:ascii="Leelawadee UI" w:hAnsi="Leelawadee UI" w:eastAsia="Leelawadee UI" w:cs="Leelawadee UI"/>
        </w:rPr>
        <w:t>បានបរិសុទ្ធ</w:t>
      </w:r>
      <w:r>
        <w:rPr>
          <w:rFonts w:ascii="Times New Roman" w:hAnsi="Times New Roman" w:eastAsia="Times New Roman" w:cs="Times New Roman"/>
        </w:rPr>
        <w:t xml:space="preserve"> </w:t>
      </w:r>
      <w:r>
        <w:rPr>
          <w:rFonts w:ascii="Leelawadee UI" w:hAnsi="Leelawadee UI" w:eastAsia="Leelawadee UI" w:cs="Leelawadee UI"/>
        </w:rPr>
        <w:t>ហើយបានធ្វើឲ្យស</w:t>
      </w:r>
      <w:r>
        <w:rPr>
          <w:rFonts w:ascii="Times New Roman" w:hAnsi="Times New Roman" w:eastAsia="Times New Roman" w:cs="Times New Roman"/>
        </w:rPr>
        <w:t xml:space="preserve"> </w:t>
      </w:r>
      <w:r>
        <w:rPr>
          <w:rFonts w:ascii="Leelawadee UI" w:hAnsi="Leelawadee UI" w:eastAsia="Leelawadee UI" w:cs="Leelawadee UI"/>
        </w:rPr>
        <w:t>ហើយបានសាកល្បង</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តំណាងឲ្យសញ្ញាសម្គាល់នៃការចុះមកនៃនិមិត្តសញ្ញាដ៏ទេវភាពមួយ</w:t>
      </w:r>
      <w:r>
        <w:rPr>
          <w:rFonts w:ascii="Times New Roman" w:hAnsi="Times New Roman" w:eastAsia="Times New Roman" w:cs="Times New Roman"/>
        </w:rPr>
        <w:t xml:space="preserve"> </w:t>
      </w:r>
      <w:r>
        <w:rPr>
          <w:rFonts w:ascii="Leelawadee UI" w:hAnsi="Leelawadee UI" w:eastAsia="Leelawadee UI" w:cs="Leelawadee UI"/>
        </w:rPr>
        <w:t>បន្ទាប់មកត្រូវបានតាមដោយការសាកល្បងនៃការព្យាករណ៍ដែលបរាជ័យមួយ</w:t>
      </w:r>
      <w:r>
        <w:rPr>
          <w:rFonts w:ascii="Times New Roman" w:hAnsi="Times New Roman" w:eastAsia="Times New Roman" w:cs="Times New Roman"/>
        </w:rPr>
        <w:t xml:space="preserve"> </w:t>
      </w:r>
      <w:r>
        <w:rPr>
          <w:rFonts w:ascii="Leelawadee UI" w:hAnsi="Leelawadee UI" w:eastAsia="Leelawadee UI" w:cs="Leelawadee UI"/>
        </w:rPr>
        <w:t>ហើយបន្ទាប់មកដោយការសាកល្បងទីបីដូចជាក្រដាសលីតមុស</w:t>
      </w:r>
      <w:r>
        <w:rPr>
          <w:rFonts w:ascii="Times New Roman" w:hAnsi="Times New Roman" w:eastAsia="Times New Roman" w:cs="Times New Roman"/>
        </w:rPr>
        <w:t xml:space="preserve"> </w:t>
      </w:r>
      <w:r>
        <w:rPr>
          <w:rFonts w:ascii="Leelawadee UI" w:hAnsi="Leelawadee UI" w:eastAsia="Leelawadee UI" w:cs="Leelawadee UI"/>
        </w:rPr>
        <w:t>ដែលបង្ហាញឲ្យឃើញលក្ខណៈនៃមនុស្សពីរថ្នាក់</w:t>
      </w:r>
      <w:r>
        <w:rPr>
          <w:rFonts w:ascii="Times New Roman" w:hAnsi="Times New Roman" w:eastAsia="Times New Roman" w:cs="Times New Roman"/>
        </w:rPr>
        <w:t xml:space="preserve"> </w:t>
      </w:r>
      <w:r>
        <w:rPr>
          <w:rFonts w:ascii="Leelawadee UI" w:hAnsi="Leelawadee UI" w:eastAsia="Leelawadee UI" w:cs="Leelawadee UI"/>
        </w:rPr>
        <w:t>ដែលត្រូវបានអភិវឌ្ឍឡើងដោយផ្អែកលើការទទួលយករបស់ពួកគេ</w:t>
      </w:r>
      <w:r>
        <w:rPr>
          <w:rFonts w:ascii="Times New Roman" w:hAnsi="Times New Roman" w:eastAsia="Times New Roman" w:cs="Times New Roman"/>
        </w:rPr>
        <w:t xml:space="preserve"> </w:t>
      </w:r>
      <w:r>
        <w:rPr>
          <w:rFonts w:ascii="Leelawadee UI" w:hAnsi="Leelawadee UI" w:eastAsia="Leelawadee UI" w:cs="Leelawadee UI"/>
        </w:rPr>
        <w:t>ឬការបដិសេធរបស់ពួកគេ</w:t>
      </w:r>
      <w:r>
        <w:rPr>
          <w:rFonts w:ascii="Times New Roman" w:hAnsi="Times New Roman" w:eastAsia="Times New Roman" w:cs="Times New Roman"/>
        </w:rPr>
        <w:t xml:space="preserve"> </w:t>
      </w:r>
      <w:r>
        <w:rPr>
          <w:rFonts w:ascii="Leelawadee UI" w:hAnsi="Leelawadee UI" w:eastAsia="Leelawadee UI" w:cs="Leelawadee UI"/>
        </w:rPr>
        <w:t>ចំពោះការកើនឡើងនៃចំណេះដឹងដែលបានបើកត្រា។</w:t>
      </w:r>
      <w:r>
        <w:rPr>
          <w:rFonts w:ascii="Times New Roman" w:hAnsi="Times New Roman" w:eastAsia="Times New Roman" w:cs="Times New Roman"/>
        </w:rPr>
        <w:t xml:space="preserve"> </w:t>
      </w:r>
      <w:r>
        <w:rPr>
          <w:rFonts w:ascii="Leelawadee UI" w:hAnsi="Leelawadee UI" w:eastAsia="Leelawadee UI" w:cs="Leelawadee UI"/>
        </w:rPr>
        <w:t>ជាមួយនឹងការចាប់ផ្តើមនៃចលនារបស់មួយសែនសែសិបបួនពាន់</w:t>
      </w:r>
      <w:r>
        <w:rPr>
          <w:rFonts w:ascii="Times New Roman" w:hAnsi="Times New Roman" w:eastAsia="Times New Roman" w:cs="Times New Roman"/>
        </w:rPr>
        <w:t xml:space="preserve"> </w:t>
      </w:r>
      <w:r>
        <w:rPr>
          <w:rFonts w:ascii="Leelawadee UI" w:hAnsi="Leelawadee UI" w:eastAsia="Leelawadee UI" w:cs="Leelawadee UI"/>
        </w:rPr>
        <w:t>ជំហានបីគឺថ្ងៃទី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 </w:t>
      </w:r>
      <w:r>
        <w:rPr>
          <w:rFonts w:ascii="Leelawadee UI" w:hAnsi="Leelawadee UI" w:eastAsia="Leelawadee UI" w:cs="Leelawadee UI"/>
        </w:rPr>
        <w:t>បន្ទាប់មកថ្ងៃទី</w:t>
      </w:r>
      <w:r>
        <w:rPr>
          <w:rFonts w:ascii="Times New Roman" w:hAnsi="Times New Roman" w:eastAsia="Times New Roman" w:cs="Times New Roman"/>
        </w:rPr>
        <w:t xml:space="preserve"> 18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2020 </w:t>
      </w:r>
      <w:r>
        <w:rPr>
          <w:rFonts w:ascii="Leelawadee UI" w:hAnsi="Leelawadee UI" w:eastAsia="Leelawadee UI" w:cs="Leelawadee UI"/>
        </w:rPr>
        <w:t>ហើយបន្ទាប់មកច្បាប់ថ្ងៃអាទិត្យ។</w:t>
      </w:r>
      <w:r>
        <w:rPr>
          <w:rFonts w:ascii="Times New Roman" w:hAnsi="Times New Roman" w:eastAsia="Times New Roman" w:cs="Times New Roman"/>
        </w:rPr>
        <w:t xml:space="preserve"> </w:t>
      </w:r>
      <w:r>
        <w:rPr>
          <w:rFonts w:ascii="Leelawadee UI" w:hAnsi="Leelawadee UI" w:eastAsia="Leelawadee UI" w:cs="Leelawadee UI"/>
        </w:rPr>
        <w:t>នៅចុងបញ្ចប់នៃចលនាដដែលនោះ</w:t>
      </w:r>
      <w:r>
        <w:rPr>
          <w:rFonts w:ascii="Times New Roman" w:hAnsi="Times New Roman" w:eastAsia="Times New Roman" w:cs="Times New Roman"/>
        </w:rPr>
        <w:t xml:space="preserve"> </w:t>
      </w:r>
      <w:r>
        <w:rPr>
          <w:rFonts w:ascii="Leelawadee UI" w:hAnsi="Leelawadee UI" w:eastAsia="Leelawadee UI" w:cs="Leelawadee UI"/>
        </w:rPr>
        <w:t>ជំហានបីគឺខែកក្កដា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2023 </w:t>
      </w:r>
      <w:r>
        <w:rPr>
          <w:rFonts w:ascii="Leelawadee UI" w:hAnsi="Leelawadee UI" w:eastAsia="Leelawadee UI" w:cs="Leelawadee UI"/>
        </w:rPr>
        <w:t>ការមកដល់នៃសារហៅកណ្ដាលអធ្រាត្រ</w:t>
      </w:r>
      <w:r>
        <w:rPr>
          <w:rFonts w:ascii="Times New Roman" w:hAnsi="Times New Roman" w:eastAsia="Times New Roman" w:cs="Times New Roman"/>
        </w:rPr>
        <w:t xml:space="preserve"> </w:t>
      </w:r>
      <w:r>
        <w:rPr>
          <w:rFonts w:ascii="Leelawadee UI" w:hAnsi="Leelawadee UI" w:eastAsia="Leelawadee UI" w:cs="Leelawadee UI"/>
        </w:rPr>
        <w:t>និងច្បាប់ថ្ងៃអាទិត្យ។</w:t>
      </w:r>
    </w:p>
    <w:p>
      <w:pPr>
        <w:pStyle w:val="ArticleBody"/>
        <w:jc w:val="left"/>
      </w:pPr>
      <w:r>
        <w:rPr>
          <w:rFonts w:ascii="Times New Roman" w:hAnsi="Times New Roman" w:eastAsia="Times New Roman" w:cs="Times New Roman"/>
        </w:rPr>
        <w:t>Мәӡын ижәлары идырхагылаларц иазиршәо, 2023 шықәса ԥхынгәы азы иаартхаз амҩақәҵара, апрофетикатә ҳақиқатә рцәаӷәарақәа жәпакы аҵан, урҭ рцәаӷәарақәа ирылагылан Иезекииль ахәҭа 37 аҟны иҟоу иԥсхьаз, игәыӷраҟамыз ҩбқәа. Иезекииль ҩ-ҳәамҭак ҟаиҵоит. Актәи аҳәамҭа аҩбқәа еиҟәшәаны еиднакылоит, аха аҩбатәи аҳәамҭа аамҭазы ауп Израиль мч зҵазкуаз ар реиԥш дара рыӷраҟны иқәгылан ианыҟалаз. Аткалипсис ахәҭа 11 аҟны иҟоу ҩ-ҳаҭәҳәаҩы Изанӡа Иԥшьоу анрыԥхоз ауп иқәгыланы ианыҟалаз.</w:t>
      </w:r>
    </w:p>
    <w:p>
      <w:pPr>
        <w:pStyle w:val="ArticleScripture"/>
        <w:jc w:val="left"/>
      </w:pPr>
      <w:r>
        <w:rPr>
          <w:rFonts w:ascii="Times New Roman" w:hAnsi="Times New Roman" w:eastAsia="Times New Roman" w:cs="Times New Roman"/>
        </w:rPr>
        <w:t>Na après trois jours et demi, l’Esprit de vie venant de Dieu entra en eux, et ils se tinrent sur leurs pieds; et une grande crainte tomba sur ceux qui les virent. Apocalypse 11:11.</w:t>
      </w:r>
    </w:p>
    <w:p>
      <w:pPr>
        <w:pStyle w:val="ArticleBody"/>
        <w:jc w:val="left"/>
      </w:pPr>
      <w:r>
        <w:rPr>
          <w:rFonts w:ascii="Times New Roman" w:hAnsi="Times New Roman" w:eastAsia="Times New Roman" w:cs="Times New Roman"/>
        </w:rPr>
        <w:t>Ézéchiel enseigne la même vérité.</w:t>
      </w:r>
    </w:p>
    <w:p>
      <w:pPr>
        <w:pStyle w:val="ArticleScripture"/>
        <w:jc w:val="left"/>
      </w:pPr>
      <w:r>
        <w:rPr>
          <w:rFonts w:ascii="Times New Roman" w:hAnsi="Times New Roman" w:eastAsia="Times New Roman" w:cs="Times New Roman"/>
        </w:rPr>
        <w:t>Na ɔka kyerɛɛ me sɛ, Onipa ba, gyina wo nan so, na mɛkasa akyerɛ wo. Na honhom no hyɛɛ me mu bere a ɔkasa kyerɛɛ me no, na ɔde me gyinaa me nan so, na metee nea ɔkasa kyerɛɛ me no. Hesekiel 2:1, 2.</w:t>
      </w:r>
    </w:p>
    <w:p>
      <w:pPr>
        <w:pStyle w:val="ArticleBody"/>
        <w:jc w:val="left"/>
      </w:pPr>
      <w:r>
        <w:rPr>
          <w:rFonts w:ascii="Times New Roman" w:hAnsi="Times New Roman" w:eastAsia="Times New Roman" w:cs="Times New Roman"/>
        </w:rPr>
        <w:t>Lorsque Sœur White déclare que « c’est par l’accroissement de la connaissance qu’un peuple doit être préparé à subsister dans les derniers jours », l’accroissement de la connaissance est identifié à « l’huile » dans la parabole des dix vierges, et « l’huile » représente « les messages de l’Esprit de Dieu », ainsi que « le Saint-Esprit », de même que « le caractère ».</w:t>
      </w:r>
    </w:p>
    <w:p>
      <w:pPr>
        <w:pStyle w:val="ArticleBody"/>
        <w:jc w:val="left"/>
      </w:pPr>
      <w:r>
        <w:rPr>
          <w:rFonts w:ascii="Times New Roman" w:hAnsi="Times New Roman" w:eastAsia="Times New Roman" w:cs="Times New Roman"/>
        </w:rPr>
        <w:t>Pule o Fuye 2023 mo e lao Sāpate ʻoku vavé ni, ʻoku ʻi ai ha tupulaki ʻo e ʻilo ʻokú ne ʻomi ʻa e kakai ʻa e ʻOtuá ki he moʻui, pea ʻoku nau tuʻu hake. ʻOku nau tuʻu hake ko ha fakafofonga ia kuo nau maʻu ʻa e “lolo” ʻo e pōpoaki naʻe toʻo ʻa hono fakamaʻú ʻi he taimi ko iá. ʻOku nau tuʻu hake ʻi heʻenau maʻu ʻa e Laumālie Māʻoniʻoní ʻi loto ʻi heʻenau ngaahi ipú, pea ʻoku nau tuʻu hake ʻi heʻenau maʻu ha ʻulungaanga kuo teuteuʻi ki he sila ʻa e ʻOtuá.</w:t>
      </w:r>
    </w:p>
    <w:p>
      <w:pPr>
        <w:pStyle w:val="ArticleBody"/>
        <w:jc w:val="left"/>
      </w:pPr>
      <w:r>
        <w:rPr>
          <w:rFonts w:ascii="Times New Roman" w:hAnsi="Times New Roman" w:eastAsia="Times New Roman" w:cs="Times New Roman"/>
        </w:rPr>
        <w:t>مرحلهٔ نخستِ آزمون که در ژوئیهٔ ۲۰۲۳ آغاز شد، با دوره‌ای دنبال شد که به آن نامزدها امکان می‌دهد روغن را بپذیرند یا رد کنند. آنان که آن را می‌پذیرند، مُهر می‌شوند و سپس در قانون یکشنبهٔ قریب‌الوقوع، همچون عَلَمی برافراشته می‌گردند. آنان که روغن را رد می‌کنند، گرفتارِ ضلالتی شدید می‌شوند.</w:t>
      </w:r>
    </w:p>
    <w:p>
      <w:pPr>
        <w:pStyle w:val="ArticleBody"/>
        <w:jc w:val="left"/>
      </w:pPr>
      <w:r>
        <w:rPr>
          <w:rFonts w:ascii="Times New Roman" w:hAnsi="Times New Roman" w:eastAsia="Times New Roman" w:cs="Times New Roman"/>
        </w:rPr>
        <w:t>Nkhensa no wɔsɔre fii honhom mu nna mu wɔ July 2023 mu no, afei wɔde wɔn sii sɔhwɛ a etwa to no anim ansa na wɔn ankasa adom bere ano ato. Wɔde saa sɔhwɛ no too nkɔmhyɛ mu sɔhwɛ bi ho tebea mu a ɛfa aboa no honi no dwumadi ho, bere a na ɛsɛ sɛ saa ara nkhensa no san ba nkwa mu na wɔhyehyɛ Kristo honi no wɔ wɔn mu. Nkɔmhyɛ nhyehyɛe a ɛwɔ mu na ɛsɛ sɛ wɔwie saa sɔhwɛ no yɛ abakɔsɛm a efi 1989 de kosi Kwasida mmara no so. Nkhensa no ntumi ansɔre no maa Awurade maa gyidihunu ahorow kwan sɛ ɛnba mu.</w:t>
      </w:r>
    </w:p>
    <w:p>
      <w:pPr>
        <w:pStyle w:val="ArticleScripture"/>
        <w:jc w:val="left"/>
      </w:pPr>
      <w:r>
        <w:rPr>
          <w:rFonts w:ascii="Times New Roman" w:hAnsi="Times New Roman" w:eastAsia="Times New Roman" w:cs="Times New Roman"/>
        </w:rPr>
        <w:t>«</w:t>
      </w:r>
      <w:r>
        <w:rPr>
          <w:rFonts w:ascii="Sylfaen" w:hAnsi="Sylfaen" w:eastAsia="Sylfaen" w:cs="Sylfaen"/>
        </w:rPr>
        <w:t>ღმერთი</w:t>
      </w:r>
      <w:r>
        <w:rPr>
          <w:rFonts w:ascii="Times New Roman" w:hAnsi="Times New Roman" w:eastAsia="Times New Roman" w:cs="Times New Roman"/>
        </w:rPr>
        <w:t xml:space="preserve"> </w:t>
      </w:r>
      <w:r>
        <w:rPr>
          <w:rFonts w:ascii="Sylfaen" w:hAnsi="Sylfaen" w:eastAsia="Sylfaen" w:cs="Sylfaen"/>
        </w:rPr>
        <w:t>აღძრავს</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ხალხს</w:t>
      </w:r>
      <w:r>
        <w:rPr>
          <w:rFonts w:ascii="Times New Roman" w:hAnsi="Times New Roman" w:eastAsia="Times New Roman" w:cs="Times New Roman"/>
        </w:rPr>
        <w:t xml:space="preserve">; </w:t>
      </w:r>
      <w:r>
        <w:rPr>
          <w:rFonts w:ascii="Sylfaen" w:hAnsi="Sylfaen" w:eastAsia="Sylfaen" w:cs="Sylfaen"/>
        </w:rPr>
        <w:t>თუ</w:t>
      </w:r>
      <w:r>
        <w:rPr>
          <w:rFonts w:ascii="Times New Roman" w:hAnsi="Times New Roman" w:eastAsia="Times New Roman" w:cs="Times New Roman"/>
        </w:rPr>
        <w:t xml:space="preserve"> </w:t>
      </w:r>
      <w:r>
        <w:rPr>
          <w:rFonts w:ascii="Sylfaen" w:hAnsi="Sylfaen" w:eastAsia="Sylfaen" w:cs="Sylfaen"/>
        </w:rPr>
        <w:t>სხვა</w:t>
      </w:r>
      <w:r>
        <w:rPr>
          <w:rFonts w:ascii="Times New Roman" w:hAnsi="Times New Roman" w:eastAsia="Times New Roman" w:cs="Times New Roman"/>
        </w:rPr>
        <w:t xml:space="preserve"> </w:t>
      </w:r>
      <w:r>
        <w:rPr>
          <w:rFonts w:ascii="Sylfaen" w:hAnsi="Sylfaen" w:eastAsia="Sylfaen" w:cs="Sylfaen"/>
        </w:rPr>
        <w:t>საშუალებებმა</w:t>
      </w:r>
      <w:r>
        <w:rPr>
          <w:rFonts w:ascii="Times New Roman" w:hAnsi="Times New Roman" w:eastAsia="Times New Roman" w:cs="Times New Roman"/>
        </w:rPr>
        <w:t xml:space="preserve"> </w:t>
      </w:r>
      <w:r>
        <w:rPr>
          <w:rFonts w:ascii="Sylfaen" w:hAnsi="Sylfaen" w:eastAsia="Sylfaen" w:cs="Sylfaen"/>
        </w:rPr>
        <w:t>ვერ</w:t>
      </w:r>
      <w:r>
        <w:rPr>
          <w:rFonts w:ascii="Times New Roman" w:hAnsi="Times New Roman" w:eastAsia="Times New Roman" w:cs="Times New Roman"/>
        </w:rPr>
        <w:t xml:space="preserve"> </w:t>
      </w:r>
      <w:r>
        <w:rPr>
          <w:rFonts w:ascii="Sylfaen" w:hAnsi="Sylfaen" w:eastAsia="Sylfaen" w:cs="Sylfaen"/>
        </w:rPr>
        <w:t>იმოქმედა</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შორის</w:t>
      </w:r>
      <w:r>
        <w:rPr>
          <w:rFonts w:ascii="Times New Roman" w:hAnsi="Times New Roman" w:eastAsia="Times New Roman" w:cs="Times New Roman"/>
        </w:rPr>
        <w:t xml:space="preserve"> </w:t>
      </w:r>
      <w:r>
        <w:rPr>
          <w:rFonts w:ascii="Sylfaen" w:hAnsi="Sylfaen" w:eastAsia="Sylfaen" w:cs="Sylfaen"/>
        </w:rPr>
        <w:t>შემოიჭრებიან</w:t>
      </w:r>
      <w:r>
        <w:rPr>
          <w:rFonts w:ascii="Times New Roman" w:hAnsi="Times New Roman" w:eastAsia="Times New Roman" w:cs="Times New Roman"/>
        </w:rPr>
        <w:t xml:space="preserve"> </w:t>
      </w:r>
      <w:r>
        <w:rPr>
          <w:rFonts w:ascii="Sylfaen" w:hAnsi="Sylfaen" w:eastAsia="Sylfaen" w:cs="Sylfaen"/>
        </w:rPr>
        <w:t>მწვალებლობები</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გაცხრილავენ</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ხორბალს</w:t>
      </w:r>
      <w:r>
        <w:rPr>
          <w:rFonts w:ascii="Times New Roman" w:hAnsi="Times New Roman" w:eastAsia="Times New Roman" w:cs="Times New Roman"/>
        </w:rPr>
        <w:t xml:space="preserve"> </w:t>
      </w:r>
      <w:r>
        <w:rPr>
          <w:rFonts w:ascii="Sylfaen" w:hAnsi="Sylfaen" w:eastAsia="Sylfaen" w:cs="Sylfaen"/>
        </w:rPr>
        <w:t>ბზისგან</w:t>
      </w:r>
      <w:r>
        <w:rPr>
          <w:rFonts w:ascii="Times New Roman" w:hAnsi="Times New Roman" w:eastAsia="Times New Roman" w:cs="Times New Roman"/>
        </w:rPr>
        <w:t xml:space="preserve"> </w:t>
      </w:r>
      <w:r>
        <w:rPr>
          <w:rFonts w:ascii="Sylfaen" w:hAnsi="Sylfaen" w:eastAsia="Sylfaen" w:cs="Sylfaen"/>
        </w:rPr>
        <w:t>გამოყოფენ</w:t>
      </w:r>
      <w:r>
        <w:rPr>
          <w:rFonts w:ascii="Times New Roman" w:hAnsi="Times New Roman" w:eastAsia="Times New Roman" w:cs="Times New Roman"/>
        </w:rPr>
        <w:t xml:space="preserve">. </w:t>
      </w:r>
      <w:r>
        <w:rPr>
          <w:rFonts w:ascii="Sylfaen" w:hAnsi="Sylfaen" w:eastAsia="Sylfaen" w:cs="Sylfaen"/>
        </w:rPr>
        <w:t>უფალი</w:t>
      </w:r>
      <w:r>
        <w:rPr>
          <w:rFonts w:ascii="Times New Roman" w:hAnsi="Times New Roman" w:eastAsia="Times New Roman" w:cs="Times New Roman"/>
        </w:rPr>
        <w:t xml:space="preserve"> </w:t>
      </w:r>
      <w:r>
        <w:rPr>
          <w:rFonts w:ascii="Sylfaen" w:hAnsi="Sylfaen" w:eastAsia="Sylfaen" w:cs="Sylfaen"/>
        </w:rPr>
        <w:t>მოუწოდებს</w:t>
      </w:r>
      <w:r>
        <w:rPr>
          <w:rFonts w:ascii="Times New Roman" w:hAnsi="Times New Roman" w:eastAsia="Times New Roman" w:cs="Times New Roman"/>
        </w:rPr>
        <w:t xml:space="preserve"> </w:t>
      </w:r>
      <w:r>
        <w:rPr>
          <w:rFonts w:ascii="Sylfaen" w:hAnsi="Sylfaen" w:eastAsia="Sylfaen" w:cs="Sylfaen"/>
        </w:rPr>
        <w:t>ყველას</w:t>
      </w:r>
      <w:r>
        <w:rPr>
          <w:rFonts w:ascii="Times New Roman" w:hAnsi="Times New Roman" w:eastAsia="Times New Roman" w:cs="Times New Roman"/>
        </w:rPr>
        <w:t xml:space="preserve">, </w:t>
      </w:r>
      <w:r>
        <w:rPr>
          <w:rFonts w:ascii="Sylfaen" w:hAnsi="Sylfaen" w:eastAsia="Sylfaen" w:cs="Sylfaen"/>
        </w:rPr>
        <w:t>ვისაც</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სიტყვის</w:t>
      </w:r>
      <w:r>
        <w:rPr>
          <w:rFonts w:ascii="Times New Roman" w:hAnsi="Times New Roman" w:eastAsia="Times New Roman" w:cs="Times New Roman"/>
        </w:rPr>
        <w:t xml:space="preserve"> </w:t>
      </w:r>
      <w:r>
        <w:rPr>
          <w:rFonts w:ascii="Sylfaen" w:hAnsi="Sylfaen" w:eastAsia="Sylfaen" w:cs="Sylfaen"/>
        </w:rPr>
        <w:t>სწამს</w:t>
      </w:r>
      <w:r>
        <w:rPr>
          <w:rFonts w:ascii="Times New Roman" w:hAnsi="Times New Roman" w:eastAsia="Times New Roman" w:cs="Times New Roman"/>
        </w:rPr>
        <w:t xml:space="preserve">, </w:t>
      </w:r>
      <w:r>
        <w:rPr>
          <w:rFonts w:ascii="Sylfaen" w:hAnsi="Sylfaen" w:eastAsia="Sylfaen" w:cs="Sylfaen"/>
        </w:rPr>
        <w:t>გამოიღვიძონ</w:t>
      </w:r>
      <w:r>
        <w:rPr>
          <w:rFonts w:ascii="Times New Roman" w:hAnsi="Times New Roman" w:eastAsia="Times New Roman" w:cs="Times New Roman"/>
        </w:rPr>
        <w:t xml:space="preserve"> </w:t>
      </w:r>
      <w:r>
        <w:rPr>
          <w:rFonts w:ascii="Sylfaen" w:hAnsi="Sylfaen" w:eastAsia="Sylfaen" w:cs="Sylfaen"/>
        </w:rPr>
        <w:t>ძილისგან</w:t>
      </w:r>
      <w:r>
        <w:rPr>
          <w:rFonts w:ascii="Times New Roman" w:hAnsi="Times New Roman" w:eastAsia="Times New Roman" w:cs="Times New Roman"/>
        </w:rPr>
        <w:t xml:space="preserve">. </w:t>
      </w:r>
      <w:r>
        <w:rPr>
          <w:rFonts w:ascii="Sylfaen" w:hAnsi="Sylfaen" w:eastAsia="Sylfaen" w:cs="Sylfaen"/>
        </w:rPr>
        <w:t>ძვირფასი</w:t>
      </w:r>
      <w:r>
        <w:rPr>
          <w:rFonts w:ascii="Times New Roman" w:hAnsi="Times New Roman" w:eastAsia="Times New Roman" w:cs="Times New Roman"/>
        </w:rPr>
        <w:t xml:space="preserve"> </w:t>
      </w:r>
      <w:r>
        <w:rPr>
          <w:rFonts w:ascii="Sylfaen" w:hAnsi="Sylfaen" w:eastAsia="Sylfaen" w:cs="Sylfaen"/>
        </w:rPr>
        <w:t>ნათელი</w:t>
      </w:r>
      <w:r>
        <w:rPr>
          <w:rFonts w:ascii="Times New Roman" w:hAnsi="Times New Roman" w:eastAsia="Times New Roman" w:cs="Times New Roman"/>
        </w:rPr>
        <w:t xml:space="preserve"> </w:t>
      </w:r>
      <w:r>
        <w:rPr>
          <w:rFonts w:ascii="Sylfaen" w:hAnsi="Sylfaen" w:eastAsia="Sylfaen" w:cs="Sylfaen"/>
        </w:rPr>
        <w:t>მოვიდა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სწორედ</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დროისთვის</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შესაფერისი</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ბიბლიური</w:t>
      </w:r>
      <w:r>
        <w:rPr>
          <w:rFonts w:ascii="Times New Roman" w:hAnsi="Times New Roman" w:eastAsia="Times New Roman" w:cs="Times New Roman"/>
        </w:rPr>
        <w:t xml:space="preserve"> </w:t>
      </w:r>
      <w:r>
        <w:rPr>
          <w:rFonts w:ascii="Sylfaen" w:hAnsi="Sylfaen" w:eastAsia="Sylfaen" w:cs="Sylfaen"/>
        </w:rPr>
        <w:t>ჭეშმარიტება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გვიჩვენებს</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საფრთხეებს</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უკვე</w:t>
      </w:r>
      <w:r>
        <w:rPr>
          <w:rFonts w:ascii="Times New Roman" w:hAnsi="Times New Roman" w:eastAsia="Times New Roman" w:cs="Times New Roman"/>
        </w:rPr>
        <w:t xml:space="preserve"> </w:t>
      </w:r>
      <w:r>
        <w:rPr>
          <w:rFonts w:ascii="Sylfaen" w:hAnsi="Sylfaen" w:eastAsia="Sylfaen" w:cs="Sylfaen"/>
        </w:rPr>
        <w:t>ჩვენს</w:t>
      </w:r>
      <w:r>
        <w:rPr>
          <w:rFonts w:ascii="Times New Roman" w:hAnsi="Times New Roman" w:eastAsia="Times New Roman" w:cs="Times New Roman"/>
        </w:rPr>
        <w:t xml:space="preserve"> </w:t>
      </w:r>
      <w:r>
        <w:rPr>
          <w:rFonts w:ascii="Sylfaen" w:hAnsi="Sylfaen" w:eastAsia="Sylfaen" w:cs="Sylfaen"/>
        </w:rPr>
        <w:t>წინაშეა</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ნათელმა</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გვიბიძგოს</w:t>
      </w:r>
      <w:r>
        <w:rPr>
          <w:rFonts w:ascii="Times New Roman" w:hAnsi="Times New Roman" w:eastAsia="Times New Roman" w:cs="Times New Roman"/>
        </w:rPr>
        <w:t xml:space="preserve"> </w:t>
      </w:r>
      <w:r>
        <w:rPr>
          <w:rFonts w:ascii="Sylfaen" w:hAnsi="Sylfaen" w:eastAsia="Sylfaen" w:cs="Sylfaen"/>
        </w:rPr>
        <w:t>წმინდა</w:t>
      </w:r>
      <w:r>
        <w:rPr>
          <w:rFonts w:ascii="Times New Roman" w:hAnsi="Times New Roman" w:eastAsia="Times New Roman" w:cs="Times New Roman"/>
        </w:rPr>
        <w:t xml:space="preserve"> </w:t>
      </w:r>
      <w:r>
        <w:rPr>
          <w:rFonts w:ascii="Sylfaen" w:hAnsi="Sylfaen" w:eastAsia="Sylfaen" w:cs="Sylfaen"/>
        </w:rPr>
        <w:t>წერილების</w:t>
      </w:r>
      <w:r>
        <w:rPr>
          <w:rFonts w:ascii="Times New Roman" w:hAnsi="Times New Roman" w:eastAsia="Times New Roman" w:cs="Times New Roman"/>
        </w:rPr>
        <w:t xml:space="preserve"> </w:t>
      </w:r>
      <w:r>
        <w:rPr>
          <w:rFonts w:ascii="Sylfaen" w:hAnsi="Sylfaen" w:eastAsia="Sylfaen" w:cs="Sylfaen"/>
        </w:rPr>
        <w:t>გულმოდგინე</w:t>
      </w:r>
      <w:r>
        <w:rPr>
          <w:rFonts w:ascii="Times New Roman" w:hAnsi="Times New Roman" w:eastAsia="Times New Roman" w:cs="Times New Roman"/>
        </w:rPr>
        <w:t xml:space="preserve"> </w:t>
      </w:r>
      <w:r>
        <w:rPr>
          <w:rFonts w:ascii="Sylfaen" w:hAnsi="Sylfaen" w:eastAsia="Sylfaen" w:cs="Sylfaen"/>
        </w:rPr>
        <w:t>შესწავლისა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შეხედულებების</w:t>
      </w:r>
      <w:r>
        <w:rPr>
          <w:rFonts w:ascii="Times New Roman" w:hAnsi="Times New Roman" w:eastAsia="Times New Roman" w:cs="Times New Roman"/>
        </w:rPr>
        <w:t xml:space="preserve"> </w:t>
      </w:r>
      <w:r>
        <w:rPr>
          <w:rFonts w:ascii="Sylfaen" w:hAnsi="Sylfaen" w:eastAsia="Sylfaen" w:cs="Sylfaen"/>
        </w:rPr>
        <w:t>უკიდურესად</w:t>
      </w:r>
      <w:r>
        <w:rPr>
          <w:rFonts w:ascii="Times New Roman" w:hAnsi="Times New Roman" w:eastAsia="Times New Roman" w:cs="Times New Roman"/>
        </w:rPr>
        <w:t xml:space="preserve"> </w:t>
      </w:r>
      <w:r>
        <w:rPr>
          <w:rFonts w:ascii="Sylfaen" w:hAnsi="Sylfaen" w:eastAsia="Sylfaen" w:cs="Sylfaen"/>
        </w:rPr>
        <w:t>კრიტიკული</w:t>
      </w:r>
      <w:r>
        <w:rPr>
          <w:rFonts w:ascii="Times New Roman" w:hAnsi="Times New Roman" w:eastAsia="Times New Roman" w:cs="Times New Roman"/>
        </w:rPr>
        <w:t xml:space="preserve"> </w:t>
      </w:r>
      <w:r>
        <w:rPr>
          <w:rFonts w:ascii="Sylfaen" w:hAnsi="Sylfaen" w:eastAsia="Sylfaen" w:cs="Sylfaen"/>
        </w:rPr>
        <w:t>გამოკვლევისაკენ</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გვიჭირავს</w:t>
      </w:r>
      <w:r>
        <w:rPr>
          <w:rFonts w:ascii="Times New Roman" w:hAnsi="Times New Roman" w:eastAsia="Times New Roman" w:cs="Times New Roman"/>
        </w:rPr>
        <w:t xml:space="preserve">. </w:t>
      </w:r>
      <w:r>
        <w:rPr>
          <w:rFonts w:ascii="Sylfaen" w:hAnsi="Sylfaen" w:eastAsia="Sylfaen" w:cs="Sylfaen"/>
        </w:rPr>
        <w:t>ღმერთს</w:t>
      </w:r>
      <w:r>
        <w:rPr>
          <w:rFonts w:ascii="Times New Roman" w:hAnsi="Times New Roman" w:eastAsia="Times New Roman" w:cs="Times New Roman"/>
        </w:rPr>
        <w:t xml:space="preserve"> </w:t>
      </w:r>
      <w:r>
        <w:rPr>
          <w:rFonts w:ascii="Sylfaen" w:hAnsi="Sylfaen" w:eastAsia="Sylfaen" w:cs="Sylfaen"/>
        </w:rPr>
        <w:t>სურს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ჭეშმარიტების</w:t>
      </w:r>
      <w:r>
        <w:rPr>
          <w:rFonts w:ascii="Times New Roman" w:hAnsi="Times New Roman" w:eastAsia="Times New Roman" w:cs="Times New Roman"/>
        </w:rPr>
        <w:t xml:space="preserve"> </w:t>
      </w:r>
      <w:r>
        <w:rPr>
          <w:rFonts w:ascii="Sylfaen" w:hAnsi="Sylfaen" w:eastAsia="Sylfaen" w:cs="Sylfaen"/>
        </w:rPr>
        <w:t>ყველა</w:t>
      </w:r>
      <w:r>
        <w:rPr>
          <w:rFonts w:ascii="Times New Roman" w:hAnsi="Times New Roman" w:eastAsia="Times New Roman" w:cs="Times New Roman"/>
        </w:rPr>
        <w:t xml:space="preserve"> </w:t>
      </w:r>
      <w:r>
        <w:rPr>
          <w:rFonts w:ascii="Sylfaen" w:hAnsi="Sylfaen" w:eastAsia="Sylfaen" w:cs="Sylfaen"/>
        </w:rPr>
        <w:t>ასპექტი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ყველა</w:t>
      </w:r>
      <w:r>
        <w:rPr>
          <w:rFonts w:ascii="Times New Roman" w:hAnsi="Times New Roman" w:eastAsia="Times New Roman" w:cs="Times New Roman"/>
        </w:rPr>
        <w:t xml:space="preserve"> </w:t>
      </w:r>
      <w:r>
        <w:rPr>
          <w:rFonts w:ascii="Sylfaen" w:hAnsi="Sylfaen" w:eastAsia="Sylfaen" w:cs="Sylfaen"/>
        </w:rPr>
        <w:t>პოზიცია</w:t>
      </w:r>
      <w:r>
        <w:rPr>
          <w:rFonts w:ascii="Times New Roman" w:hAnsi="Times New Roman" w:eastAsia="Times New Roman" w:cs="Times New Roman"/>
        </w:rPr>
        <w:t xml:space="preserve"> </w:t>
      </w:r>
      <w:r>
        <w:rPr>
          <w:rFonts w:ascii="Sylfaen" w:hAnsi="Sylfaen" w:eastAsia="Sylfaen" w:cs="Sylfaen"/>
        </w:rPr>
        <w:t>საფუძვლიანად</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შეუპოვრად</w:t>
      </w:r>
      <w:r>
        <w:rPr>
          <w:rFonts w:ascii="Times New Roman" w:hAnsi="Times New Roman" w:eastAsia="Times New Roman" w:cs="Times New Roman"/>
        </w:rPr>
        <w:t xml:space="preserve"> </w:t>
      </w:r>
      <w:r>
        <w:rPr>
          <w:rFonts w:ascii="Sylfaen" w:hAnsi="Sylfaen" w:eastAsia="Sylfaen" w:cs="Sylfaen"/>
        </w:rPr>
        <w:t>იქნეს</w:t>
      </w:r>
      <w:r>
        <w:rPr>
          <w:rFonts w:ascii="Times New Roman" w:hAnsi="Times New Roman" w:eastAsia="Times New Roman" w:cs="Times New Roman"/>
        </w:rPr>
        <w:t xml:space="preserve"> </w:t>
      </w:r>
      <w:r>
        <w:rPr>
          <w:rFonts w:ascii="Sylfaen" w:hAnsi="Sylfaen" w:eastAsia="Sylfaen" w:cs="Sylfaen"/>
        </w:rPr>
        <w:t>გამოკვლეული</w:t>
      </w:r>
      <w:r>
        <w:rPr>
          <w:rFonts w:ascii="Times New Roman" w:hAnsi="Times New Roman" w:eastAsia="Times New Roman" w:cs="Times New Roman"/>
        </w:rPr>
        <w:t xml:space="preserve">, </w:t>
      </w:r>
      <w:r>
        <w:rPr>
          <w:rFonts w:ascii="Sylfaen" w:hAnsi="Sylfaen" w:eastAsia="Sylfaen" w:cs="Sylfaen"/>
        </w:rPr>
        <w:t>ლოცვითა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მარხვით</w:t>
      </w:r>
      <w:r>
        <w:rPr>
          <w:rFonts w:ascii="Times New Roman" w:hAnsi="Times New Roman" w:eastAsia="Times New Roman" w:cs="Times New Roman"/>
        </w:rPr>
        <w:t>». Testimonies, volume 5, 708.</w:t>
      </w:r>
    </w:p>
    <w:p>
      <w:pPr>
        <w:pStyle w:val="ArticleBody"/>
        <w:jc w:val="left"/>
      </w:pPr>
      <w:r>
        <w:rPr>
          <w:rFonts w:ascii="Times New Roman" w:hAnsi="Times New Roman" w:eastAsia="Times New Roman" w:cs="Times New Roman"/>
        </w:rPr>
        <w:t>Tous les prophètes traitent des derniers jours ; ainsi, en ces derniers jours, en juillet 2023, le Seigneur a tenté de « réveiller » Son peuple, mais Ses efforts ont échoué, et Il a permis que la première controverse au sujet d’un symbole de Rome dans l’histoire adventiste se répète comme un avertissement de la proximité de la fin. Il l’a fait, bien qu’une « précieuse lumière » fût « venue, appropriée pour ce temps ». La lumière qui est arrivée en juillet 2023 est une « vérité biblique, montrant les périls qui sont juste devant nous ». Cette lumière aurait dû nous conduire à « une étude diligente des Écritures et à un examen des plus critiques des positions que nous soutenons ».</w:t>
      </w:r>
    </w:p>
    <w:p>
      <w:pPr>
        <w:pStyle w:val="ArticleBody"/>
        <w:jc w:val="left"/>
      </w:pPr>
      <w:r>
        <w:rPr>
          <w:rFonts w:ascii="Times New Roman" w:hAnsi="Times New Roman" w:eastAsia="Times New Roman" w:cs="Times New Roman"/>
        </w:rPr>
        <w:t>L’histoire cachée du verset quarante est représentée dans les versets dix à quinze de Daniel onze, car l’Alpha et l’Oméga ont illustré la fin de la dernière prophétie de Daniel par son commencement. À l’approche de la déception du 18 juillet 2020, Satan avait introduit de la confusion au sujet des versets dix à quinze, car il savait que le commencement du chapitre était la clé pour représenter la fin du chapitre. Alors fut introduite la controverse originelle du verset quatorze.</w:t>
      </w:r>
    </w:p>
    <w:p>
      <w:pPr>
        <w:pStyle w:val="ArticleScripture"/>
        <w:jc w:val="left"/>
      </w:pPr>
      <w:r>
        <w:rPr>
          <w:rFonts w:ascii="Times New Roman" w:hAnsi="Times New Roman" w:eastAsia="Times New Roman" w:cs="Times New Roman"/>
        </w:rPr>
        <w:t>«Нема ништо од што големиот измамник се плаши толку многу како од тоа да се запознаеме со неговите лукавства.» Големата борба, 516.</w:t>
      </w:r>
    </w:p>
    <w:p>
      <w:pPr>
        <w:pStyle w:val="ArticleBody"/>
        <w:jc w:val="left"/>
      </w:pPr>
      <w:r>
        <w:rPr>
          <w:rFonts w:ascii="Times New Roman" w:hAnsi="Times New Roman" w:eastAsia="Times New Roman" w:cs="Times New Roman"/>
        </w:rPr>
        <w:t>ته من الواضح، من خلال المحاولات الشيطانية الرامية إلى تشويش معنى تلك الآيات ومقصدها، أنها تشكّل جزءًا مهمًّا من عملية الامتحان التي تقوم الآن بغربلة المرشحين ليكونوا من بين المئة والأربعة والأربعين ألفًا. وتؤكد الأخت وايت أن التاريخ الممثَّل في دانيال الإصحاح الحادي عشر، والذي تمّ قبل زمن النهاية في سنة 1798، يتكرر في الآيات الستّ الأخيرة.</w:t>
      </w:r>
    </w:p>
    <w:p>
      <w:pPr>
        <w:pStyle w:val="ArticleScripture"/>
        <w:jc w:val="left"/>
      </w:pPr>
      <w:r>
        <w:rPr>
          <w:rFonts w:ascii="Times New Roman" w:hAnsi="Times New Roman" w:eastAsia="Times New Roman" w:cs="Times New Roman"/>
        </w:rPr>
        <w:t>“Nu avem timp de pierdut. Vremuri de strâmtorare stau înaintea noastră. Lumea este frământată de spiritul războiului. Curând, scenele de necaz despre care se vorbește în profeții vor avea loc. Profeția din capitolul unsprezece al cărții lui Daniel a ajuns aproape de împlinirea ei deplină. O mare parte din istoria care a avut loc în împlinirea acestei profeții se va repeta.” Manuscript Releases, numărul 13, 394.</w:t>
      </w:r>
    </w:p>
    <w:p>
      <w:pPr>
        <w:pStyle w:val="ArticleBody"/>
        <w:jc w:val="left"/>
      </w:pPr>
      <w:r>
        <w:rPr>
          <w:rFonts w:ascii="Times New Roman" w:hAnsi="Times New Roman" w:eastAsia="Times New Roman" w:cs="Times New Roman"/>
        </w:rPr>
        <w:t>I assert that all the history represented in verses one through thirty-nine is repeated in the last six verses of the chapter. I further assert that the history of the last days, which is the history of the conclusion of the judgment that began on October 22, 1844, is represented by two primary prophetic periods. The first period represents the judgment accomplished upon the house of God, and this is then followed by a period in which judgment is accomplished for those outside the house of God. The first period began in 1989 and ends at the Sunday law in the United States, which in turn marks the beginning of the second period, concluding when Michael stands up and human probation closes. The hidden history of verse forty also begins in 1989 and ends in verse forty-one, which is the Sunday law in the United States.</w:t>
      </w:r>
    </w:p>
    <w:p>
      <w:pPr>
        <w:pStyle w:val="ArticleBody"/>
        <w:jc w:val="left"/>
      </w:pPr>
      <w:r>
        <w:rPr>
          <w:rFonts w:ascii="Times New Roman" w:hAnsi="Times New Roman" w:eastAsia="Times New Roman" w:cs="Times New Roman"/>
        </w:rPr>
        <w:t>C’est la même histoire que celle des versets dix à quinze du même chapitre. Cette histoire est parallèle à celle des millérites depuis le temps de la fin, en 1798, jusqu’au commencement du jugement, le 22 octobre 1844. Ces deux histoires sont parallèles à l’histoire prophétique qui commença à la naissance du Christ et s’acheva à la croix.</w:t>
      </w:r>
    </w:p>
    <w:p>
      <w:pPr>
        <w:pStyle w:val="ArticleBody"/>
        <w:jc w:val="left"/>
      </w:pPr>
      <w:r>
        <w:rPr>
          <w:rFonts w:ascii="Times New Roman" w:hAnsi="Times New Roman" w:eastAsia="Times New Roman" w:cs="Times New Roman"/>
        </w:rPr>
        <w:t>L’histoire qui commence en 1989 comprend la période d’épreuve qui a débuté le 11 septembre 2001, telle qu’elle est préfigurée par la période d’épreuve commencée le 11 août 1840 et par la période d’épreuve qui a commencé au baptême du Christ. La formation de l’image de la bête a été préfigurée par plusieurs lignes d’histoire prophétique. L’une de ces représentations de la même période de temps est le temps du scellement des cent quarante-quatre mille, qui a commencé le 11 septembre 2001 et s’achève à la loi du dimanche qui doit bientôt venir. L’histoire cachée du verset quarante peut aussi être superposée à la ligne allant du 22 octobre 1844 jusqu’à la rébellion de 1863.</w:t>
      </w:r>
    </w:p>
    <w:p>
      <w:pPr>
        <w:pStyle w:val="ArticleBody"/>
        <w:jc w:val="left"/>
      </w:pPr>
      <w:r>
        <w:rPr>
          <w:rFonts w:ascii="Times New Roman" w:hAnsi="Times New Roman" w:eastAsia="Times New Roman" w:cs="Times New Roman"/>
        </w:rPr>
        <w:t>22 اکتوبر 1844 نے تیسرے فرشتے کی آمد کو نشان زد کیا۔ جیسا کہ ہر نبوتی فرشتے کی آمد کے ساتھ ہوتا ہے، اس کے پاس ایک پیغام تھا جسے کھایا جانا تھا، لیکن ایسا نہ ہوا؛ اور فِلَیڈِلفیائی میلریت، 1863 سے پہلے ہی، لاؤدِکیائی میلریت میں بدل گئی، جب انہوں نے باضابطہ طور پر سیونتھ ڈے ایڈونٹسٹ کا نام اختیار کیا اور بغاوت کے بیابان میں آوارہ گردی شروع کی، جو آج تک جاری ہے۔ 1844 سے 1863 تک کی تاریخ اُن لوگوں کی نمائندگی کرتی ہے جو ایک لاکھ چوالیس ہزار میں شامل ہونے کی بُلاہٹ کو رد کرتے ہیں۔ وہ دانی ایل کے بارہویں باب کے شریر ہیں، یرمیاہ کی ٹھٹھا کرنے والوں کی جماعت، یوحنا کی شیطان کی عبادت گاہ، اور متی کی نادان کنواریاں ہیں۔</w:t>
      </w:r>
    </w:p>
    <w:p>
      <w:pPr>
        <w:pStyle w:val="ArticleBody"/>
        <w:jc w:val="left"/>
      </w:pPr>
      <w:r>
        <w:rPr>
          <w:rFonts w:ascii="Times New Roman" w:hAnsi="Times New Roman" w:eastAsia="Times New Roman" w:cs="Times New Roman"/>
        </w:rPr>
        <w:t>Ẹnubwọnà ìkìlọ̀ tí Kristi ṣàpẹẹrẹ gẹ́gẹ́ bí “ìríra ìparun, tí a ti sọ̀rọ̀ rẹ̀ nípasẹ̀ Dáníẹ́lì wòlíì” dúró fún ìkìlọ̀ láti sá lọ ṣáájú ìparun àti ìtúká tí yóò tẹ̀ lé e. Ní ọdún 66 Lẹ́yìn Kristi, gẹ́ńérà Romu náà, Cestius, mú ìkìlọ̀ yẹn ṣẹ fún àwọn Kristẹni ti àkókò Romu keferi. Ní ọ̀rúndún kìn-ín-ní, àpọ́sítélì Pọ́ọ̀lù kọ ìkìlọ̀ kan náà sílẹ̀ fún àwọn Kristẹni tí yóò jìyà ní àkókò Romu póòpù. Ìkìlọ̀ fún àwọn olùpa ọjọ́ Ìsinmi láti kúrò ní àwọn ìlú kí wọ́n sì máa gbé ní igberiko wá ní 1888, ọdún kan náà pẹ̀lú Blair Bill, ìgbìmọ̀ àkọ́kọ́ láti fi ọjọ́ Àìkú múlẹ̀ gẹ́gẹ́ bí Ọjọ́ Ìsinmi Orílẹ̀-èdè. Blair Bill ni í ṣe ìkìlọ̀ láti sá lọ gẹ́gẹ́ bí ìmúṣẹ ìtọ́kasí Kristi sí ìríra ìparun Dáníẹ́lì.</w:t>
      </w:r>
    </w:p>
    <w:p>
      <w:pPr>
        <w:pStyle w:val="ArticleBody"/>
        <w:jc w:val="left"/>
      </w:pPr>
      <w:r>
        <w:rPr>
          <w:rFonts w:ascii="Times New Roman" w:hAnsi="Times New Roman" w:eastAsia="Times New Roman" w:cs="Times New Roman"/>
        </w:rPr>
        <w:t>Comme dans le cas de Cestius en l’an 66 apr. J.-C., le projet de loi Blair fut providentiellement retiré. L’année 1888 est un type du 11 septembre 2001, car Sœur White marque, dans les deux histoires, la descente de l’ange d’Apocalypse dix-huit. L’avertissement de fuir les villes dans les derniers jours entra en vigueur le 11 septembre 2001. Par conséquent, le projet de loi Blair de 1888 préfigurait le Patriot Act de 2001. L’ange qui descendit le 11 septembre 2001 proclame le message d’avertissement final dans les trois premiers versets d’Apocalypse dix-huit, et le message d’avertissement final est aussi le message du troisième ange, bien que le message représenté par le troisième ange au chapitre quatorze n’emploie pas les mêmes expressions de vérité qu’au chapitre dix-huit. Ligne sur ligne, ils constituent le même message d’avertissement.</w:t>
      </w:r>
    </w:p>
    <w:p>
      <w:pPr>
        <w:pStyle w:val="ArticleBody"/>
        <w:jc w:val="left"/>
      </w:pPr>
      <w:r>
        <w:rPr>
          <w:rFonts w:ascii="Nirmala UI" w:hAnsi="Nirmala UI" w:eastAsia="Nirmala UI" w:cs="Nirmala UI"/>
        </w:rPr>
        <w:t>ধ্বংসের</w:t>
      </w:r>
      <w:r>
        <w:rPr>
          <w:rFonts w:ascii="Times New Roman" w:hAnsi="Times New Roman" w:eastAsia="Times New Roman" w:cs="Times New Roman"/>
        </w:rPr>
        <w:t xml:space="preserve"> </w:t>
      </w:r>
      <w:r>
        <w:rPr>
          <w:rFonts w:ascii="Nirmala UI" w:hAnsi="Nirmala UI" w:eastAsia="Nirmala UI" w:cs="Nirmala UI"/>
        </w:rPr>
        <w:t>ঘৃণিত</w:t>
      </w:r>
      <w:r>
        <w:rPr>
          <w:rFonts w:ascii="Times New Roman" w:hAnsi="Times New Roman" w:eastAsia="Times New Roman" w:cs="Times New Roman"/>
        </w:rPr>
        <w:t xml:space="preserve"> </w:t>
      </w:r>
      <w:r>
        <w:rPr>
          <w:rFonts w:ascii="Nirmala UI" w:hAnsi="Nirmala UI" w:eastAsia="Nirmala UI" w:cs="Nirmala UI"/>
        </w:rPr>
        <w:t>বস্তু</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ভাববাদী</w:t>
      </w:r>
      <w:r>
        <w:rPr>
          <w:rFonts w:ascii="Times New Roman" w:hAnsi="Times New Roman" w:eastAsia="Times New Roman" w:cs="Times New Roman"/>
        </w:rPr>
        <w:t xml:space="preserve"> </w:t>
      </w:r>
      <w:r>
        <w:rPr>
          <w:rFonts w:ascii="Nirmala UI" w:hAnsi="Nirmala UI" w:eastAsia="Nirmala UI" w:cs="Nirmala UI"/>
        </w:rPr>
        <w:t>বলেছিলেন</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কর্তৃক</w:t>
      </w:r>
      <w:r>
        <w:rPr>
          <w:rFonts w:ascii="Times New Roman" w:hAnsi="Times New Roman" w:eastAsia="Times New Roman" w:cs="Times New Roman"/>
        </w:rPr>
        <w:t xml:space="preserve"> </w:t>
      </w:r>
      <w:r>
        <w:rPr>
          <w:rFonts w:ascii="Nirmala UI" w:hAnsi="Nirmala UI" w:eastAsia="Nirmala UI" w:cs="Nirmala UI"/>
        </w:rPr>
        <w:t>প্রদত্ত</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চিহ্ন</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কখন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সুরক্ষার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পালিয়ে</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সতর্কবার্তা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অবশ্যই</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সতর্কবার্তা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যদিও</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চতুর্দশ</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অষ্টাদশ</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প্রতিভাসিত</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তুলনায়</w:t>
      </w:r>
      <w:r>
        <w:rPr>
          <w:rFonts w:ascii="Times New Roman" w:hAnsi="Times New Roman" w:eastAsia="Times New Roman" w:cs="Times New Roman"/>
        </w:rPr>
        <w:t xml:space="preserve"> </w:t>
      </w:r>
      <w:r>
        <w:rPr>
          <w:rFonts w:ascii="Nirmala UI" w:hAnsi="Nirmala UI" w:eastAsia="Nirmala UI" w:cs="Nirmala UI"/>
        </w:rPr>
        <w:t>ভিন্ন</w:t>
      </w:r>
      <w:r>
        <w:rPr>
          <w:rFonts w:ascii="Times New Roman" w:hAnsi="Times New Roman" w:eastAsia="Times New Roman" w:cs="Times New Roman"/>
        </w:rPr>
        <w:t xml:space="preserve"> </w:t>
      </w:r>
      <w:r>
        <w:rPr>
          <w:rFonts w:ascii="Nirmala UI" w:hAnsi="Nirmala UI" w:eastAsia="Nirmala UI" w:cs="Nirmala UI"/>
        </w:rPr>
        <w:t>শব্দে</w:t>
      </w:r>
      <w:r>
        <w:rPr>
          <w:rFonts w:ascii="Times New Roman" w:hAnsi="Times New Roman" w:eastAsia="Times New Roman" w:cs="Times New Roman"/>
        </w:rPr>
        <w:t xml:space="preserve"> </w:t>
      </w:r>
      <w:r>
        <w:rPr>
          <w:rFonts w:ascii="Nirmala UI" w:hAnsi="Nirmala UI" w:eastAsia="Nirmala UI" w:cs="Nirmala UI"/>
        </w:rPr>
        <w:t>ব্যক্ত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যিরমিয়</w:t>
      </w:r>
      <w:r>
        <w:rPr>
          <w:rFonts w:ascii="Times New Roman" w:hAnsi="Times New Roman" w:eastAsia="Times New Roman" w:cs="Times New Roman"/>
        </w:rPr>
        <w:t xml:space="preserve"> </w:t>
      </w:r>
      <w:r>
        <w:rPr>
          <w:rFonts w:ascii="Nirmala UI" w:hAnsi="Nirmala UI" w:eastAsia="Nirmala UI" w:cs="Nirmala UI"/>
        </w:rPr>
        <w:t>পনেরো</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ষোড়শ</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সতর্ককারী</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সময়কাল।</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যিরমিয়</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ভোজন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ঘটে</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স্বর্গদূত</w:t>
      </w:r>
      <w:r>
        <w:rPr>
          <w:rFonts w:ascii="Times New Roman" w:hAnsi="Times New Roman" w:eastAsia="Times New Roman" w:cs="Times New Roman"/>
        </w:rPr>
        <w:t xml:space="preserve"> </w:t>
      </w:r>
      <w:r>
        <w:rPr>
          <w:rFonts w:ascii="Nirmala UI" w:hAnsi="Nirmala UI" w:eastAsia="Nirmala UI" w:cs="Nirmala UI"/>
        </w:rPr>
        <w:t>অবতীর্ণ</w:t>
      </w:r>
      <w:r>
        <w:rPr>
          <w:rFonts w:ascii="Times New Roman" w:hAnsi="Times New Roman" w:eastAsia="Times New Roman" w:cs="Times New Roman"/>
        </w:rPr>
        <w:t xml:space="preserve"> </w:t>
      </w:r>
      <w:r>
        <w:rPr>
          <w:rFonts w:ascii="Nirmala UI" w:hAnsi="Nirmala UI" w:eastAsia="Nirmala UI" w:cs="Nirmala UI"/>
        </w:rPr>
        <w:t>হন</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নিউ</w:t>
      </w:r>
      <w:r>
        <w:rPr>
          <w:rFonts w:ascii="Times New Roman" w:hAnsi="Times New Roman" w:eastAsia="Times New Roman" w:cs="Times New Roman"/>
        </w:rPr>
        <w:t xml:space="preserve"> </w:t>
      </w:r>
      <w:r>
        <w:rPr>
          <w:rFonts w:ascii="Nirmala UI" w:hAnsi="Nirmala UI" w:eastAsia="Nirmala UI" w:cs="Nirmala UI"/>
        </w:rPr>
        <w:t>ইয়র্ক</w:t>
      </w:r>
      <w:r>
        <w:rPr>
          <w:rFonts w:ascii="Times New Roman" w:hAnsi="Times New Roman" w:eastAsia="Times New Roman" w:cs="Times New Roman"/>
        </w:rPr>
        <w:t xml:space="preserve"> </w:t>
      </w:r>
      <w:r>
        <w:rPr>
          <w:rFonts w:ascii="Nirmala UI" w:hAnsi="Nirmala UI" w:eastAsia="Nirmala UI" w:cs="Nirmala UI"/>
        </w:rPr>
        <w:t>নগরের</w:t>
      </w:r>
      <w:r>
        <w:rPr>
          <w:rFonts w:ascii="Times New Roman" w:hAnsi="Times New Roman" w:eastAsia="Times New Roman" w:cs="Times New Roman"/>
        </w:rPr>
        <w:t xml:space="preserve"> </w:t>
      </w:r>
      <w:r>
        <w:rPr>
          <w:rFonts w:ascii="Nirmala UI" w:hAnsi="Nirmala UI" w:eastAsia="Nirmala UI" w:cs="Nirmala UI"/>
        </w:rPr>
        <w:t>বৃহৎ</w:t>
      </w:r>
      <w:r>
        <w:rPr>
          <w:rFonts w:ascii="Times New Roman" w:hAnsi="Times New Roman" w:eastAsia="Times New Roman" w:cs="Times New Roman"/>
        </w:rPr>
        <w:t xml:space="preserve"> </w:t>
      </w:r>
      <w:r>
        <w:rPr>
          <w:rFonts w:ascii="Nirmala UI" w:hAnsi="Nirmala UI" w:eastAsia="Nirmala UI" w:cs="Nirmala UI"/>
        </w:rPr>
        <w:t>অট্টালিকাগুলি</w:t>
      </w:r>
      <w:r>
        <w:rPr>
          <w:rFonts w:ascii="Times New Roman" w:hAnsi="Times New Roman" w:eastAsia="Times New Roman" w:cs="Times New Roman"/>
        </w:rPr>
        <w:t xml:space="preserve"> </w:t>
      </w:r>
      <w:r>
        <w:rPr>
          <w:rFonts w:ascii="Nirmala UI" w:hAnsi="Nirmala UI" w:eastAsia="Nirmala UI" w:cs="Nirmala UI"/>
        </w:rPr>
        <w:t>ভেঙে</w:t>
      </w:r>
      <w:r>
        <w:rPr>
          <w:rFonts w:ascii="Times New Roman" w:hAnsi="Times New Roman" w:eastAsia="Times New Roman" w:cs="Times New Roman"/>
        </w:rPr>
        <w:t xml:space="preserve"> </w:t>
      </w:r>
      <w:r>
        <w:rPr>
          <w:rFonts w:ascii="Nirmala UI" w:hAnsi="Nirmala UI" w:eastAsia="Nirmala UI" w:cs="Nirmala UI"/>
        </w:rPr>
        <w:t>পড়েছিল।</w:t>
      </w:r>
    </w:p>
    <w:p>
      <w:pPr>
        <w:pStyle w:val="ArticleBody"/>
        <w:jc w:val="left"/>
      </w:pPr>
      <w:r>
        <w:rPr>
          <w:rFonts w:ascii="Leelawadee UI" w:hAnsi="Leelawadee UI" w:eastAsia="Leelawadee UI" w:cs="Leelawadee UI"/>
        </w:rPr>
        <w:t>យេរេមាប្រកាសថា</w:t>
      </w:r>
      <w:r>
        <w:rPr>
          <w:rFonts w:ascii="Times New Roman" w:hAnsi="Times New Roman" w:eastAsia="Times New Roman" w:cs="Times New Roman"/>
        </w:rPr>
        <w:t xml:space="preserve"> «</w:t>
      </w:r>
      <w:r>
        <w:rPr>
          <w:rFonts w:ascii="Leelawadee UI" w:hAnsi="Leelawadee UI" w:eastAsia="Leelawadee UI" w:cs="Leelawadee UI"/>
        </w:rPr>
        <w:t>ពាក្យរបស់ទ្រង់ត្រូវបានរកឃើញ</w:t>
      </w:r>
      <w:r>
        <w:rPr>
          <w:rFonts w:ascii="Times New Roman" w:hAnsi="Times New Roman" w:eastAsia="Times New Roman" w:cs="Times New Roman"/>
        </w:rPr>
        <w:t xml:space="preserve"> </w:t>
      </w:r>
      <w:r>
        <w:rPr>
          <w:rFonts w:ascii="Leelawadee UI" w:hAnsi="Leelawadee UI" w:eastAsia="Leelawadee UI" w:cs="Leelawadee UI"/>
        </w:rPr>
        <w:t>ហើយខ្ញុំបានបរិភោគវា</w:t>
      </w:r>
      <w:r>
        <w:rPr>
          <w:rFonts w:ascii="Times New Roman" w:hAnsi="Times New Roman" w:eastAsia="Times New Roman" w:cs="Times New Roman"/>
        </w:rPr>
        <w:t xml:space="preserve">; </w:t>
      </w:r>
      <w:r>
        <w:rPr>
          <w:rFonts w:ascii="Leelawadee UI" w:hAnsi="Leelawadee UI" w:eastAsia="Leelawadee UI" w:cs="Leelawadee UI"/>
        </w:rPr>
        <w:t>ហើយព្រះបន្ទូលរបស់ទ្រង់បានក្លាយជាអំណរ</w:t>
      </w:r>
      <w:r>
        <w:rPr>
          <w:rFonts w:ascii="Times New Roman" w:hAnsi="Times New Roman" w:eastAsia="Times New Roman" w:cs="Times New Roman"/>
        </w:rPr>
        <w:t xml:space="preserve"> </w:t>
      </w:r>
      <w:r>
        <w:rPr>
          <w:rFonts w:ascii="Leelawadee UI" w:hAnsi="Leelawadee UI" w:eastAsia="Leelawadee UI" w:cs="Leelawadee UI"/>
        </w:rPr>
        <w:t>និងសេចក្ដីរីករាយនៃចិត្តខ្ញុំ</w:t>
      </w:r>
      <w:r>
        <w:rPr>
          <w:rFonts w:ascii="Times New Roman" w:hAnsi="Times New Roman" w:eastAsia="Times New Roman" w:cs="Times New Roman"/>
        </w:rPr>
        <w:t xml:space="preserve">» </w:t>
      </w:r>
      <w:r>
        <w:rPr>
          <w:rFonts w:ascii="Leelawadee UI" w:hAnsi="Leelawadee UI" w:eastAsia="Leelawadee UI" w:cs="Leelawadee UI"/>
        </w:rPr>
        <w:t>នោះគាត់តំណាងឲ្យការសាកល្បងដំបូងរបស់ដានីយ៉ែលអំពីអាហារនៅក្នុងជំពូកទីមួយ</w:t>
      </w:r>
      <w:r>
        <w:rPr>
          <w:rFonts w:ascii="Times New Roman" w:hAnsi="Times New Roman" w:eastAsia="Times New Roman" w:cs="Times New Roman"/>
        </w:rPr>
        <w:t xml:space="preserve"> </w:t>
      </w:r>
      <w:r>
        <w:rPr>
          <w:rFonts w:ascii="Leelawadee UI" w:hAnsi="Leelawadee UI" w:eastAsia="Leelawadee UI" w:cs="Leelawadee UI"/>
        </w:rPr>
        <w:t>និងយ៉ូហាននៅក្នុងវិវរណៈជំពូកទីដប់</w:t>
      </w:r>
      <w:r>
        <w:rPr>
          <w:rFonts w:ascii="Times New Roman" w:hAnsi="Times New Roman" w:eastAsia="Times New Roman" w:cs="Times New Roman"/>
        </w:rPr>
        <w:t xml:space="preserve"> </w:t>
      </w:r>
      <w:r>
        <w:rPr>
          <w:rFonts w:ascii="Leelawadee UI" w:hAnsi="Leelawadee UI" w:eastAsia="Leelawadee UI" w:cs="Leelawadee UI"/>
        </w:rPr>
        <w:t>ដែលទទួលយកសៀវភៅចេញពីដៃទេវតា</w:t>
      </w:r>
      <w:r>
        <w:rPr>
          <w:rFonts w:ascii="Times New Roman" w:hAnsi="Times New Roman" w:eastAsia="Times New Roman" w:cs="Times New Roman"/>
        </w:rPr>
        <w:t xml:space="preserve"> </w:t>
      </w:r>
      <w:r>
        <w:rPr>
          <w:rFonts w:ascii="Leelawadee UI" w:hAnsi="Leelawadee UI" w:eastAsia="Leelawadee UI" w:cs="Leelawadee UI"/>
        </w:rPr>
        <w:t>ហើយបរិភោគវា។</w:t>
      </w:r>
      <w:r>
        <w:rPr>
          <w:rFonts w:ascii="Times New Roman" w:hAnsi="Times New Roman" w:eastAsia="Times New Roman" w:cs="Times New Roman"/>
        </w:rPr>
        <w:t xml:space="preserve"> </w:t>
      </w:r>
      <w:r>
        <w:rPr>
          <w:rFonts w:ascii="Leelawadee UI" w:hAnsi="Leelawadee UI" w:eastAsia="Leelawadee UI" w:cs="Leelawadee UI"/>
        </w:rPr>
        <w:t>ការបរិភោគសារនោះចាប់ផ្ដើមនៅពេលទេវតាមួយមកដល់</w:t>
      </w:r>
      <w:r>
        <w:rPr>
          <w:rFonts w:ascii="Times New Roman" w:hAnsi="Times New Roman" w:eastAsia="Times New Roman" w:cs="Times New Roman"/>
        </w:rPr>
        <w:t xml:space="preserve"> </w:t>
      </w:r>
      <w:r>
        <w:rPr>
          <w:rFonts w:ascii="Leelawadee UI" w:hAnsi="Leelawadee UI" w:eastAsia="Leelawadee UI" w:cs="Leelawadee UI"/>
        </w:rPr>
        <w:t>ហើយនៅពេលទេវតាមកដល់</w:t>
      </w:r>
      <w:r>
        <w:rPr>
          <w:rFonts w:ascii="Times New Roman" w:hAnsi="Times New Roman" w:eastAsia="Times New Roman" w:cs="Times New Roman"/>
        </w:rPr>
        <w:t xml:space="preserve"> </w:t>
      </w:r>
      <w:r>
        <w:rPr>
          <w:rFonts w:ascii="Leelawadee UI" w:hAnsi="Leelawadee UI" w:eastAsia="Leelawadee UI" w:cs="Leelawadee UI"/>
        </w:rPr>
        <w:t>នោះមានព្យាករណ៍នៃការសាកល្បងមួយដែលត្រូវបានបើកត្រា។</w:t>
      </w:r>
      <w:r>
        <w:rPr>
          <w:rFonts w:ascii="Times New Roman" w:hAnsi="Times New Roman" w:eastAsia="Times New Roman" w:cs="Times New Roman"/>
        </w:rPr>
        <w:t xml:space="preserve"> </w:t>
      </w:r>
      <w:r>
        <w:rPr>
          <w:rFonts w:ascii="Leelawadee UI" w:hAnsi="Leelawadee UI" w:eastAsia="Leelawadee UI" w:cs="Leelawadee UI"/>
        </w:rPr>
        <w:t>នៅពេលទេវតាមកដល់</w:t>
      </w:r>
      <w:r>
        <w:rPr>
          <w:rFonts w:ascii="Times New Roman" w:hAnsi="Times New Roman" w:eastAsia="Times New Roman" w:cs="Times New Roman"/>
        </w:rPr>
        <w:t xml:space="preserve"> </w:t>
      </w:r>
      <w:r>
        <w:rPr>
          <w:rFonts w:ascii="Leelawadee UI" w:hAnsi="Leelawadee UI" w:eastAsia="Leelawadee UI" w:cs="Leelawadee UI"/>
        </w:rPr>
        <w:t>រយៈពេលសាកល្បងទីមួយចាប់ផ្ដើម</w:t>
      </w:r>
      <w:r>
        <w:rPr>
          <w:rFonts w:ascii="Times New Roman" w:hAnsi="Times New Roman" w:eastAsia="Times New Roman" w:cs="Times New Roman"/>
        </w:rPr>
        <w:t xml:space="preserve"> </w:t>
      </w:r>
      <w:r>
        <w:rPr>
          <w:rFonts w:ascii="Leelawadee UI" w:hAnsi="Leelawadee UI" w:eastAsia="Leelawadee UI" w:cs="Leelawadee UI"/>
        </w:rPr>
        <w:t>ហើយវាបញ្ចប់នៅពេលរយៈពេលសាកល្បងទីពីរចាប់ផ្ដើម</w:t>
      </w:r>
      <w:r>
        <w:rPr>
          <w:rFonts w:ascii="Times New Roman" w:hAnsi="Times New Roman" w:eastAsia="Times New Roman" w:cs="Times New Roman"/>
        </w:rPr>
        <w:t xml:space="preserve"> </w:t>
      </w:r>
      <w:r>
        <w:rPr>
          <w:rFonts w:ascii="Leelawadee UI" w:hAnsi="Leelawadee UI" w:eastAsia="Leelawadee UI" w:cs="Leelawadee UI"/>
        </w:rPr>
        <w:t>ហើយនៅពេលមីកាអែលក្រោកឈរ</w:t>
      </w:r>
      <w:r>
        <w:rPr>
          <w:rFonts w:ascii="Times New Roman" w:hAnsi="Times New Roman" w:eastAsia="Times New Roman" w:cs="Times New Roman"/>
        </w:rPr>
        <w:t xml:space="preserve"> </w:t>
      </w:r>
      <w:r>
        <w:rPr>
          <w:rFonts w:ascii="Leelawadee UI" w:hAnsi="Leelawadee UI" w:eastAsia="Leelawadee UI" w:cs="Leelawadee UI"/>
        </w:rPr>
        <w:t>រយៈពេលសាកល្បងទីពីរក៏បញ្ចប់។</w:t>
      </w:r>
    </w:p>
    <w:p>
      <w:pPr>
        <w:pStyle w:val="ArticleBody"/>
        <w:jc w:val="left"/>
      </w:pPr>
      <w:r>
        <w:rPr>
          <w:rFonts w:ascii="Times New Roman" w:hAnsi="Times New Roman" w:eastAsia="Times New Roman" w:cs="Times New Roman"/>
        </w:rPr>
        <w:t>Wakati malaika huyo anapofika, mvua ya masika inaanza kunyesha.</w:t>
      </w:r>
    </w:p>
    <w:p>
      <w:pPr>
        <w:pStyle w:val="ArticleScripture"/>
        <w:jc w:val="left"/>
      </w:pPr>
      <w:r>
        <w:rPr>
          <w:rFonts w:ascii="Times New Roman" w:hAnsi="Times New Roman" w:eastAsia="Times New Roman" w:cs="Times New Roman"/>
        </w:rPr>
        <w:t>«Мокри борони охирин бар қавми Худо хоҳад борид. Фариштаи қавие аз осмон нозил хоҳад шуд, ва тамоми замин аз ҷалоли ӯ равшан хоҳад гардид». Review and Herald, April 21, 1891.</w:t>
      </w:r>
    </w:p>
    <w:p>
      <w:pPr>
        <w:pStyle w:val="ArticleBody"/>
        <w:jc w:val="left"/>
      </w:pPr>
      <w:r>
        <w:rPr>
          <w:rFonts w:ascii="Times New Roman" w:hAnsi="Times New Roman" w:eastAsia="Times New Roman" w:cs="Times New Roman"/>
        </w:rPr>
        <w:t>Mvua ya mwisho inapokelewa na wale wanaotembea katika njia za kale za Yeremia.</w:t>
      </w:r>
    </w:p>
    <w:p>
      <w:pPr>
        <w:pStyle w:val="ArticleScripture"/>
        <w:jc w:val="left"/>
      </w:pPr>
      <w:r>
        <w:rPr>
          <w:rFonts w:ascii="Times New Roman" w:hAnsi="Times New Roman" w:eastAsia="Times New Roman" w:cs="Times New Roman"/>
        </w:rPr>
        <w:t>Bwana asema hivi, Simameni njiani, mkaone, mkaiulize njia za kale, ilipo njia njema, mkaenende humo, nanyi mtapata raha kwa roho zenu. Lakini wao wakasema, Hatuendi humo. Tena nikaweka walinzi juu yenu, nikisema, Sikilizeni sauti ya tarumbeta. Lakini wao wakasema, Hatusikilizi. Yeremia 6:16, 17.</w:t>
      </w:r>
    </w:p>
    <w:p>
      <w:pPr>
        <w:pStyle w:val="ArticleBody"/>
        <w:jc w:val="left"/>
      </w:pPr>
      <w:r>
        <w:rPr>
          <w:rFonts w:ascii="Times New Roman" w:hAnsi="Times New Roman" w:eastAsia="Times New Roman" w:cs="Times New Roman"/>
        </w:rPr>
        <w:t>La « trompette » que les « sentinelles » font retentir est le message de Laodicée, celui que Jones et Waggoner ont présenté en 1888.</w:t>
      </w:r>
    </w:p>
    <w:p>
      <w:pPr>
        <w:pStyle w:val="ArticleScripture"/>
        <w:jc w:val="left"/>
      </w:pPr>
      <w:r>
        <w:rPr>
          <w:rFonts w:ascii="Times New Roman" w:hAnsi="Times New Roman" w:eastAsia="Times New Roman" w:cs="Times New Roman"/>
        </w:rPr>
        <w:t>Crie à haute voix, ne te retiens pas, élève ta voix comme une trompette, et déclare à mon peuple sa transgression, et à la maison de Jacob ses péchés. Ésaïe 58:1.</w:t>
      </w:r>
    </w:p>
    <w:p>
      <w:pPr>
        <w:pStyle w:val="ArticleBody"/>
        <w:jc w:val="left"/>
      </w:pPr>
      <w:r>
        <w:rPr>
          <w:rFonts w:ascii="Times New Roman" w:hAnsi="Times New Roman" w:eastAsia="Times New Roman" w:cs="Times New Roman"/>
        </w:rPr>
        <w:t>Vào ngày 11 tháng 9 năm 2001, việc đóng ấn cho một trăm bốn mươi bốn nghìn người đã bắt đầu. Một sứ điệp cảnh báo gửi đến Laodice đã được công bố.</w:t>
      </w:r>
    </w:p>
    <w:p>
      <w:pPr>
        <w:pStyle w:val="ArticleScripture"/>
        <w:jc w:val="left"/>
      </w:pPr>
      <w:r>
        <w:rPr>
          <w:rFonts w:ascii="Times New Roman" w:hAnsi="Times New Roman" w:eastAsia="Times New Roman" w:cs="Times New Roman"/>
        </w:rPr>
        <w:t>“Ujumbe tuliopewa kupitia A. T. Jones na E. J. Waggoner ni ujumbe wa Mungu kwa kanisa la Laodikia, na ole wake yeyote anayekiri kuamini ukweli, lakini hata hivyo hawaangazii wengine miale aliyotoa Mungu.” The 1888 Materials, 1053.</w:t>
      </w:r>
    </w:p>
    <w:p>
      <w:pPr>
        <w:pStyle w:val="ArticleBody"/>
        <w:jc w:val="left"/>
      </w:pPr>
      <w:r>
        <w:rPr>
          <w:rFonts w:ascii="Ebrima" w:hAnsi="Ebrima" w:eastAsia="Ebrima" w:cs="Ebrima"/>
        </w:rPr>
        <w:t>የሎዲቅያ</w:t>
      </w:r>
      <w:r>
        <w:rPr>
          <w:rFonts w:ascii="Times New Roman" w:hAnsi="Times New Roman" w:eastAsia="Times New Roman" w:cs="Times New Roman"/>
        </w:rPr>
        <w:t xml:space="preserve"> </w:t>
      </w:r>
      <w:r>
        <w:rPr>
          <w:rFonts w:ascii="Ebrima" w:hAnsi="Ebrima" w:eastAsia="Ebrima" w:cs="Ebrima"/>
        </w:rPr>
        <w:t>ማስጠንቀቂያ</w:t>
      </w:r>
      <w:r>
        <w:rPr>
          <w:rFonts w:ascii="Times New Roman" w:hAnsi="Times New Roman" w:eastAsia="Times New Roman" w:cs="Times New Roman"/>
        </w:rPr>
        <w:t xml:space="preserve"> </w:t>
      </w:r>
      <w:r>
        <w:rPr>
          <w:rFonts w:ascii="Ebrima" w:hAnsi="Ebrima" w:eastAsia="Ebrima" w:cs="Ebrima"/>
        </w:rPr>
        <w:t>የሎዲቅያ</w:t>
      </w:r>
      <w:r>
        <w:rPr>
          <w:rFonts w:ascii="Times New Roman" w:hAnsi="Times New Roman" w:eastAsia="Times New Roman" w:cs="Times New Roman"/>
        </w:rPr>
        <w:t xml:space="preserve"> </w:t>
      </w:r>
      <w:r>
        <w:rPr>
          <w:rFonts w:ascii="Ebrima" w:hAnsi="Ebrima" w:eastAsia="Ebrima" w:cs="Ebrima"/>
        </w:rPr>
        <w:t>ሰባተኛ</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አድቬንቲስት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ልትሰማ</w:t>
      </w:r>
      <w:r>
        <w:rPr>
          <w:rFonts w:ascii="Times New Roman" w:hAnsi="Times New Roman" w:eastAsia="Times New Roman" w:cs="Times New Roman"/>
        </w:rPr>
        <w:t xml:space="preserve"> </w:t>
      </w:r>
      <w:r>
        <w:rPr>
          <w:rFonts w:ascii="Ebrima" w:hAnsi="Ebrima" w:eastAsia="Ebrima" w:cs="Ebrima"/>
        </w:rPr>
        <w:t>የማትፈልገው</w:t>
      </w:r>
      <w:r>
        <w:rPr>
          <w:rFonts w:ascii="Times New Roman" w:hAnsi="Times New Roman" w:eastAsia="Times New Roman" w:cs="Times New Roman"/>
        </w:rPr>
        <w:t xml:space="preserve"> </w:t>
      </w:r>
      <w:r>
        <w:rPr>
          <w:rFonts w:ascii="Ebrima" w:hAnsi="Ebrima" w:eastAsia="Ebrima" w:cs="Ebrima"/>
        </w:rPr>
        <w:t>የኤርምያስ</w:t>
      </w:r>
      <w:r>
        <w:rPr>
          <w:rFonts w:ascii="Times New Roman" w:hAnsi="Times New Roman" w:eastAsia="Times New Roman" w:cs="Times New Roman"/>
        </w:rPr>
        <w:t xml:space="preserve"> </w:t>
      </w:r>
      <w:r>
        <w:rPr>
          <w:rFonts w:ascii="Ebrima" w:hAnsi="Ebrima" w:eastAsia="Ebrima" w:cs="Ebrima"/>
        </w:rPr>
        <w:t>ጠባቂዎች</w:t>
      </w:r>
      <w:r>
        <w:rPr>
          <w:rFonts w:ascii="Times New Roman" w:hAnsi="Times New Roman" w:eastAsia="Times New Roman" w:cs="Times New Roman"/>
        </w:rPr>
        <w:t xml:space="preserve"> </w:t>
      </w:r>
      <w:r>
        <w:rPr>
          <w:rFonts w:ascii="Ebrima" w:hAnsi="Ebrima" w:eastAsia="Ebrima" w:cs="Ebrima"/>
        </w:rPr>
        <w:t>መለከት</w:t>
      </w:r>
      <w:r>
        <w:rPr>
          <w:rFonts w:ascii="Times New Roman" w:hAnsi="Times New Roman" w:eastAsia="Times New Roman" w:cs="Times New Roman"/>
        </w:rPr>
        <w:t xml:space="preserve"> </w:t>
      </w:r>
      <w:r>
        <w:rPr>
          <w:rFonts w:ascii="Ebrima" w:hAnsi="Ebrima" w:eastAsia="Ebrima" w:cs="Ebrima"/>
        </w:rPr>
        <w:t>ድምፅ</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በቅርቡ</w:t>
      </w:r>
      <w:r>
        <w:rPr>
          <w:rFonts w:ascii="Times New Roman" w:hAnsi="Times New Roman" w:eastAsia="Times New Roman" w:cs="Times New Roman"/>
        </w:rPr>
        <w:t xml:space="preserve"> </w:t>
      </w:r>
      <w:r>
        <w:rPr>
          <w:rFonts w:ascii="Ebrima" w:hAnsi="Ebrima" w:eastAsia="Ebrima" w:cs="Ebrima"/>
        </w:rPr>
        <w:t>ከሚመጣው</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አስቀድሞ</w:t>
      </w:r>
      <w:r>
        <w:rPr>
          <w:rFonts w:ascii="Times New Roman" w:hAnsi="Times New Roman" w:eastAsia="Times New Roman" w:cs="Times New Roman"/>
        </w:rPr>
        <w:t xml:space="preserve"> </w:t>
      </w:r>
      <w:r>
        <w:rPr>
          <w:rFonts w:ascii="Ebrima" w:hAnsi="Ebrima" w:eastAsia="Ebrima" w:cs="Ebrima"/>
        </w:rPr>
        <w:t>ከከተሞች</w:t>
      </w:r>
      <w:r>
        <w:rPr>
          <w:rFonts w:ascii="Times New Roman" w:hAnsi="Times New Roman" w:eastAsia="Times New Roman" w:cs="Times New Roman"/>
        </w:rPr>
        <w:t xml:space="preserve"> </w:t>
      </w:r>
      <w:r>
        <w:rPr>
          <w:rFonts w:ascii="Ebrima" w:hAnsi="Ebrima" w:eastAsia="Ebrima" w:cs="Ebrima"/>
        </w:rPr>
        <w:t>ሸሽቶ</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ገጠር</w:t>
      </w:r>
      <w:r>
        <w:rPr>
          <w:rFonts w:ascii="Times New Roman" w:hAnsi="Times New Roman" w:eastAsia="Times New Roman" w:cs="Times New Roman"/>
        </w:rPr>
        <w:t xml:space="preserve"> </w:t>
      </w:r>
      <w:r>
        <w:rPr>
          <w:rFonts w:ascii="Ebrima" w:hAnsi="Ebrima" w:eastAsia="Ebrima" w:cs="Ebrima"/>
        </w:rPr>
        <w:t>መሬት</w:t>
      </w:r>
      <w:r>
        <w:rPr>
          <w:rFonts w:ascii="Times New Roman" w:hAnsi="Times New Roman" w:eastAsia="Times New Roman" w:cs="Times New Roman"/>
        </w:rPr>
        <w:t xml:space="preserve"> </w:t>
      </w:r>
      <w:r>
        <w:rPr>
          <w:rFonts w:ascii="Ebrima" w:hAnsi="Ebrima" w:eastAsia="Ebrima" w:cs="Ebrima"/>
        </w:rPr>
        <w:t>እንዲሄዱ</w:t>
      </w:r>
      <w:r>
        <w:rPr>
          <w:rFonts w:ascii="Times New Roman" w:hAnsi="Times New Roman" w:eastAsia="Times New Roman" w:cs="Times New Roman"/>
        </w:rPr>
        <w:t xml:space="preserve"> </w:t>
      </w:r>
      <w:r>
        <w:rPr>
          <w:rFonts w:ascii="Ebrima" w:hAnsi="Ebrima" w:eastAsia="Ebrima" w:cs="Ebrima"/>
        </w:rPr>
        <w:t>የሚሰጥ</w:t>
      </w:r>
      <w:r>
        <w:rPr>
          <w:rFonts w:ascii="Times New Roman" w:hAnsi="Times New Roman" w:eastAsia="Times New Roman" w:cs="Times New Roman"/>
        </w:rPr>
        <w:t xml:space="preserve"> </w:t>
      </w:r>
      <w:r>
        <w:rPr>
          <w:rFonts w:ascii="Ebrima" w:hAnsi="Ebrima" w:eastAsia="Ebrima" w:cs="Ebrima"/>
        </w:rPr>
        <w:t>ማስጠንቀቂያ</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Je viens d’exposer, au sujet de ces diverses lignes prophétiques, une réflexion visant à stimuler votre discernement, afin de vous encourager à éprouver véritablement ce que je m’apprête à écrire. Peut-être la caractéristique la plus importante de l’image à et de la bête est-elle qu’il y a, dans les derniers jours, deux formations d’une image de et à la bête. La première, aux États-Unis, puis ensuite dans les nations du monde.</w:t>
      </w:r>
    </w:p>
    <w:p>
      <w:pPr>
        <w:pStyle w:val="ArticleBody"/>
        <w:jc w:val="left"/>
      </w:pPr>
      <w:r>
        <w:rPr>
          <w:rFonts w:ascii="Times New Roman" w:hAnsi="Times New Roman" w:eastAsia="Times New Roman" w:cs="Times New Roman"/>
        </w:rPr>
        <w:t>May mga tiyak na katangiang panghula na kaugnay ng larawan sa at ng hayop, na kinakailangang maikapit nang wasto kung tayo ay makalulusot sa maka-propetikong proseso ng pagsubok ng larawang ito ng Roma. Ang ikalawang mahalagang sangkap ng panahon ng pagsubok ng larawan ng hayop (na maipakikita sa pamamagitan ng ilang mga saksi) ay ito: na ang panahon ng pagtatatak sa isang daan at apatnapu’t apat na libo ay nagaganap sa loob ng yugto ng pagsubok ng larawan ng hayop sa Estados Unidos, at na ang yugto ng pagsubok ng larawan ng hayop sa mga bansa ng sanlibutan ay siyang panahon kung kailan ang iba pang mga anak ng Diyos na nasa Babilonia pa sa panahon ng kautusang iyon ukol sa Linggo (na kinakatawanan ng 321), ay tinitipon sa kawan.</w:t>
      </w:r>
    </w:p>
    <w:p>
      <w:pPr>
        <w:pStyle w:val="ArticleBody"/>
        <w:jc w:val="left"/>
      </w:pPr>
      <w:r>
        <w:rPr>
          <w:rFonts w:ascii="Times New Roman" w:hAnsi="Times New Roman" w:eastAsia="Times New Roman" w:cs="Times New Roman"/>
        </w:rPr>
        <w:t>L’image de la bête représente deux périodes spécifiques et interreliées de temps d’épreuve, et ces deux temps d’épreuve représentent aussi le rassemblement final des cent quarante-quatre mille d’Apocalypse chapitre sept, suivi de la grande multitude dans ce même chapitre.</w:t>
      </w:r>
    </w:p>
    <w:p>
      <w:pPr>
        <w:pStyle w:val="ArticleBody"/>
        <w:jc w:val="left"/>
      </w:pPr>
      <w:r>
        <w:rPr>
          <w:rFonts w:ascii="Times New Roman" w:hAnsi="Times New Roman" w:eastAsia="Times New Roman" w:cs="Times New Roman"/>
        </w:rPr>
        <w:t xml:space="preserve">“ff” </w:t>
      </w:r>
      <w:r>
        <w:rPr>
          <w:rFonts w:ascii="Nirmala UI" w:hAnsi="Nirmala UI" w:eastAsia="Nirmala UI" w:cs="Nirmala UI"/>
        </w:rPr>
        <w:t>භාෂාව</w:t>
      </w:r>
      <w:r>
        <w:rPr>
          <w:rFonts w:ascii="Times New Roman" w:hAnsi="Times New Roman" w:eastAsia="Times New Roman" w:cs="Times New Roman"/>
        </w:rPr>
        <w:t xml:space="preserve"> </w:t>
      </w:r>
      <w:r>
        <w:rPr>
          <w:rFonts w:ascii="Nirmala UI" w:hAnsi="Nirmala UI" w:eastAsia="Nirmala UI" w:cs="Nirmala UI"/>
        </w:rPr>
        <w:t>කුමක්දැයි</w:t>
      </w:r>
      <w:r>
        <w:rPr>
          <w:rFonts w:ascii="Times New Roman" w:hAnsi="Times New Roman" w:eastAsia="Times New Roman" w:cs="Times New Roman"/>
        </w:rPr>
        <w:t xml:space="preserve"> </w:t>
      </w:r>
      <w:r>
        <w:rPr>
          <w:rFonts w:ascii="Nirmala UI" w:hAnsi="Nirmala UI" w:eastAsia="Nirmala UI" w:cs="Nirmala UI"/>
        </w:rPr>
        <w:t>සඳහන්</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 xml:space="preserve">. </w:t>
      </w:r>
      <w:r>
        <w:rPr>
          <w:rFonts w:ascii="Nirmala UI" w:hAnsi="Nirmala UI" w:eastAsia="Nirmala UI" w:cs="Nirmala UI"/>
        </w:rPr>
        <w:t>පරිවර්තනය</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කරුණාකර</w:t>
      </w:r>
      <w:r>
        <w:rPr>
          <w:rFonts w:ascii="Times New Roman" w:hAnsi="Times New Roman" w:eastAsia="Times New Roman" w:cs="Times New Roman"/>
        </w:rPr>
        <w:t xml:space="preserve"> </w:t>
      </w:r>
      <w:r>
        <w:rPr>
          <w:rFonts w:ascii="Nirmala UI" w:hAnsi="Nirmala UI" w:eastAsia="Nirmala UI" w:cs="Nirmala UI"/>
        </w:rPr>
        <w:t>ඉලක්ක</w:t>
      </w:r>
      <w:r>
        <w:rPr>
          <w:rFonts w:ascii="Times New Roman" w:hAnsi="Times New Roman" w:eastAsia="Times New Roman" w:cs="Times New Roman"/>
        </w:rPr>
        <w:t xml:space="preserve"> </w:t>
      </w:r>
      <w:r>
        <w:rPr>
          <w:rFonts w:ascii="Nirmala UI" w:hAnsi="Nirmala UI" w:eastAsia="Nirmala UI" w:cs="Nirmala UI"/>
        </w:rPr>
        <w:t>භාෂාව</w:t>
      </w:r>
      <w:r>
        <w:rPr>
          <w:rFonts w:ascii="Times New Roman" w:hAnsi="Times New Roman" w:eastAsia="Times New Roman" w:cs="Times New Roman"/>
        </w:rPr>
        <w:t xml:space="preserve"> </w:t>
      </w:r>
      <w:r>
        <w:rPr>
          <w:rFonts w:ascii="Nirmala UI" w:hAnsi="Nirmala UI" w:eastAsia="Nirmala UI" w:cs="Nirmala UI"/>
        </w:rPr>
        <w:t>සඳහන්</w:t>
      </w:r>
      <w:r>
        <w:rPr>
          <w:rFonts w:ascii="Times New Roman" w:hAnsi="Times New Roman" w:eastAsia="Times New Roman" w:cs="Times New Roman"/>
        </w:rPr>
        <w:t xml:space="preserve"> </w:t>
      </w:r>
      <w:r>
        <w:rPr>
          <w:rFonts w:ascii="Nirmala UI" w:hAnsi="Nirmala UI" w:eastAsia="Nirmala UI" w:cs="Nirmala UI"/>
        </w:rPr>
        <w:t>කරන්න</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 2001, leta ya Leta Zunze Ubumwe za Amerika “yavuze” itegeko ryitwa Patriot Act ngo ribe itegeko.</w:t>
      </w:r>
    </w:p>
    <w:p>
      <w:pPr>
        <w:pStyle w:val="ArticleBody"/>
        <w:jc w:val="left"/>
      </w:pPr>
      <w:r>
        <w:rPr>
          <w:rFonts w:ascii="Times New Roman" w:hAnsi="Times New Roman" w:eastAsia="Times New Roman" w:cs="Times New Roman"/>
        </w:rPr>
        <w:t>A bu nɔŋɔsɛlɛ ka taa la ni karan gbansan wo tugu 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om vers førti – nummer én</dc:title>
  <dc:subject>Dévoilement des prophéties : les derniers jours, le Lion de Juda et les derniers mouvements de l’Apocalypse</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