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Nhauṋe ya Tshiḅeṅgele ya Vhesi ya Forthi — Nomboro Ya Vhuvhili</w:t>
      </w:r>
    </w:p>
    <w:p>
      <w:pPr>
        <w:pStyle w:val="ArticleSubtitle"/>
        <w:jc w:val="left"/>
      </w:pPr>
      <w:r>
        <w:rPr>
          <w:rFonts w:ascii="Arial" w:hAnsi="Arial" w:eastAsia="Arial" w:cs="Arial"/>
        </w:rPr>
        <w:t>Les États-Unis, le Patriot Act, et la voie vers l’accomplissement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Nous avons terminé le dernier article par la phrase qui disait : « En 2001, le gouvernement des États-Unis a promulgué le Patriot Act.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အတော်များများသည်</w:t>
      </w:r>
      <w:r>
        <w:rPr>
          <w:rFonts w:ascii="Times New Roman" w:hAnsi="Times New Roman" w:eastAsia="Times New Roman" w:cs="Times New Roman"/>
        </w:rPr>
        <w:t>—</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အတင်းအကျပ်လိုက်နာစေရန်</w:t>
      </w:r>
      <w:r>
        <w:rPr>
          <w:rFonts w:ascii="Times New Roman" w:hAnsi="Times New Roman" w:eastAsia="Times New Roman" w:cs="Times New Roman"/>
        </w:rPr>
        <w:t xml:space="preserve"> </w:t>
      </w:r>
      <w:r>
        <w:rPr>
          <w:rFonts w:ascii="Myanmar Text" w:hAnsi="Myanmar Text" w:eastAsia="Myanmar Text" w:cs="Myanmar Text"/>
        </w:rPr>
        <w:t>ဆောင်ရွက်နေသော</w:t>
      </w:r>
      <w:r>
        <w:rPr>
          <w:rFonts w:ascii="Times New Roman" w:hAnsi="Times New Roman" w:eastAsia="Times New Roman" w:cs="Times New Roman"/>
        </w:rPr>
        <w:t xml:space="preserve"> </w:t>
      </w:r>
      <w:r>
        <w:rPr>
          <w:rFonts w:ascii="Myanmar Text" w:hAnsi="Myanmar Text" w:eastAsia="Myanmar Text" w:cs="Myanmar Text"/>
        </w:rPr>
        <w:t>ဤလှုပ်ရှားမှုတွင်</w:t>
      </w:r>
      <w:r>
        <w:rPr>
          <w:rFonts w:ascii="Times New Roman" w:hAnsi="Times New Roman" w:eastAsia="Times New Roman" w:cs="Times New Roman"/>
        </w:rPr>
        <w:t xml:space="preserve"> </w:t>
      </w:r>
      <w:r>
        <w:rPr>
          <w:rFonts w:ascii="Myanmar Text" w:hAnsi="Myanmar Text" w:eastAsia="Myanmar Text" w:cs="Myanmar Text"/>
        </w:rPr>
        <w:t>ပါဝင်နေသူများထဲကပင်</w:t>
      </w:r>
      <w:r>
        <w:rPr>
          <w:rFonts w:ascii="Times New Roman" w:hAnsi="Times New Roman" w:eastAsia="Times New Roman" w:cs="Times New Roman"/>
        </w:rPr>
        <w:t>—</w:t>
      </w:r>
      <w:r>
        <w:rPr>
          <w:rFonts w:ascii="Myanmar Text" w:hAnsi="Myanmar Text" w:eastAsia="Myanmar Text" w:cs="Myanmar Text"/>
        </w:rPr>
        <w:t>ဤလုပ်ရပ်နောက်တွင်</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w:t>
      </w:r>
      <w:r>
        <w:rPr>
          <w:rFonts w:ascii="Myanmar Text" w:hAnsi="Myanmar Text" w:eastAsia="Myanmar Text" w:cs="Myanmar Text"/>
        </w:rPr>
        <w:t>အကျိုးဆက်များကို</w:t>
      </w:r>
      <w:r>
        <w:rPr>
          <w:rFonts w:ascii="Times New Roman" w:hAnsi="Times New Roman" w:eastAsia="Times New Roman" w:cs="Times New Roman"/>
        </w:rPr>
        <w:t xml:space="preserve"> </w:t>
      </w:r>
      <w:r>
        <w:rPr>
          <w:rFonts w:ascii="Myanmar Text" w:hAnsi="Myanmar Text" w:eastAsia="Myanmar Text" w:cs="Myanmar Text"/>
        </w:rPr>
        <w:t>မမြင်နိုင်အောင်</w:t>
      </w:r>
      <w:r>
        <w:rPr>
          <w:rFonts w:ascii="Times New Roman" w:hAnsi="Times New Roman" w:eastAsia="Times New Roman" w:cs="Times New Roman"/>
        </w:rPr>
        <w:t xml:space="preserve"> </w:t>
      </w:r>
      <w:r>
        <w:rPr>
          <w:rFonts w:ascii="Myanmar Text" w:hAnsi="Myanmar Text" w:eastAsia="Myanmar Text" w:cs="Myanmar Text"/>
        </w:rPr>
        <w:t>မျက်စိကန်းလျက်</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ဘာသာရေးလွတ်လပ်ခွင့်ကို</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ထိခိုက်ရိုက်ခတ်နေကြသည်ကို</w:t>
      </w:r>
      <w:r>
        <w:rPr>
          <w:rFonts w:ascii="Times New Roman" w:hAnsi="Times New Roman" w:eastAsia="Times New Roman" w:cs="Times New Roman"/>
        </w:rPr>
        <w:t xml:space="preserve"> </w:t>
      </w:r>
      <w:r>
        <w:rPr>
          <w:rFonts w:ascii="Myanmar Text" w:hAnsi="Myanmar Text" w:eastAsia="Myanmar Text" w:cs="Myanmar Text"/>
        </w:rPr>
        <w:t>မမြင်ကြ။</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ဥပုသ်နေ့၏</w:t>
      </w:r>
      <w:r>
        <w:rPr>
          <w:rFonts w:ascii="Times New Roman" w:hAnsi="Times New Roman" w:eastAsia="Times New Roman" w:cs="Times New Roman"/>
        </w:rPr>
        <w:t xml:space="preserve"> </w:t>
      </w:r>
      <w:r>
        <w:rPr>
          <w:rFonts w:ascii="Myanmar Text" w:hAnsi="Myanmar Text" w:eastAsia="Myanmar Text" w:cs="Myanmar Text"/>
        </w:rPr>
        <w:t>တောင်းဆိုချက်များကိုလည်းကောင်း၊</w:t>
      </w:r>
      <w:r>
        <w:rPr>
          <w:rFonts w:ascii="Times New Roman" w:hAnsi="Times New Roman" w:eastAsia="Times New Roman" w:cs="Times New Roman"/>
        </w:rPr>
        <w:t xml:space="preserve"> </w:t>
      </w:r>
      <w:r>
        <w:rPr>
          <w:rFonts w:ascii="Myanmar Text" w:hAnsi="Myanmar Text" w:eastAsia="Myanmar Text" w:cs="Myanmar Text"/>
        </w:rPr>
        <w:t>တနင်္ဂနွေနေ့အဖွဲ့အစည်း</w:t>
      </w:r>
      <w:r>
        <w:rPr>
          <w:rFonts w:ascii="Times New Roman" w:hAnsi="Times New Roman" w:eastAsia="Times New Roman" w:cs="Times New Roman"/>
        </w:rPr>
        <w:t xml:space="preserve"> </w:t>
      </w:r>
      <w:r>
        <w:rPr>
          <w:rFonts w:ascii="Myanmar Text" w:hAnsi="Myanmar Text" w:eastAsia="Myanmar Text" w:cs="Myanmar Text"/>
        </w:rPr>
        <w:t>တည်ရှိနေသည့်</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အခြေခံကိုလည်းကောင်း၊</w:t>
      </w:r>
      <w:r>
        <w:rPr>
          <w:rFonts w:ascii="Times New Roman" w:hAnsi="Times New Roman" w:eastAsia="Times New Roman" w:cs="Times New Roman"/>
        </w:rPr>
        <w:t xml:space="preserve"> </w:t>
      </w:r>
      <w:r>
        <w:rPr>
          <w:rFonts w:ascii="Myanmar Text" w:hAnsi="Myanmar Text" w:eastAsia="Myanmar Text" w:cs="Myanmar Text"/>
        </w:rPr>
        <w:t>မနားလည်ဖူးသောသူ</w:t>
      </w:r>
      <w:r>
        <w:rPr>
          <w:rFonts w:ascii="Times New Roman" w:hAnsi="Times New Roman" w:eastAsia="Times New Roman" w:cs="Times New Roman"/>
        </w:rPr>
        <w:t xml:space="preserve"> </w:t>
      </w:r>
      <w:r>
        <w:rPr>
          <w:rFonts w:ascii="Myanmar Text" w:hAnsi="Myanmar Text" w:eastAsia="Myanmar Text" w:cs="Myanmar Text"/>
        </w:rPr>
        <w:t>အများရှိကြသည်။</w:t>
      </w:r>
      <w:r>
        <w:rPr>
          <w:rFonts w:ascii="Times New Roman" w:hAnsi="Times New Roman" w:eastAsia="Times New Roman" w:cs="Times New Roman"/>
        </w:rPr>
        <w:t xml:space="preserve"> </w:t>
      </w:r>
      <w:r>
        <w:rPr>
          <w:rFonts w:ascii="Myanmar Text" w:hAnsi="Myanmar Text" w:eastAsia="Myanmar Text" w:cs="Myanmar Text"/>
        </w:rPr>
        <w:t>ဘာသာရေးဥပဒေပြုရေးကို</w:t>
      </w:r>
      <w:r>
        <w:rPr>
          <w:rFonts w:ascii="Times New Roman" w:hAnsi="Times New Roman" w:eastAsia="Times New Roman" w:cs="Times New Roman"/>
        </w:rPr>
        <w:t xml:space="preserve"> </w:t>
      </w:r>
      <w:r>
        <w:rPr>
          <w:rFonts w:ascii="Myanmar Text" w:hAnsi="Myanmar Text" w:eastAsia="Myanmar Text" w:cs="Myanmar Text"/>
        </w:rPr>
        <w:t>ထောက်ခံသည့်</w:t>
      </w:r>
      <w:r>
        <w:rPr>
          <w:rFonts w:ascii="Times New Roman" w:hAnsi="Times New Roman" w:eastAsia="Times New Roman" w:cs="Times New Roman"/>
        </w:rPr>
        <w:t xml:space="preserve"> </w:t>
      </w:r>
      <w:r>
        <w:rPr>
          <w:rFonts w:ascii="Myanmar Text" w:hAnsi="Myanmar Text" w:eastAsia="Myanmar Text" w:cs="Myanmar Text"/>
        </w:rPr>
        <w:t>မည်သည့်လှုပ်ရှားမှုမဆို၊</w:t>
      </w:r>
      <w:r>
        <w:rPr>
          <w:rFonts w:ascii="Times New Roman" w:hAnsi="Times New Roman" w:eastAsia="Times New Roman" w:cs="Times New Roman"/>
        </w:rPr>
        <w:t xml:space="preserve"> </w:t>
      </w:r>
      <w:r>
        <w:rPr>
          <w:rFonts w:ascii="Myanmar Text" w:hAnsi="Myanmar Text" w:eastAsia="Myanmar Text" w:cs="Myanmar Text"/>
        </w:rPr>
        <w:t>အမှန်အားဖြင့်၊</w:t>
      </w:r>
      <w:r>
        <w:rPr>
          <w:rFonts w:ascii="Times New Roman" w:hAnsi="Times New Roman" w:eastAsia="Times New Roman" w:cs="Times New Roman"/>
        </w:rPr>
        <w:t xml:space="preserve"> </w:t>
      </w:r>
      <w:r>
        <w:rPr>
          <w:rFonts w:ascii="Myanmar Text" w:hAnsi="Myanmar Text" w:eastAsia="Myanmar Text" w:cs="Myanmar Text"/>
        </w:rPr>
        <w:t>သက်သေခံစိတ်၏</w:t>
      </w:r>
      <w:r>
        <w:rPr>
          <w:rFonts w:ascii="Times New Roman" w:hAnsi="Times New Roman" w:eastAsia="Times New Roman" w:cs="Times New Roman"/>
        </w:rPr>
        <w:t xml:space="preserve"> </w:t>
      </w:r>
      <w:r>
        <w:rPr>
          <w:rFonts w:ascii="Myanmar Text" w:hAnsi="Myanmar Text" w:eastAsia="Myanmar Text" w:cs="Myanmar Text"/>
        </w:rPr>
        <w:t>လွတ်လပ်ခွင့်ကို</w:t>
      </w:r>
      <w:r>
        <w:rPr>
          <w:rFonts w:ascii="Times New Roman" w:hAnsi="Times New Roman" w:eastAsia="Times New Roman" w:cs="Times New Roman"/>
        </w:rPr>
        <w:t xml:space="preserve"> </w:t>
      </w:r>
      <w:r>
        <w:rPr>
          <w:rFonts w:ascii="Myanmar Text" w:hAnsi="Myanmar Text" w:eastAsia="Myanmar Text" w:cs="Myanmar Text"/>
        </w:rPr>
        <w:t>ရာစုနှစ်များစွာ</w:t>
      </w:r>
      <w:r>
        <w:rPr>
          <w:rFonts w:ascii="Times New Roman" w:hAnsi="Times New Roman" w:eastAsia="Times New Roman" w:cs="Times New Roman"/>
        </w:rPr>
        <w:t xml:space="preserve"> </w:t>
      </w:r>
      <w:r>
        <w:rPr>
          <w:rFonts w:ascii="Myanmar Text" w:hAnsi="Myanmar Text" w:eastAsia="Myanmar Text" w:cs="Myanmar Text"/>
        </w:rPr>
        <w:t>မတိမ်းမယိမ်း</w:t>
      </w:r>
      <w:r>
        <w:rPr>
          <w:rFonts w:ascii="Times New Roman" w:hAnsi="Times New Roman" w:eastAsia="Times New Roman" w:cs="Times New Roman"/>
        </w:rPr>
        <w:t xml:space="preserve"> </w:t>
      </w:r>
      <w:r>
        <w:rPr>
          <w:rFonts w:ascii="Myanmar Text" w:hAnsi="Myanmar Text" w:eastAsia="Myanmar Text" w:cs="Myanmar Text"/>
        </w:rPr>
        <w:t>ဆန့်ကျင်တိုက်ခိုက်လာခဲ့သော</w:t>
      </w:r>
      <w:r>
        <w:rPr>
          <w:rFonts w:ascii="Times New Roman" w:hAnsi="Times New Roman" w:eastAsia="Times New Roman" w:cs="Times New Roman"/>
        </w:rPr>
        <w:t xml:space="preserve"> </w:t>
      </w:r>
      <w:r>
        <w:rPr>
          <w:rFonts w:ascii="Myanmar Text" w:hAnsi="Myanmar Text" w:eastAsia="Myanmar Text" w:cs="Myanmar Text"/>
        </w:rPr>
        <w:t>ပုပ်ရဟန်းမင်းစနစ်အား</w:t>
      </w:r>
      <w:r>
        <w:rPr>
          <w:rFonts w:ascii="Times New Roman" w:hAnsi="Times New Roman" w:eastAsia="Times New Roman" w:cs="Times New Roman"/>
        </w:rPr>
        <w:t xml:space="preserve"> </w:t>
      </w:r>
      <w:r>
        <w:rPr>
          <w:rFonts w:ascii="Myanmar Text" w:hAnsi="Myanmar Text" w:eastAsia="Myanmar Text" w:cs="Myanmar Text"/>
        </w:rPr>
        <w:t>လျှော့ပေါ့အလျှော့ပေးခြင်းတစ်ရပ်ပင်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လိုက်နာကျင့်သုံးခြင်းသည်</w:t>
      </w:r>
      <w:r>
        <w:rPr>
          <w:rFonts w:ascii="Times New Roman" w:hAnsi="Times New Roman" w:eastAsia="Times New Roman" w:cs="Times New Roman"/>
        </w:rPr>
        <w:t xml:space="preserve"> ‘</w:t>
      </w:r>
      <w:r>
        <w:rPr>
          <w:rFonts w:ascii="Myanmar Text" w:hAnsi="Myanmar Text" w:eastAsia="Myanmar Text" w:cs="Myanmar Text"/>
        </w:rPr>
        <w:t>အပြစ်တရား၏</w:t>
      </w:r>
      <w:r>
        <w:rPr>
          <w:rFonts w:ascii="Times New Roman" w:hAnsi="Times New Roman" w:eastAsia="Times New Roman" w:cs="Times New Roman"/>
        </w:rPr>
        <w:t xml:space="preserve"> </w:t>
      </w:r>
      <w:r>
        <w:rPr>
          <w:rFonts w:ascii="Myanmar Text" w:hAnsi="Myanmar Text" w:eastAsia="Myanmar Text" w:cs="Myanmar Text"/>
        </w:rPr>
        <w:t>နက်နဲသောလျှို့ဝှက်ချက်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တည်ရှိမှုကို</w:t>
      </w:r>
      <w:r>
        <w:rPr>
          <w:rFonts w:ascii="Times New Roman" w:hAnsi="Times New Roman" w:eastAsia="Times New Roman" w:cs="Times New Roman"/>
        </w:rPr>
        <w:t xml:space="preserve"> </w:t>
      </w:r>
      <w:r>
        <w:rPr>
          <w:rFonts w:ascii="Myanmar Text" w:hAnsi="Myanmar Text" w:eastAsia="Myanmar Text" w:cs="Myanmar Text"/>
        </w:rPr>
        <w:t>ရရှိထားသော၊</w:t>
      </w:r>
      <w:r>
        <w:rPr>
          <w:rFonts w:ascii="Times New Roman" w:hAnsi="Times New Roman" w:eastAsia="Times New Roman" w:cs="Times New Roman"/>
        </w:rPr>
        <w:t xml:space="preserve"> </w:t>
      </w:r>
      <w:r>
        <w:rPr>
          <w:rFonts w:ascii="Myanmar Text" w:hAnsi="Myanmar Text" w:eastAsia="Myanmar Text" w:cs="Myanmar Text"/>
        </w:rPr>
        <w:t>ခရစ်ယာန်အဖွဲ့အစည်းဟု</w:t>
      </w:r>
      <w:r>
        <w:rPr>
          <w:rFonts w:ascii="Times New Roman" w:hAnsi="Times New Roman" w:eastAsia="Times New Roman" w:cs="Times New Roman"/>
        </w:rPr>
        <w:t xml:space="preserve"> </w:t>
      </w:r>
      <w:r>
        <w:rPr>
          <w:rFonts w:ascii="Myanmar Text" w:hAnsi="Myanmar Text" w:eastAsia="Myanmar Text" w:cs="Myanmar Text"/>
        </w:rPr>
        <w:t>ခေါ်ဆိုကြသည့်</w:t>
      </w:r>
      <w:r>
        <w:rPr>
          <w:rFonts w:ascii="Times New Roman" w:hAnsi="Times New Roman" w:eastAsia="Times New Roman" w:cs="Times New Roman"/>
        </w:rPr>
        <w:t xml:space="preserve"> </w:t>
      </w:r>
      <w:r>
        <w:rPr>
          <w:rFonts w:ascii="Myanmar Text" w:hAnsi="Myanmar Text" w:eastAsia="Myanmar Text" w:cs="Myanmar Text"/>
        </w:rPr>
        <w:t>အရာတစ်ရပ်ပင်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အတင်းအကျပ်လိုက်နာစေခြင်းသည်လည်း</w:t>
      </w:r>
      <w:r>
        <w:rPr>
          <w:rFonts w:ascii="Times New Roman" w:hAnsi="Times New Roman" w:eastAsia="Times New Roman" w:cs="Times New Roman"/>
        </w:rPr>
        <w:t xml:space="preserve"> </w:t>
      </w:r>
      <w:r>
        <w:rPr>
          <w:rFonts w:ascii="Myanmar Text" w:hAnsi="Myanmar Text" w:eastAsia="Myanmar Text" w:cs="Myanmar Text"/>
        </w:rPr>
        <w:t>ရောမဘာသာရေးစနစ်၏</w:t>
      </w:r>
      <w:r>
        <w:rPr>
          <w:rFonts w:ascii="Times New Roman" w:hAnsi="Times New Roman" w:eastAsia="Times New Roman" w:cs="Times New Roman"/>
        </w:rPr>
        <w:t xml:space="preserve"> </w:t>
      </w:r>
      <w:r>
        <w:rPr>
          <w:rFonts w:ascii="Myanmar Text" w:hAnsi="Myanmar Text" w:eastAsia="Myanmar Text" w:cs="Myanmar Text"/>
        </w:rPr>
        <w:t>ထောင့်ကျောက်တိုင်အဖြစ်</w:t>
      </w:r>
      <w:r>
        <w:rPr>
          <w:rFonts w:ascii="Times New Roman" w:hAnsi="Times New Roman" w:eastAsia="Times New Roman" w:cs="Times New Roman"/>
        </w:rPr>
        <w:t xml:space="preserve"> </w:t>
      </w:r>
      <w:r>
        <w:rPr>
          <w:rFonts w:ascii="Myanmar Text" w:hAnsi="Myanmar Text" w:eastAsia="Myanmar Text" w:cs="Myanmar Text"/>
        </w:rPr>
        <w:t>တည်ရှိနေသော</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လက်တွေ့အားဖြင့်</w:t>
      </w:r>
      <w:r>
        <w:rPr>
          <w:rFonts w:ascii="Times New Roman" w:hAnsi="Times New Roman" w:eastAsia="Times New Roman" w:cs="Times New Roman"/>
        </w:rPr>
        <w:t xml:space="preserve"> </w:t>
      </w:r>
      <w:r>
        <w:rPr>
          <w:rFonts w:ascii="Myanmar Text" w:hAnsi="Myanmar Text" w:eastAsia="Myanmar Text" w:cs="Myanmar Text"/>
        </w:rPr>
        <w:t>အသိအမှတ်ပြုခြင်းပင်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မိမိအစိုးရ၏</w:t>
      </w:r>
      <w:r>
        <w:rPr>
          <w:rFonts w:ascii="Times New Roman" w:hAnsi="Times New Roman" w:eastAsia="Times New Roman" w:cs="Times New Roman"/>
        </w:rPr>
        <w:t xml:space="preserve"> </w:t>
      </w:r>
      <w:r>
        <w:rPr>
          <w:rFonts w:ascii="Myanmar Text" w:hAnsi="Myanmar Text" w:eastAsia="Myanmar Text" w:cs="Myanmar Text"/>
        </w:rPr>
        <w:t>အခြေခံမူများကို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စွန့်ပယ်၍</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ဥပဒေတစ်ရပ်</w:t>
      </w:r>
      <w:r>
        <w:rPr>
          <w:rFonts w:ascii="Times New Roman" w:hAnsi="Times New Roman" w:eastAsia="Times New Roman" w:cs="Times New Roman"/>
        </w:rPr>
        <w:t xml:space="preserve"> </w:t>
      </w:r>
      <w:r>
        <w:rPr>
          <w:rFonts w:ascii="Myanmar Text" w:hAnsi="Myanmar Text" w:eastAsia="Myanmar Text" w:cs="Myanmar Text"/>
        </w:rPr>
        <w:t>ပြဋ္ဌာန်းလာသောအခါ၊</w:t>
      </w:r>
      <w:r>
        <w:rPr>
          <w:rFonts w:ascii="Times New Roman" w:hAnsi="Times New Roman" w:eastAsia="Times New Roman" w:cs="Times New Roman"/>
        </w:rPr>
        <w:t xml:space="preserve"> </w:t>
      </w:r>
      <w:r>
        <w:rPr>
          <w:rFonts w:ascii="Myanmar Text" w:hAnsi="Myanmar Text" w:eastAsia="Myanmar Text" w:cs="Myanmar Text"/>
        </w:rPr>
        <w:t>ပရိုတက်စတင့်ဝါဒသည်</w:t>
      </w:r>
      <w:r>
        <w:rPr>
          <w:rFonts w:ascii="Times New Roman" w:hAnsi="Times New Roman" w:eastAsia="Times New Roman" w:cs="Times New Roman"/>
        </w:rPr>
        <w:t xml:space="preserve"> </w:t>
      </w:r>
      <w:r>
        <w:rPr>
          <w:rFonts w:ascii="Myanmar Text" w:hAnsi="Myanmar Text" w:eastAsia="Myanmar Text" w:cs="Myanmar Text"/>
        </w:rPr>
        <w:t>ဤလုပ်ရပ်၌</w:t>
      </w:r>
      <w:r>
        <w:rPr>
          <w:rFonts w:ascii="Times New Roman" w:hAnsi="Times New Roman" w:eastAsia="Times New Roman" w:cs="Times New Roman"/>
        </w:rPr>
        <w:t xml:space="preserve"> </w:t>
      </w:r>
      <w:r>
        <w:rPr>
          <w:rFonts w:ascii="Myanmar Text" w:hAnsi="Myanmar Text" w:eastAsia="Myanmar Text" w:cs="Myanmar Text"/>
        </w:rPr>
        <w:t>ပုပ်ရဟန်းမင်းဝါဒနှင့်</w:t>
      </w:r>
      <w:r>
        <w:rPr>
          <w:rFonts w:ascii="Times New Roman" w:hAnsi="Times New Roman" w:eastAsia="Times New Roman" w:cs="Times New Roman"/>
        </w:rPr>
        <w:t xml:space="preserve"> </w:t>
      </w:r>
      <w:r>
        <w:rPr>
          <w:rFonts w:ascii="Myanmar Text" w:hAnsi="Myanmar Text" w:eastAsia="Myanmar Text" w:cs="Myanmar Text"/>
        </w:rPr>
        <w:t>လက်ချင်းချိတ်မည်ဖြစ်သည်။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အခြားမဟုတ်၊</w:t>
      </w:r>
      <w:r>
        <w:rPr>
          <w:rFonts w:ascii="Times New Roman" w:hAnsi="Times New Roman" w:eastAsia="Times New Roman" w:cs="Times New Roman"/>
        </w:rPr>
        <w:t xml:space="preserve"> </w:t>
      </w:r>
      <w:r>
        <w:rPr>
          <w:rFonts w:ascii="Myanmar Text" w:hAnsi="Myanmar Text" w:eastAsia="Myanmar Text" w:cs="Myanmar Text"/>
        </w:rPr>
        <w:t>မိမိအခွင့်အရေးရမည့်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ကြာမြင့်စွာ</w:t>
      </w:r>
      <w:r>
        <w:rPr>
          <w:rFonts w:ascii="Times New Roman" w:hAnsi="Times New Roman" w:eastAsia="Times New Roman" w:cs="Times New Roman"/>
        </w:rPr>
        <w:t xml:space="preserve"> </w:t>
      </w:r>
      <w:r>
        <w:rPr>
          <w:rFonts w:ascii="Myanmar Text" w:hAnsi="Myanmar Text" w:eastAsia="Myanmar Text" w:cs="Myanmar Text"/>
        </w:rPr>
        <w:t>ပြင်းပြစွာ</w:t>
      </w:r>
      <w:r>
        <w:rPr>
          <w:rFonts w:ascii="Times New Roman" w:hAnsi="Times New Roman" w:eastAsia="Times New Roman" w:cs="Times New Roman"/>
        </w:rPr>
        <w:t xml:space="preserve"> </w:t>
      </w:r>
      <w:r>
        <w:rPr>
          <w:rFonts w:ascii="Myanmar Text" w:hAnsi="Myanmar Text" w:eastAsia="Myanmar Text" w:cs="Myanmar Text"/>
        </w:rPr>
        <w:t>စောင့်ကြည့်လျက်</w:t>
      </w:r>
      <w:r>
        <w:rPr>
          <w:rFonts w:ascii="Times New Roman" w:hAnsi="Times New Roman" w:eastAsia="Times New Roman" w:cs="Times New Roman"/>
        </w:rPr>
        <w:t xml:space="preserve"> </w:t>
      </w:r>
      <w:r>
        <w:rPr>
          <w:rFonts w:ascii="Myanmar Text" w:hAnsi="Myanmar Text" w:eastAsia="Myanmar Text" w:cs="Myanmar Text"/>
        </w:rPr>
        <w:t>နောက်တစ်ဖန်</w:t>
      </w:r>
      <w:r>
        <w:rPr>
          <w:rFonts w:ascii="Times New Roman" w:hAnsi="Times New Roman" w:eastAsia="Times New Roman" w:cs="Times New Roman"/>
        </w:rPr>
        <w:t xml:space="preserve"> </w:t>
      </w:r>
      <w:r>
        <w:rPr>
          <w:rFonts w:ascii="Myanmar Text" w:hAnsi="Myanmar Text" w:eastAsia="Myanmar Text" w:cs="Myanmar Text"/>
        </w:rPr>
        <w:t>တက်ကြွသော</w:t>
      </w:r>
      <w:r>
        <w:rPr>
          <w:rFonts w:ascii="Times New Roman" w:hAnsi="Times New Roman" w:eastAsia="Times New Roman" w:cs="Times New Roman"/>
        </w:rPr>
        <w:t xml:space="preserve"> </w:t>
      </w:r>
      <w:r>
        <w:rPr>
          <w:rFonts w:ascii="Myanmar Text" w:hAnsi="Myanmar Text" w:eastAsia="Myanmar Text" w:cs="Myanmar Text"/>
        </w:rPr>
        <w:t>အာဏာရှင်စနစ်အဖြစ်</w:t>
      </w:r>
      <w:r>
        <w:rPr>
          <w:rFonts w:ascii="Times New Roman" w:hAnsi="Times New Roman" w:eastAsia="Times New Roman" w:cs="Times New Roman"/>
        </w:rPr>
        <w:t xml:space="preserve"> </w:t>
      </w:r>
      <w:r>
        <w:rPr>
          <w:rFonts w:ascii="Myanmar Text" w:hAnsi="Myanmar Text" w:eastAsia="Myanmar Text" w:cs="Myanmar Text"/>
        </w:rPr>
        <w:t>ခုန်တက်လာရန်</w:t>
      </w:r>
      <w:r>
        <w:rPr>
          <w:rFonts w:ascii="Times New Roman" w:hAnsi="Times New Roman" w:eastAsia="Times New Roman" w:cs="Times New Roman"/>
        </w:rPr>
        <w:t xml:space="preserve"> </w:t>
      </w:r>
      <w:r>
        <w:rPr>
          <w:rFonts w:ascii="Myanmar Text" w:hAnsi="Myanmar Text" w:eastAsia="Myanmar Text" w:cs="Myanmar Text"/>
        </w:rPr>
        <w:t>အသင့်ဖြစ်နေခဲ့သော</w:t>
      </w:r>
      <w:r>
        <w:rPr>
          <w:rFonts w:ascii="Times New Roman" w:hAnsi="Times New Roman" w:eastAsia="Times New Roman" w:cs="Times New Roman"/>
        </w:rPr>
        <w:t xml:space="preserve"> </w:t>
      </w:r>
      <w:r>
        <w:rPr>
          <w:rFonts w:ascii="Myanmar Text" w:hAnsi="Myanmar Text" w:eastAsia="Myanmar Text" w:cs="Myanmar Text"/>
        </w:rPr>
        <w:t>အာဏာညှဉ်းပန်းမှုအား</w:t>
      </w:r>
      <w:r>
        <w:rPr>
          <w:rFonts w:ascii="Times New Roman" w:hAnsi="Times New Roman" w:eastAsia="Times New Roman" w:cs="Times New Roman"/>
        </w:rPr>
        <w:t xml:space="preserve"> </w:t>
      </w:r>
      <w:r>
        <w:rPr>
          <w:rFonts w:ascii="Myanmar Text" w:hAnsi="Myanmar Text" w:eastAsia="Myanmar Text" w:cs="Myanmar Text"/>
        </w:rPr>
        <w:t>အသက်သွင်းပေးခြင်းသာ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Testimonies, volume 5, 711.</w:t>
      </w:r>
    </w:p>
    <w:p>
      <w:pPr>
        <w:pStyle w:val="ArticleBody"/>
        <w:jc w:val="left"/>
      </w:pPr>
      <w:r>
        <w:rPr>
          <w:rFonts w:ascii="Times New Roman" w:hAnsi="Times New Roman" w:eastAsia="Times New Roman" w:cs="Times New Roman"/>
        </w:rPr>
        <w:t>1888 2001-ийг бэлгэдэн дүрсэлсэн бөгөөд яг тэр үед Блэрийн хуулийн төсөл өргөн баригдсан юм. Гэвч уг төсөл батлагдаж чадалгүй өнгөрсөн нь эш үзүүллэгийн хувьд түүнийг яриулахгүй болгосон. Ингэснээр энэ нь МЭ 66 оны тэмдэг болсон бөгөөд эхлүүлэгдээд дараа нь нууцлаг байдлаар татагдан буулгагдсан бүслэлтийг төлөөлөв. Араатны дүрийн сорилтын хоёр үе байдаг, мөн хоёр дахь үе нь 321 оноор бэлгэдэгдсэн АНУ дахь Ням гаргийн хуулиар эхэлж, 538 оноор бэлгэдэгдсэн дэлхий нийтийн Ням гаргийн хууль бүрэн хэрэгжих үед төгсөнө гэдгийг ойлгох үед, эш үзүүллэгийн хувьд эхний араатны дүрийн сорилтын үеийн эхлэл ч мөн Ням гаргийн хууль яригдсан ямар нэгэн төрлийн бэлгэдэлт дүрслэлээр эхлэхийг зайлшгүй шаарддаг. 1888 онд Блэрийн хуулийн төсөл нь Үндэсний Ням гаргийн хуулийг хэрэгжүүлэх оролдлого байсан бөгөөд 1888 он Илчлэлт арван наймдугаар бүлгийн тэнгэрэлч бууж ирэн, алдар суугаар нь дэлхийг гэрэлтүүлдэг цагийг заадаг.</w:t>
      </w:r>
    </w:p>
    <w:p>
      <w:pPr>
        <w:pStyle w:val="ArticleBody"/>
        <w:jc w:val="left"/>
      </w:pPr>
      <w:r>
        <w:rPr>
          <w:rFonts w:ascii="Times New Roman" w:hAnsi="Times New Roman" w:eastAsia="Times New Roman" w:cs="Times New Roman"/>
        </w:rPr>
        <w:t>Patriot Act waa tusaalaynka sharciga Axadda ee bilaabaya wakhtiga imtixaanka ee sawirka bahalka gudaha Maraykanka. Maraykanku wuxuu u hadlaa sida masduulaagii, isagoo gudanaya Muujintii cutubka saddex iyo tobnaad, aayadda kow iyo tobnaad, markuu dhaqan-geliyo sharciga Axadda. Markuu dhaqan-geliyo sharcigaas, wuxuu u hadli doonaa sida masduulaagii, sharcigaas Axadduna wuxuu caddeeyaa in sawirka bahalku si buuxda uga samaysmay gudaha Maraykanka. Halkaas marka la gaadho, Maraykanku wuxuu buuxiyey koobkii wakhtigiisa tijaabada, riddada qaranimaduna waxaa raaca halligaad qaran. Halkaas marka la gaadho, Maraykanku wuxuu joogsadaa inuu ahaado boqortooyadii lixaad ee wax sii sheegidda Kitaabka Quduuska ah, maadaama isbahaysiga saddex-geesoodka ah la aasaaso.</w:t>
      </w:r>
    </w:p>
    <w:p>
      <w:pPr>
        <w:pStyle w:val="ArticleBody"/>
        <w:jc w:val="left"/>
      </w:pPr>
      <w:r>
        <w:rPr>
          <w:rFonts w:ascii="Times New Roman" w:hAnsi="Times New Roman" w:eastAsia="Times New Roman" w:cs="Times New Roman"/>
        </w:rPr>
        <w:t>ئالفا اور اومیگا ہمیشہ انجام کو آغاز کے ساتھ پیش کرتے ہیں، اور ریاستہائے متحدہ کے آغاز میں تین مواقع ایسے آئے جب ریاستہائے متحدہ نے نبوّتی طور پر کلام کیا، اور انہی نے بائبل کی نبوت کے چھٹے مملکت کے طور پر ریاستہائے متحدہ کے آغاز کو نشان زد کیا۔ 1776 کا اعلانِ آزادی، جس کے بعد 1789 کا دستور آیا، اور پھر 1798 کے ایلین اینڈ سیڈیشن ایکٹس، ان پہلی تین بار کی نشان دہی کرتے ہیں جب ریاستہائے متحدہ نے نبوّتی طور پر کلام کیا۔ ان تینوں دستاویزات میں سے ہر ایک ریاستہائے متحدہ کے کلام کرنے کی نمائندگی کرتی تھی۔ یہ تینوں مراحل 1798 تک لے گئے، جو بائبل کی نبوت کے چھٹے مملکت کے طور پر ریاستہائے متحدہ کے حکمرانی کرنے کا آغاز تھا۔ ریاستہائے متحدہ کے آغاز کے یہی تین نشانات، تین ایسے ہی نشانات کی نمائندگی کرتے ہیں جو بائبل کی نبوت کے چھٹے مملکت کے طور پر ریاستہائے متحدہ کی حکمرانی کے اختتام تک لے جاتے ہیں۔</w:t>
      </w:r>
    </w:p>
    <w:p>
      <w:pPr>
        <w:pStyle w:val="ArticleBody"/>
        <w:jc w:val="left"/>
      </w:pPr>
      <w:r>
        <w:rPr>
          <w:rFonts w:ascii="Times New Roman" w:hAnsi="Times New Roman" w:eastAsia="Times New Roman" w:cs="Times New Roman"/>
        </w:rPr>
        <w:t>Patriot Act ва аввали се маротиба сухан гуфтани Иёлоти Муттаҳида аст, ҳангоме ки он ҳамчун подшоҳии шашум ба анҷоми худ мерасад. Сухани сеюм, ки анҷоми подшоҳии шашумро муайян мекунад, қонуни якшанбе мебошад. Дар миёнаи он таърих мурофиаҳои Пелосӣ оид ба 6 январ, ки дар соли 2022 оғоз ёфтанд, оғоз карда шуданд. Он мурофиаҳо радди мустақими ҳуқуқҳое буданд, ки дар Конститутсия сабт шудаанд, зеро онҳо табиати сиёсӣ доштанд, ва lawfare на танҳо сохтакории воқеиятҳо буд, балки дар асл ҳамлаи мустақим бар қонуни «мурофиавӣ» ва «моҳиявӣ» буд, чунон ки дар дохили Конститутсия муайян шудааст.</w:t>
      </w:r>
    </w:p>
    <w:p>
      <w:pPr>
        <w:pStyle w:val="ArticleBody"/>
        <w:jc w:val="left"/>
      </w:pPr>
      <w:r>
        <w:rPr>
          <w:rFonts w:ascii="Times New Roman" w:hAnsi="Times New Roman" w:eastAsia="Times New Roman" w:cs="Times New Roman"/>
        </w:rPr>
        <w:t>Le Patriot Act de 2001 fut une attaque directe contre la « clause de procédure régulière », qui figure à la fois dans le Cinquième Amendement et dans le Quatorzième Amendement de la Constitution des États-Unis. Ceux-ci disposent que nul ne peut être privé de la vie, de la liberté ou de ses biens sans procédure régulière de droit. Cela se passait en 2001, et en 2022 l’attaque contre la Constitution s’est concentrée à la fois sur la « procédure régulière procédurale » et sur la « procédure régulière substantielle ». Le mot « répudier » signifie nier, et Sister White indique qu’au moment de la loi du dimanche aux États-Unis, tout principe de la Constitution sera répudié.</w:t>
      </w:r>
    </w:p>
    <w:p>
      <w:pPr>
        <w:pStyle w:val="ArticleScripture"/>
        <w:jc w:val="left"/>
      </w:pPr>
      <w:r>
        <w:rPr>
          <w:rFonts w:ascii="Times New Roman" w:hAnsi="Times New Roman" w:eastAsia="Times New Roman" w:cs="Times New Roman"/>
        </w:rPr>
        <w:t>«Ka ta athana bharstit vishesh vyavastha, jo Parmeshwar ke vyavastha ke ullanghan me papacy ki sanstha ko lagu karegi, hamara rashtra apne aap ko dharmiktā se poorn roop se alag kar dega. Jab Protestantism us khāi ke pār apna hāth badhākar Roman shakti ka hāth pakdega, jab vah us athāh gart ke ūpar se badhkar spiritualism ke sāth hāth milāyegā, jab is trigun sangh ke prabhāv ke adhin hamāra desh ek Protestant aur republican shāsan ke rūp me apne Samvidhān ke pratyek siddhānt ka tyāg kar dega, aur papal mithyā-shikshāon aur bhrāntiyon ke prasār ke liye vyavasthā karega, tab ham jānenge ki Shaitān ke adbhut kārya-karan ka samay ā pahunchā hai aur ant nikat hai.»</w:t>
      </w:r>
    </w:p>
    <w:p>
      <w:pPr>
        <w:pStyle w:val="ArticleScripture"/>
        <w:jc w:val="left"/>
      </w:pPr>
      <w:r>
        <w:rPr>
          <w:rFonts w:ascii="Times New Roman" w:hAnsi="Times New Roman" w:eastAsia="Times New Roman" w:cs="Times New Roman"/>
        </w:rPr>
        <w:t>« Sicut l’avvicinarsi degli eserciti romani fu per i discepoli un segno dell’imminente distruzione di Gerusalemme, così questa apostasia può essere per noi un segno che il limite della longanimità di Dio è stato raggiunto, che la misura dell’iniquità della nostra nazione è colma e che l’angelo della misericordia sta per spiccare il suo volo, per non ritornare mai più. Il popolo di Dio sarà allora immerso in quelle scene di afflizione e di angustia che i profeti hanno descritto come il tempo dell’angoscia di Giacobbe. Le grida dei fedeli perseguitati salgono al cielo. E come il sangue di Abele gridava dalla terra, così vi sono anche voci che gridano a Dio dalle tombe dei martiri, dai sepolcri del mare, dalle caverne dei monti, dalle cripte dei conventi: “Fino a quando, o Signore, santo e verace, non giudichi e non vendichi il nostro sangue su coloro che abitano sulla terra?” »</w:t>
      </w:r>
    </w:p>
    <w:p>
      <w:pPr>
        <w:pStyle w:val="ArticleScripture"/>
        <w:jc w:val="left"/>
      </w:pPr>
      <w:r>
        <w:rPr>
          <w:rFonts w:ascii="Times New Roman" w:hAnsi="Times New Roman" w:eastAsia="Times New Roman" w:cs="Times New Roman"/>
        </w:rPr>
        <w:t>Le Seigneur accomplit son œuvre. Tout le ciel est en émoi. Le Juge de toute la terre va bientôt se lever et faire valoir son autorité outragée. La marque de la délivrance sera mise sur les hommes qui gardent les commandements de Dieu, qui révèrent sa loi et qui refusent la marque de la bête ou de son image.</w:t>
      </w:r>
    </w:p>
    <w:p>
      <w:pPr>
        <w:pStyle w:val="ArticleScripture"/>
        <w:jc w:val="left"/>
      </w:pPr>
      <w:r>
        <w:rPr>
          <w:rFonts w:ascii="Times New Roman" w:hAnsi="Times New Roman" w:eastAsia="Times New Roman" w:cs="Times New Roman"/>
        </w:rPr>
        <w:t>“Ang Dios ay nagpahayag ng magaganap sa mga huling araw, upang ang Kaniyang bayan ay maging handang tumayo laban sa unos ng pagsalansang at poot. Yaong mga binalaan tungkol sa mga pangyayaring nasa kanilang harapan ay hindi dapat umupong payapa sa mahinahong paghihintay sa dumarating na bagyo, na inaaliw ang kanilang sarili na kukupkupin ng Panginoon ang Kaniyang mga tapat sa araw ng kabagabagan. Tayo ay dapat maging gaya ng mga taong naghihintay sa kanilang Panginoon, hindi sa walang-gawang pag-aabang, kundi sa masikap na paggawa, taglay ang di-natitinag na pananampalataya. Hindi ngayon ang panahon upang hayaang malubog ang ating mga pag-iisip sa mga bagay na may mumunting kahalagahan. Samantalang natutulog ang mga tao, si Satanas ay masikap na nagsasaayos ng mga bagay upang ang bayan ng Panginoon ay hindi pagkalooban ng awa o katarungan. Ang kilusang ukol sa Linggo ay ngayo’y umuusad sa kadiliman. Ikinalilingid ng mga pinuno ang tunay na usapin, at marami sa mga nakikisanib sa kilusan ay hindi rin nakikita kung saan patutungo ang ilalim na agos nito. Ang mga pahayag nito ay mahinahon at waring Kristiyano, ngunit kapag ito’y nagsalita ay ihahayag nito ang espiritu ng dragon. Tungkulin nating gawin ang lahat ng nasa ating kapangyarihan upang hadlangan ang nagbabantang panganib. Dapat nating sikaping pawiin ang pagtatangi sa pamamagitan ng paghaharap ng ating sarili sa wastong liwanag sa harap ng mga tao. Dapat nating ilagay sa harap nila ang tunay na usaping pinagtatalunan, sa gayon ay naihaharang ang pinakamabisa nating pagtutol laban sa mga hakbang na naglilimita sa kalayaan ng budhi. Dapat nating saliksikin ang mga Kasulatan at makayang ibigay ang kadahilanan ng ating pananampalataya. Sabi ng propeta: ‘Ang masama ay magpapakasama: at wala sa masasama ang makauunawa; ngunit ang marurunong ay mangakauunawa.’ Testimonies, volume 5, 451, 452.”</w:t>
      </w:r>
    </w:p>
    <w:p>
      <w:pPr>
        <w:pStyle w:val="ArticleBody"/>
        <w:jc w:val="left"/>
      </w:pPr>
      <w:r>
        <w:rPr>
          <w:rFonts w:ascii="Times New Roman" w:hAnsi="Times New Roman" w:eastAsia="Times New Roman" w:cs="Times New Roman"/>
        </w:rPr>
        <w:t>Siostir White a’ co-thaobhadh lagh na Sàbaid ri grunn chomharran-rathaid deireannach, agus, le sin a dhèanamh, tha a briathran a’ foillseachadh “na tha gu bhith a’ tachairt anns na làithean deireannach, airson gum bi a sluagh ullamh gu seasamh an aghaidh doininn an aghaidh agus na feirge.” Uime sin, tha na comharran-rathaid a tha i a’ co-thaobhadh anns an earrann seo ri bhith air an sgrùdadh gu cùramach. Tha mi a’ moladh gur e puing-iùil na loidhne fàidheadaireachd a tha a’ cuimseachadh air Bun-reachd Stàitean Aonaichte Ameireagaidh, còmhla ri “labhairt” na dùthcha mar shamhla co-cheangailte.</w:t>
      </w:r>
    </w:p>
    <w:p>
      <w:pPr>
        <w:pStyle w:val="ArticleBody"/>
        <w:jc w:val="left"/>
      </w:pPr>
      <w:r>
        <w:rPr>
          <w:rFonts w:ascii="Times New Roman" w:hAnsi="Times New Roman" w:eastAsia="Times New Roman" w:cs="Times New Roman"/>
        </w:rPr>
        <w:t>Par cela, j’entends que le projet de loi Blair de 1888, le Patriot Act de 2001, et les poursuites politiques menées par les Démocrates et les Républicains mondialistes à partir de 2022 ont chacun constitué une négation directe de deux éléments essentiels de la Constitution. 1888 représente l’application coercitive de l’observance du dimanche, puis, en 2001, le passage du droit anglais au droit romain. En 2022, le droit « substantiel » et le droit « procédural » ont été attaqués.</w:t>
      </w:r>
    </w:p>
    <w:p>
      <w:pPr>
        <w:pStyle w:val="ArticleBody"/>
        <w:jc w:val="left"/>
      </w:pPr>
      <w:r>
        <w:rPr>
          <w:rFonts w:ascii="Times New Roman" w:hAnsi="Times New Roman" w:eastAsia="Times New Roman" w:cs="Times New Roman"/>
        </w:rPr>
        <w:t>Le droit substantiel définit les droits et les obligations des personnes et des organisations, tandis que le droit procédural expose le processus de règlement des différends et de mise en œuvre des droits et des obligations des personnes et des organisations. Le droit définit les comportements licites ou illicites et en établit les sanctions. Le droit substantiel couvre de nombreux domaines juridiques, notamment le droit pénal, le droit civil et le droit des contrats.</w:t>
      </w:r>
    </w:p>
    <w:p>
      <w:pPr>
        <w:pStyle w:val="ArticleBody"/>
        <w:jc w:val="left"/>
      </w:pPr>
      <w:r>
        <w:rPr>
          <w:rFonts w:ascii="Microsoft YaHei" w:hAnsi="Microsoft YaHei" w:eastAsia="Microsoft YaHei" w:cs="Microsoft YaHei"/>
        </w:rPr>
        <w:t>我注意到您要求翻译成</w:t>
      </w:r>
      <w:r>
        <w:rPr>
          <w:rFonts w:ascii="Times New Roman" w:hAnsi="Times New Roman" w:eastAsia="Times New Roman" w:cs="Times New Roman"/>
        </w:rPr>
        <w:t>“ff”,</w:t>
      </w:r>
      <w:r>
        <w:rPr>
          <w:rFonts w:ascii="Microsoft YaHei" w:hAnsi="Microsoft YaHei" w:eastAsia="Microsoft YaHei" w:cs="Microsoft YaHei"/>
        </w:rPr>
        <w:t>但</w:t>
      </w:r>
      <w:r>
        <w:rPr>
          <w:rFonts w:ascii="Times New Roman" w:hAnsi="Times New Roman" w:eastAsia="Times New Roman" w:cs="Times New Roman"/>
        </w:rPr>
        <w:t>“ff”</w:t>
      </w:r>
      <w:r>
        <w:rPr>
          <w:rFonts w:ascii="Microsoft YaHei" w:hAnsi="Microsoft YaHei" w:eastAsia="Microsoft YaHei" w:cs="Microsoft YaHei"/>
        </w:rPr>
        <w:t>所指的目标语言不明确</w:t>
      </w:r>
      <w:r>
        <w:rPr>
          <w:rFonts w:ascii="Times New Roman" w:hAnsi="Times New Roman" w:eastAsia="Times New Roman" w:cs="Times New Roman"/>
        </w:rPr>
        <w:t>.</w:t>
      </w:r>
      <w:r>
        <w:rPr>
          <w:rFonts w:ascii="Microsoft YaHei" w:hAnsi="Microsoft YaHei" w:eastAsia="Microsoft YaHei" w:cs="Microsoft YaHei"/>
        </w:rPr>
        <w:t>请您说明</w:t>
      </w:r>
      <w:r>
        <w:rPr>
          <w:rFonts w:ascii="Times New Roman" w:hAnsi="Times New Roman" w:eastAsia="Times New Roman" w:cs="Times New Roman"/>
        </w:rPr>
        <w:t>“ff”</w:t>
      </w:r>
      <w:r>
        <w:rPr>
          <w:rFonts w:ascii="Microsoft YaHei" w:hAnsi="Microsoft YaHei" w:eastAsia="Microsoft YaHei" w:cs="Microsoft YaHei"/>
        </w:rPr>
        <w:t>是哪种语言</w:t>
      </w:r>
      <w:r>
        <w:rPr>
          <w:rFonts w:ascii="Times New Roman" w:hAnsi="Times New Roman" w:eastAsia="Times New Roman" w:cs="Times New Roman"/>
        </w:rPr>
        <w:t>,</w:t>
      </w:r>
      <w:r>
        <w:rPr>
          <w:rFonts w:ascii="Microsoft YaHei" w:hAnsi="Microsoft YaHei" w:eastAsia="Microsoft YaHei" w:cs="Microsoft YaHei"/>
        </w:rPr>
        <w:t>我再为您准确翻译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Maddi hukuku tipik olarak kanunlarda, yönetmeliklerde ve içtihatta yazılı hâlde bulunur. Kanunlar, ulusal parlamentolar veya eyalet yasama organları gibi yasama organlarınca çıkarılan hukuk kurallarıdır; yönetmelikler ise idari kurumlar tarafından oluşturulan kurallar ve usullerdir. İçtihat hukuku, hâkimlerin kanunları, yönetmelikleri ve Anayasa’yı yorumlamaları yoluyla oluşturdukları hukuktur.</w:t>
      </w:r>
    </w:p>
    <w:p>
      <w:pPr>
        <w:pStyle w:val="ArticleBody"/>
        <w:jc w:val="left"/>
      </w:pPr>
      <w:r>
        <w:rPr>
          <w:rFonts w:ascii="Times New Roman" w:hAnsi="Times New Roman" w:eastAsia="Times New Roman" w:cs="Times New Roman"/>
        </w:rPr>
        <w:t>Le droit procédural désigne l’ensemble des règles qui régissent le déroulement de la procédure judiciaire. Il précise la manière dont les affaires cheminent au sein du système juridique, depuis le dépôt initial d’une plainte jusqu’à leur règlement définitif. Le droit procédural couvre divers domaines juridiques, notamment les procédures civile, pénale et administrative. Le droit procédural a pour objet d’assurer que la procédure judiciaire soit équitable et efficace. Il fournit un cadre pour le règlement des litiges et garantit que tous ceux qui participent à la procédure judiciaire, y compris les juges, les avocats et les parties au litige, sachent ce qui est attendu d’eux.</w:t>
      </w:r>
    </w:p>
    <w:p>
      <w:pPr>
        <w:pStyle w:val="ArticleBody"/>
        <w:jc w:val="left"/>
      </w:pPr>
      <w:r>
        <w:rPr>
          <w:rFonts w:ascii="Times New Roman" w:hAnsi="Times New Roman" w:eastAsia="Times New Roman" w:cs="Times New Roman"/>
        </w:rPr>
        <w:t>Le droit matériel et le droit procédural sont destinés à fonctionner conjointement afin d’assurer que justice soit rendue. Le droit matériel définit les droits et les obligations des individus et des organisations, tandis que le droit procédural énonce le processus de règlement des différends et d’exécution de ces droits et obligations. Autrement dit, le droit matériel détermine ce qui constitue un comportement licite ou illicite ainsi que les conséquences d’un comportement illicite, tandis que le droit procédural précise la manière dont ces questions juridiques sont tranchées.</w:t>
      </w:r>
    </w:p>
    <w:p>
      <w:pPr>
        <w:pStyle w:val="ArticleBody"/>
        <w:jc w:val="left"/>
      </w:pPr>
      <w:r>
        <w:rPr>
          <w:rFonts w:ascii="Times New Roman" w:hAnsi="Times New Roman" w:eastAsia="Times New Roman" w:cs="Times New Roman"/>
        </w:rPr>
        <w:t>En 2001, le Patriot Act a supprimé le droit d’habeas corpus. « Habeas corpus » est une locution latine qui se traduit par « que tu aies le corps ». Elle désigne un principe juridique qui protège les personnes contre la détention illégale en exigeant qu’un tribunal examine la légalité de l’emprisonnement d’une personne. L’habeas corpus est un droit fondamental dans de nombreux systèmes juridiques, en particulier ceux qui sont influencés par la common law anglaise. Il garantit qu’une personne ne peut être maintenue en détention sans motif légitime et lui permet de contester la légalité de sa détention devant un juge.</w:t>
      </w:r>
    </w:p>
    <w:p>
      <w:pPr>
        <w:pStyle w:val="ArticleBody"/>
        <w:jc w:val="left"/>
      </w:pPr>
      <w:r>
        <w:rPr>
          <w:rFonts w:ascii="Nirmala UI" w:hAnsi="Nirmala UI" w:eastAsia="Nirmala UI" w:cs="Nirmala UI"/>
        </w:rPr>
        <w:t>ਇੱਕ</w:t>
      </w:r>
      <w:r>
        <w:rPr>
          <w:rFonts w:ascii="Times New Roman" w:hAnsi="Times New Roman" w:eastAsia="Times New Roman" w:cs="Times New Roman"/>
        </w:rPr>
        <w:t xml:space="preserve"> “Due Process Clause”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ਸੰਵਿਧਾਨ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ਸੰਸ਼ੋਧੀ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ਚੌਦਵੀਂ</w:t>
      </w:r>
      <w:r>
        <w:rPr>
          <w:rFonts w:ascii="Times New Roman" w:hAnsi="Times New Roman" w:eastAsia="Times New Roman" w:cs="Times New Roman"/>
        </w:rPr>
        <w:t xml:space="preserve"> </w:t>
      </w:r>
      <w:r>
        <w:rPr>
          <w:rFonts w:ascii="Nirmala UI" w:hAnsi="Nirmala UI" w:eastAsia="Nirmala UI" w:cs="Nirmala UI"/>
        </w:rPr>
        <w:t>ਸੰਸ਼ੋਧੀ</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ਪ੍ਰਬੰਧ</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ਯਥੋਚਿਤ</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ਵਿਅਕਤੀ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ਆਜ਼ਾਦੀ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ਸੰਪਤੀ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ਵੰਚਿਤ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ਅਦਾਲਤਾਂ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due process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ਸ਼ਾਖਾਵਾਂ</w:t>
      </w:r>
      <w:r>
        <w:rPr>
          <w:rFonts w:ascii="Times New Roman" w:hAnsi="Times New Roman" w:eastAsia="Times New Roman" w:cs="Times New Roman"/>
        </w:rPr>
        <w:t xml:space="preserve"> </w:t>
      </w:r>
      <w:r>
        <w:rPr>
          <w:rFonts w:ascii="Nirmala UI" w:hAnsi="Nirmala UI" w:eastAsia="Nirmala UI" w:cs="Nirmala UI"/>
        </w:rPr>
        <w:t>ਵਿਕਸਿਤ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procedural due process </w:t>
      </w:r>
      <w:r>
        <w:rPr>
          <w:rFonts w:ascii="Nirmala UI" w:hAnsi="Nirmala UI" w:eastAsia="Nirmala UI" w:cs="Nirmala UI"/>
        </w:rPr>
        <w:t>ਅਤੇ</w:t>
      </w:r>
      <w:r>
        <w:rPr>
          <w:rFonts w:ascii="Times New Roman" w:hAnsi="Times New Roman" w:eastAsia="Times New Roman" w:cs="Times New Roman"/>
        </w:rPr>
        <w:t xml:space="preserve"> substantive due process</w:t>
      </w:r>
      <w:r>
        <w:rPr>
          <w:rFonts w:ascii="Nirmala UI" w:hAnsi="Nirmala UI" w:eastAsia="Nirmala UI" w:cs="Nirmala UI"/>
        </w:rPr>
        <w:t>।</w:t>
      </w:r>
      <w:r>
        <w:rPr>
          <w:rFonts w:ascii="Times New Roman" w:hAnsi="Times New Roman" w:eastAsia="Times New Roman" w:cs="Times New Roman"/>
        </w:rPr>
        <w:t xml:space="preserve"> 2001 </w:t>
      </w:r>
      <w:r>
        <w:rPr>
          <w:rFonts w:ascii="Nirmala UI" w:hAnsi="Nirmala UI" w:eastAsia="Nirmala UI" w:cs="Nirmala UI"/>
        </w:rPr>
        <w:t>ਵਿੱਚ</w:t>
      </w:r>
      <w:r>
        <w:rPr>
          <w:rFonts w:ascii="Times New Roman" w:hAnsi="Times New Roman" w:eastAsia="Times New Roman" w:cs="Times New Roman"/>
        </w:rPr>
        <w:t xml:space="preserve">, Patriot Act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habeas corpus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English law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Roman law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English law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ਵਿਅਕਤੀ</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ਨਿਰਦੋਸ਼</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Roman law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ਵਿਅਕਤੀ</w:t>
      </w:r>
      <w:r>
        <w:rPr>
          <w:rFonts w:ascii="Times New Roman" w:hAnsi="Times New Roman" w:eastAsia="Times New Roman" w:cs="Times New Roman"/>
        </w:rPr>
        <w:t xml:space="preserve"> </w:t>
      </w:r>
      <w:r>
        <w:rPr>
          <w:rFonts w:ascii="Nirmala UI" w:hAnsi="Nirmala UI" w:eastAsia="Nirmala UI" w:cs="Nirmala UI"/>
        </w:rPr>
        <w:t>ਨਿਰਦੋਸ਼</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2022 </w:t>
      </w:r>
      <w:r>
        <w:rPr>
          <w:rFonts w:ascii="Nirmala UI" w:hAnsi="Nirmala UI" w:eastAsia="Nirmala UI" w:cs="Nirmala UI"/>
        </w:rPr>
        <w:t>ਦੇ</w:t>
      </w:r>
      <w:r>
        <w:rPr>
          <w:rFonts w:ascii="Times New Roman" w:hAnsi="Times New Roman" w:eastAsia="Times New Roman" w:cs="Times New Roman"/>
        </w:rPr>
        <w:t xml:space="preserve"> Pelosi Trials </w:t>
      </w:r>
      <w:r>
        <w:rPr>
          <w:rFonts w:ascii="Nirmala UI" w:hAnsi="Nirmala UI" w:eastAsia="Nirmala UI" w:cs="Nirmala UI"/>
        </w:rPr>
        <w:t>ਵਿੱਚ</w:t>
      </w:r>
      <w:r>
        <w:rPr>
          <w:rFonts w:ascii="Times New Roman" w:hAnsi="Times New Roman" w:eastAsia="Times New Roman" w:cs="Times New Roman"/>
        </w:rPr>
        <w:t xml:space="preserve"> procedural due process </w:t>
      </w:r>
      <w:r>
        <w:rPr>
          <w:rFonts w:ascii="Nirmala UI" w:hAnsi="Nirmala UI" w:eastAsia="Nirmala UI" w:cs="Nirmala UI"/>
        </w:rPr>
        <w:t>ਅਤੇ</w:t>
      </w:r>
      <w:r>
        <w:rPr>
          <w:rFonts w:ascii="Times New Roman" w:hAnsi="Times New Roman" w:eastAsia="Times New Roman" w:cs="Times New Roman"/>
        </w:rPr>
        <w:t xml:space="preserve"> substantive due process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Pelosi Trials </w:t>
      </w:r>
      <w:r>
        <w:rPr>
          <w:rFonts w:ascii="Nirmala UI" w:hAnsi="Nirmala UI" w:eastAsia="Nirmala UI" w:cs="Nirmala UI"/>
        </w:rPr>
        <w:t>ਵਿੱਚ</w:t>
      </w:r>
      <w:r>
        <w:rPr>
          <w:rFonts w:ascii="Times New Roman" w:hAnsi="Times New Roman" w:eastAsia="Times New Roman" w:cs="Times New Roman"/>
        </w:rPr>
        <w:t xml:space="preserve"> substantive law </w:t>
      </w:r>
      <w:r>
        <w:rPr>
          <w:rFonts w:ascii="Nirmala UI" w:hAnsi="Nirmala UI" w:eastAsia="Nirmala UI" w:cs="Nirmala UI"/>
        </w:rPr>
        <w:t>ਅਤੇ</w:t>
      </w:r>
      <w:r>
        <w:rPr>
          <w:rFonts w:ascii="Times New Roman" w:hAnsi="Times New Roman" w:eastAsia="Times New Roman" w:cs="Times New Roman"/>
        </w:rPr>
        <w:t xml:space="preserve"> procedural law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ਅਭਿਪ੍ਰੇਤ</w:t>
      </w:r>
      <w:r>
        <w:rPr>
          <w:rFonts w:ascii="Times New Roman" w:hAnsi="Times New Roman" w:eastAsia="Times New Roman" w:cs="Times New Roman"/>
        </w:rPr>
        <w:t xml:space="preserve"> </w:t>
      </w:r>
      <w:r>
        <w:rPr>
          <w:rFonts w:ascii="Nirmala UI" w:hAnsi="Nirmala UI" w:eastAsia="Nirmala UI" w:cs="Nirmala UI"/>
        </w:rPr>
        <w:t>ਸੰਵਿਧਾਨਕ</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ਸਰਵਥਾ</w:t>
      </w:r>
      <w:r>
        <w:rPr>
          <w:rFonts w:ascii="Times New Roman" w:hAnsi="Times New Roman" w:eastAsia="Times New Roman" w:cs="Times New Roman"/>
        </w:rPr>
        <w:t xml:space="preserve"> </w:t>
      </w:r>
      <w:r>
        <w:rPr>
          <w:rFonts w:ascii="Nirmala UI" w:hAnsi="Nirmala UI" w:eastAsia="Nirmala UI" w:cs="Nirmala UI"/>
        </w:rPr>
        <w:t>ਉਲਟ</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p>
    <w:p>
      <w:pPr>
        <w:pStyle w:val="ArticleBody"/>
        <w:jc w:val="left"/>
      </w:pPr>
      <w:r>
        <w:rPr>
          <w:rFonts w:ascii="Times New Roman" w:hAnsi="Times New Roman" w:eastAsia="Times New Roman" w:cs="Times New Roman"/>
        </w:rPr>
        <w:t>Różnica między materialnym due process a proceduralnym due process polega na odmiennych aspektach prawa i praw, które każde z tych pojęć chroni w ramach Konstytucji Stanów Zjednoczonych, szczególnie na gruncie klauzul due process zawartych w Piątej i Czternastej Poprawce.</w:t>
      </w:r>
    </w:p>
    <w:p>
      <w:pPr>
        <w:pStyle w:val="ArticleBody"/>
        <w:jc w:val="left"/>
      </w:pPr>
      <w:r>
        <w:rPr>
          <w:rFonts w:ascii="Times New Roman" w:hAnsi="Times New Roman" w:eastAsia="Times New Roman" w:cs="Times New Roman"/>
        </w:rPr>
        <w:t xml:space="preserve">“ff” </w:t>
      </w:r>
      <w:r>
        <w:rPr>
          <w:rFonts w:ascii="MS Gothic" w:hAnsi="MS Gothic" w:eastAsia="MS Gothic" w:cs="MS Gothic"/>
        </w:rPr>
        <w:t>がどの</w:t>
      </w:r>
      <w:r>
        <w:rPr>
          <w:rFonts w:ascii="Microsoft YaHei" w:hAnsi="Microsoft YaHei" w:eastAsia="Microsoft YaHei" w:cs="Microsoft YaHei"/>
        </w:rPr>
        <w:t>言語</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すのか</w:t>
      </w:r>
      <w:r>
        <w:rPr>
          <w:rFonts w:ascii="Microsoft YaHei" w:hAnsi="Microsoft YaHei" w:eastAsia="Microsoft YaHei" w:cs="Microsoft YaHei"/>
        </w:rPr>
        <w:t>不明</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対象言語名</w:t>
      </w:r>
      <w:r>
        <w:rPr>
          <w:rFonts w:ascii="MS Gothic" w:hAnsi="MS Gothic" w:eastAsia="MS Gothic" w:cs="MS Gothic"/>
        </w:rPr>
        <w:t>を</w:t>
      </w:r>
      <w:r>
        <w:rPr>
          <w:rFonts w:ascii="Microsoft YaHei" w:hAnsi="Microsoft YaHei" w:eastAsia="Microsoft YaHei" w:cs="Microsoft YaHei"/>
        </w:rPr>
        <w:t>指定</w:t>
      </w:r>
      <w:r>
        <w:rPr>
          <w:rFonts w:ascii="MS Gothic" w:hAnsi="MS Gothic" w:eastAsia="MS Gothic" w:cs="MS Gothic"/>
        </w:rPr>
        <w:t>してください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procédure régulière de forme concerne les procédures que le gouvernement doit suivre avant de priver un individu de sa vie, de sa liberté ou de ses biens. Elle garantit que les individus reçoivent un traitement juste et impartial au moyen de procédures juridiques appropriées. La procédure régulière de forme exige que le gouvernement observe certaines étapes ou procédures, telles que la notification, une audience équitable et la possibilité d’être entendu, avant de priver quelqu’un de ses droits. Elle met l’accent sur les modalités selon lesquelles les lois sont appliquées, en veillant à ce que le gouvernement agisse de manière juste et équitable.</w:t>
      </w:r>
    </w:p>
    <w:p>
      <w:pPr>
        <w:pStyle w:val="ArticleBody"/>
        <w:jc w:val="left"/>
      </w:pPr>
      <w:r>
        <w:rPr>
          <w:rFonts w:ascii="Times New Roman" w:hAnsi="Times New Roman" w:eastAsia="Times New Roman" w:cs="Times New Roman"/>
        </w:rPr>
        <w:t>Chikhalh thupi thlengin thu hman dan leh thudik hmang a hmaihna, substantive due process leh procedural due process pahnih pawh an phatsan tih a entîr chiang hle. America khua leh tuite thil tih theihna leh an thuneihna bulpui berte chu a lang tlangin leh hneh takin an hnawl a ni. False flag operation-te leh United States-a alphabet agency-te inthlakna lang tak chu Pelosi Trials hma pawh atang khan a lo puan chhuak tawh reng a; nimahsela, Pelosi Trials tan tirh atang khan party pahnih lama globalist-ten an hman legal procedure-te chu procedural due process tihboralna entîrna chiang tak a ni.</w:t>
      </w:r>
    </w:p>
    <w:p>
      <w:pPr>
        <w:pStyle w:val="ArticleBody"/>
        <w:jc w:val="left"/>
      </w:pPr>
      <w:r>
        <w:rPr>
          <w:rFonts w:ascii="Times New Roman" w:hAnsi="Times New Roman" w:eastAsia="Times New Roman" w:cs="Times New Roman"/>
        </w:rPr>
        <w:t>Wɔkenkan dedaw wɔ asɛm no mu sɛ, “Akuw biara a ɛpene nyamesom mmara so no yɛ papacy no muhyia ankasa, efisɛ mfe pii a atwam nyinaa mu no, wɔadi ko denneennen atia ahofadi a ahonim wɔ. Kwasiada a wodie no de ne nkwa te sɛ so-called Kristofoɔ ahyehyɛde no fi ‘amumɔyɛ ahintasɛm’ no mu; na sɛ wɔhyɛ no den a, ɛbɛyɛ gyinapɛn horow a ɛyɛ Romanism fapem tɔnn no ankasa ho agyede. Sɛ yɛn man no bɛpo ne aban gyinapɛn ahorow no saa ara ma wɔayɛ Kwasiada mmara a, Protestantism bɛnam saa adeyɛ no so ne popery abom; na ɛrennyɛ hwee gye sɛ wɔde nkwa rema atirimuɔden a akyɛ yi ara de anigyina twɛn ne hokwan sɛ ɛbɛsan apia ne ho akɔ adwene mu ahenni a ani yɛ den no mu bio.”</w:t>
      </w:r>
    </w:p>
    <w:p>
      <w:pPr>
        <w:pStyle w:val="ArticleBody"/>
        <w:jc w:val="left"/>
      </w:pPr>
      <w:r>
        <w:rPr>
          <w:rFonts w:ascii="Times New Roman" w:hAnsi="Times New Roman" w:eastAsia="Times New Roman" w:cs="Times New Roman"/>
        </w:rPr>
        <w:t>در خطّ تاریخى‌ای که می‌توان آن را با قانون اساسی ایالات متحده نمایان ساخت، سه نشانهٔ معیّن وجود دارد که هر یک نمایانگر عنصری از قانون اساسی، هم در آغاز و هم در پایان ایالات متحده است. هر یک از آن سه نشانه، اقدامی سیاسی است، و از این‌رو سخن گفتنِ ایالات متحده را نمادینه می‌کند. سومینِ آن سه نشانه در آغاز، که سال 1798 را مشخص ساخت، «قوانین بیگانگان و فتنه» بود؛ و سومینِ آن نشانه‌ها در پایان، زمانی است که ایالات متحده قانون یکشنبه را به اجرا درمی‌آورد و به‌مثابه اژدها سخن می‌گوید، در تحققِ مکاشفه، باب سیزدهم، آیه یازده.</w:t>
      </w:r>
    </w:p>
    <w:p>
      <w:pPr>
        <w:pStyle w:val="ArticleBody"/>
        <w:jc w:val="left"/>
      </w:pPr>
      <w:r>
        <w:rPr>
          <w:rFonts w:ascii="Times New Roman" w:hAnsi="Times New Roman" w:eastAsia="Times New Roman" w:cs="Times New Roman"/>
        </w:rPr>
        <w:t>L’histoire prophétique des États-Unis commence lorsque, représentés par la terre, ils ouvrirent leur bouche et engloutirent le flot de la persécution du dragon.</w:t>
      </w:r>
    </w:p>
    <w:p>
      <w:pPr>
        <w:pStyle w:val="ArticleScripture"/>
        <w:jc w:val="left"/>
      </w:pPr>
      <w:r>
        <w:rPr>
          <w:rFonts w:ascii="Times New Roman" w:hAnsi="Times New Roman" w:eastAsia="Times New Roman" w:cs="Times New Roman"/>
        </w:rPr>
        <w:t>At ang ahas ay nagbuga mula sa kaniyang bibig ng tubig na gaya ng isang baha kasunod ng babae, upang siya’y matangay ng baha. At tinulungan ng lupa ang babae, at ibinuka ng lupa ang kaniyang bibig, at nilamon ang bahang ibinuga ng dragon mula sa kaniyang bibig. Apocalipsis 12:15, 16.</w:t>
      </w:r>
    </w:p>
    <w:p>
      <w:pPr>
        <w:pStyle w:val="ArticleBody"/>
        <w:jc w:val="left"/>
      </w:pPr>
      <w:r>
        <w:rPr>
          <w:rFonts w:ascii="Times New Roman" w:hAnsi="Times New Roman" w:eastAsia="Times New Roman" w:cs="Times New Roman"/>
        </w:rPr>
        <w:t>En 1776, la bête qui devait monter de la terre, et devenir finalement le sixième royaume de la prophétie biblique en 1798, engloutit le fleuve de persécution dirigé contre le peuple de Dieu en établissant une nation dotée d’une Constitution qui protestait contre les tyrans de la royauté européenne et les tyrans de l’Église papale.</w:t>
      </w:r>
    </w:p>
    <w:p>
      <w:pPr>
        <w:pStyle w:val="ArticleBody"/>
        <w:jc w:val="left"/>
      </w:pPr>
      <w:r>
        <w:rPr>
          <w:rFonts w:ascii="Times New Roman" w:hAnsi="Times New Roman" w:eastAsia="Times New Roman" w:cs="Times New Roman"/>
        </w:rPr>
        <w:t>Décalaratione de Independentia de 1776 typificava le Patriot Act de 2001. Le Constitution de 1789 typificava le Processos de Pelosi, comenciante in 2022. Le Alien and Sedition Acts de 1798 typificava le lege dominical in le Statos Unite.</w:t>
      </w:r>
    </w:p>
    <w:p>
      <w:pPr>
        <w:pStyle w:val="ArticleBody"/>
        <w:jc w:val="left"/>
      </w:pPr>
      <w:r>
        <w:rPr>
          <w:rFonts w:ascii="Leelawadee UI" w:hAnsi="Leelawadee UI" w:eastAsia="Leelawadee UI" w:cs="Leelawadee UI"/>
        </w:rPr>
        <w:t>ប្រកាសឯករាជ្យរបស់អ្នកស្នេហាជាតិអាមេរិកនៅឆ្នាំ</w:t>
      </w:r>
      <w:r>
        <w:rPr>
          <w:rFonts w:ascii="Times New Roman" w:hAnsi="Times New Roman" w:eastAsia="Times New Roman" w:cs="Times New Roman"/>
        </w:rPr>
        <w:t xml:space="preserve"> 1776 </w:t>
      </w:r>
      <w:r>
        <w:rPr>
          <w:rFonts w:ascii="Leelawadee UI" w:hAnsi="Leelawadee UI" w:eastAsia="Leelawadee UI" w:cs="Leelawadee UI"/>
        </w:rPr>
        <w:t>បានតំណាងឲ្យការប្រកាសអំពីការបាត់បង់ឯករាជ្យតាមរយៈ</w:t>
      </w:r>
      <w:r>
        <w:rPr>
          <w:rFonts w:ascii="Times New Roman" w:hAnsi="Times New Roman" w:eastAsia="Times New Roman" w:cs="Times New Roman"/>
        </w:rPr>
        <w:t xml:space="preserve"> Patriot Act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រដ្ឋធម្មនុញ្ញឆ្នាំ</w:t>
      </w:r>
      <w:r>
        <w:rPr>
          <w:rFonts w:ascii="Times New Roman" w:hAnsi="Times New Roman" w:eastAsia="Times New Roman" w:cs="Times New Roman"/>
        </w:rPr>
        <w:t xml:space="preserve"> 1789 </w:t>
      </w:r>
      <w:r>
        <w:rPr>
          <w:rFonts w:ascii="Leelawadee UI" w:hAnsi="Leelawadee UI" w:eastAsia="Leelawadee UI" w:cs="Leelawadee UI"/>
        </w:rPr>
        <w:t>បានតំណាងឲ្យ</w:t>
      </w:r>
      <w:r>
        <w:rPr>
          <w:rFonts w:ascii="Times New Roman" w:hAnsi="Times New Roman" w:eastAsia="Times New Roman" w:cs="Times New Roman"/>
        </w:rPr>
        <w:t xml:space="preserve"> Pelosi Trials </w:t>
      </w:r>
      <w:r>
        <w:rPr>
          <w:rFonts w:ascii="Leelawadee UI" w:hAnsi="Leelawadee UI" w:eastAsia="Leelawadee UI" w:cs="Leelawadee UI"/>
        </w:rPr>
        <w:t>ដែលចាប់ផ្តើមនៅឆ្នាំ</w:t>
      </w:r>
      <w:r>
        <w:rPr>
          <w:rFonts w:ascii="Times New Roman" w:hAnsi="Times New Roman" w:eastAsia="Times New Roman" w:cs="Times New Roman"/>
        </w:rPr>
        <w:t xml:space="preserve"> 2022</w:t>
      </w:r>
      <w:r>
        <w:rPr>
          <w:rFonts w:ascii="Leelawadee UI" w:hAnsi="Leelawadee UI" w:eastAsia="Leelawadee UI" w:cs="Leelawadee UI"/>
        </w:rPr>
        <w:t>។</w:t>
      </w:r>
      <w:r>
        <w:rPr>
          <w:rFonts w:ascii="Times New Roman" w:hAnsi="Times New Roman" w:eastAsia="Times New Roman" w:cs="Times New Roman"/>
        </w:rPr>
        <w:t xml:space="preserve"> Alien and Sedition Acts </w:t>
      </w:r>
      <w:r>
        <w:rPr>
          <w:rFonts w:ascii="Leelawadee UI" w:hAnsi="Leelawadee UI" w:eastAsia="Leelawadee UI" w:cs="Leelawadee UI"/>
        </w:rPr>
        <w:t>តំណាងឲ្យច្បាប់ថ្ងៃអាទិត្យ។</w:t>
      </w:r>
      <w:r>
        <w:rPr>
          <w:rFonts w:ascii="Times New Roman" w:hAnsi="Times New Roman" w:eastAsia="Times New Roman" w:cs="Times New Roman"/>
        </w:rPr>
        <w:t xml:space="preserve"> </w:t>
      </w:r>
      <w:r>
        <w:rPr>
          <w:rFonts w:ascii="Leelawadee UI" w:hAnsi="Leelawadee UI" w:eastAsia="Leelawadee UI" w:cs="Leelawadee UI"/>
        </w:rPr>
        <w:t>ប្រវត្តិសាស្ត្រនៃការបដិសេធគោលការណ៍នីមួយៗទាំងអស់នៃរដ្ឋធម្មនុញ្ញ</w:t>
      </w:r>
      <w:r>
        <w:rPr>
          <w:rFonts w:ascii="Times New Roman" w:hAnsi="Times New Roman" w:eastAsia="Times New Roman" w:cs="Times New Roman"/>
        </w:rPr>
        <w:t xml:space="preserve"> </w:t>
      </w:r>
      <w:r>
        <w:rPr>
          <w:rFonts w:ascii="Leelawadee UI" w:hAnsi="Leelawadee UI" w:eastAsia="Leelawadee UI" w:cs="Leelawadee UI"/>
        </w:rPr>
        <w:t>តំណាងឲ្យការបំផ្លាញរដ្ឋធម្មនុញ្ញជាបន្តបន្ទាប់</w:t>
      </w:r>
      <w:r>
        <w:rPr>
          <w:rFonts w:ascii="Times New Roman" w:hAnsi="Times New Roman" w:eastAsia="Times New Roman" w:cs="Times New Roman"/>
        </w:rPr>
        <w:t xml:space="preserve"> </w:t>
      </w:r>
      <w:r>
        <w:rPr>
          <w:rFonts w:ascii="Leelawadee UI" w:hAnsi="Leelawadee UI" w:eastAsia="Leelawadee UI" w:cs="Leelawadee UI"/>
        </w:rPr>
        <w:t>ដែលបញ្ចប់នៅច្បាប់ថ្ងៃអាទិត្យ។</w:t>
      </w:r>
    </w:p>
    <w:p>
      <w:pPr>
        <w:pStyle w:val="ArticleBody"/>
        <w:jc w:val="left"/>
      </w:pPr>
      <w:r>
        <w:rPr>
          <w:rFonts w:ascii="Times New Roman" w:hAnsi="Times New Roman" w:eastAsia="Times New Roman" w:cs="Times New Roman"/>
        </w:rPr>
        <w:t>Ces lignes s’alignent toutes dans l’histoire cachée du verset quarante du chapitre onze de Daniel. Dans cet article, nous avons cité quatre paragraphes de Testimonies, volume 5, pages 451, 452.</w:t>
      </w:r>
    </w:p>
    <w:p>
      <w:pPr>
        <w:pStyle w:val="ArticleBody"/>
        <w:jc w:val="left"/>
      </w:pPr>
      <w:r>
        <w:rPr>
          <w:rFonts w:ascii="Times New Roman" w:hAnsi="Times New Roman" w:eastAsia="Times New Roman" w:cs="Times New Roman"/>
        </w:rPr>
        <w:t>A yi duba waɗannan sakin layi da kyau a maƙala ta gaba.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Nhauṋe ya Tshiḅeṅgele ya Vhesi ya Forthi — Nomboro Ya Vhuvhili</dc:title>
  <dc:subject>Les États-Unis, le Patriot Act, et la voie vers l’accomplissement prophétique</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