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trois</w:t>
      </w:r>
    </w:p>
    <w:p>
      <w:pPr>
        <w:pStyle w:val="ArticleSubtitle"/>
        <w:jc w:val="left"/>
      </w:pPr>
      <w:r>
        <w:rPr>
          <w:rFonts w:ascii="Arial" w:hAnsi="Arial" w:eastAsia="Arial" w:cs="Arial"/>
        </w:rPr>
        <w:t>Dimanche Law ak Vwayaj Pwofetik la: Soti nan Patriot Act rive nan Dènye Eprèv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“Kwa amri itakayotekeleza kuanzishwa kwa upapa kinyume cha sheria ya Mungu, taifa letu litajitenga kikamilifu na haki. Wakati Uprotestanti utakaponyoosha mkono wake kuvuka pengo ili kushika mkono wa mamlaka ya Kirumi, wakati utakapovuka juu ya shimo kuu ili kushikana mikono na uwasiliani-roho, wakati, chini ya ushawishi wa muungano huu wa namna tatu, nchi yetu itakapokataa kila kanuni ya Katiba yake kama serikali ya Kiprotestanti na ya kijamhuri, na kuweka masharti kwa ajili ya kuenezwa kwa uongo na udanganyifu wa kipapa, ndipo tutakapoweza kujua kwamba wakati umefika wa utendaji wa ajabu wa Shetani na kwamba mwisho umekaribia.”</w:t>
      </w:r>
    </w:p>
    <w:p>
      <w:pPr>
        <w:pStyle w:val="ArticleScripture"/>
        <w:jc w:val="left"/>
      </w:pPr>
      <w:r>
        <w:rPr>
          <w:rFonts w:ascii="Times New Roman" w:hAnsi="Times New Roman" w:eastAsia="Times New Roman" w:cs="Times New Roman"/>
        </w:rPr>
        <w:t>“</w:t>
      </w:r>
      <w:r>
        <w:rPr>
          <w:rFonts w:ascii="Nirmala UI" w:hAnsi="Nirmala UI" w:eastAsia="Nirmala UI" w:cs="Nirmala UI"/>
        </w:rPr>
        <w:t>ଜେପରି</w:t>
      </w:r>
      <w:r>
        <w:rPr>
          <w:rFonts w:ascii="Times New Roman" w:hAnsi="Times New Roman" w:eastAsia="Times New Roman" w:cs="Times New Roman"/>
        </w:rPr>
        <w:t xml:space="preserve"> </w:t>
      </w:r>
      <w:r>
        <w:rPr>
          <w:rFonts w:ascii="Nirmala UI" w:hAnsi="Nirmala UI" w:eastAsia="Nirmala UI" w:cs="Nirmala UI"/>
        </w:rPr>
        <w:t>ରୋମୀୟ</w:t>
      </w:r>
      <w:r>
        <w:rPr>
          <w:rFonts w:ascii="Times New Roman" w:hAnsi="Times New Roman" w:eastAsia="Times New Roman" w:cs="Times New Roman"/>
        </w:rPr>
        <w:t xml:space="preserve"> </w:t>
      </w:r>
      <w:r>
        <w:rPr>
          <w:rFonts w:ascii="Nirmala UI" w:hAnsi="Nirmala UI" w:eastAsia="Nirmala UI" w:cs="Nirmala UI"/>
        </w:rPr>
        <w:t>ସେନାବଳର</w:t>
      </w:r>
      <w:r>
        <w:rPr>
          <w:rFonts w:ascii="Times New Roman" w:hAnsi="Times New Roman" w:eastAsia="Times New Roman" w:cs="Times New Roman"/>
        </w:rPr>
        <w:t xml:space="preserve"> </w:t>
      </w:r>
      <w:r>
        <w:rPr>
          <w:rFonts w:ascii="Nirmala UI" w:hAnsi="Nirmala UI" w:eastAsia="Nirmala UI" w:cs="Nirmala UI"/>
        </w:rPr>
        <w:t>ଆଗମନ</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ଆସନ୍ନ</w:t>
      </w:r>
      <w:r>
        <w:rPr>
          <w:rFonts w:ascii="Times New Roman" w:hAnsi="Times New Roman" w:eastAsia="Times New Roman" w:cs="Times New Roman"/>
        </w:rPr>
        <w:t xml:space="preserve"> </w:t>
      </w:r>
      <w:r>
        <w:rPr>
          <w:rFonts w:ascii="Nirmala UI" w:hAnsi="Nirmala UI" w:eastAsia="Nirmala UI" w:cs="Nirmala UI"/>
        </w:rPr>
        <w:t>ବିନାଶର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ଶିଷ୍ୟମାନଙ୍କ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ହୋଇପାରେ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ଦୀର୍ଘସହିଷ୍ଣୁତାର</w:t>
      </w:r>
      <w:r>
        <w:rPr>
          <w:rFonts w:ascii="Times New Roman" w:hAnsi="Times New Roman" w:eastAsia="Times New Roman" w:cs="Times New Roman"/>
        </w:rPr>
        <w:t xml:space="preserve"> </w:t>
      </w:r>
      <w:r>
        <w:rPr>
          <w:rFonts w:ascii="Nirmala UI" w:hAnsi="Nirmala UI" w:eastAsia="Nirmala UI" w:cs="Nirmala UI"/>
        </w:rPr>
        <w:t>ସୀମା</w:t>
      </w:r>
      <w:r>
        <w:rPr>
          <w:rFonts w:ascii="Times New Roman" w:hAnsi="Times New Roman" w:eastAsia="Times New Roman" w:cs="Times New Roman"/>
        </w:rPr>
        <w:t xml:space="preserve"> </w:t>
      </w:r>
      <w:r>
        <w:rPr>
          <w:rFonts w:ascii="Nirmala UI" w:hAnsi="Nirmala UI" w:eastAsia="Nirmala UI" w:cs="Nirmala UI"/>
        </w:rPr>
        <w:t>ପହଞ୍ଚିଗଲା</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ଜାତିର</w:t>
      </w:r>
      <w:r>
        <w:rPr>
          <w:rFonts w:ascii="Times New Roman" w:hAnsi="Times New Roman" w:eastAsia="Times New Roman" w:cs="Times New Roman"/>
        </w:rPr>
        <w:t xml:space="preserve"> </w:t>
      </w:r>
      <w:r>
        <w:rPr>
          <w:rFonts w:ascii="Nirmala UI" w:hAnsi="Nirmala UI" w:eastAsia="Nirmala UI" w:cs="Nirmala UI"/>
        </w:rPr>
        <w:t>ଅଧର୍ମର</w:t>
      </w:r>
      <w:r>
        <w:rPr>
          <w:rFonts w:ascii="Times New Roman" w:hAnsi="Times New Roman" w:eastAsia="Times New Roman" w:cs="Times New Roman"/>
        </w:rPr>
        <w:t xml:space="preserve"> </w:t>
      </w:r>
      <w:r>
        <w:rPr>
          <w:rFonts w:ascii="Nirmala UI" w:hAnsi="Nirmala UI" w:eastAsia="Nirmala UI" w:cs="Nirmala UI"/>
        </w:rPr>
        <w:t>ପରିମାଣ</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କରୁଣାର</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ଉଡ଼ାଣ</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ଯାଉଛନ୍ତି</w:t>
      </w:r>
      <w:r>
        <w:rPr>
          <w:rFonts w:ascii="Times New Roman" w:hAnsi="Times New Roman" w:eastAsia="Times New Roman" w:cs="Times New Roman"/>
        </w:rPr>
        <w:t xml:space="preserve">, </w:t>
      </w:r>
      <w:r>
        <w:rPr>
          <w:rFonts w:ascii="Nirmala UI" w:hAnsi="Nirmala UI" w:eastAsia="Nirmala UI" w:cs="Nirmala UI"/>
        </w:rPr>
        <w:t>ପୁଣି</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ଫେରି</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ଆସିବା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ପ୍ରଜା</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ପୀଡ଼ା</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ସଙ୍କଟର</w:t>
      </w:r>
      <w:r>
        <w:rPr>
          <w:rFonts w:ascii="Times New Roman" w:hAnsi="Times New Roman" w:eastAsia="Times New Roman" w:cs="Times New Roman"/>
        </w:rPr>
        <w:t xml:space="preserve"> </w:t>
      </w:r>
      <w:r>
        <w:rPr>
          <w:rFonts w:ascii="Nirmala UI" w:hAnsi="Nirmala UI" w:eastAsia="Nirmala UI" w:cs="Nirmala UI"/>
        </w:rPr>
        <w:t>ଦୃଶ୍ୟମାନଙ୍କ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ନିମଗ୍ନ</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ଭବିଷ୍ୟଦ୍ଦକ୍ତାମାନେ</w:t>
      </w:r>
      <w:r>
        <w:rPr>
          <w:rFonts w:ascii="Times New Roman" w:hAnsi="Times New Roman" w:eastAsia="Times New Roman" w:cs="Times New Roman"/>
        </w:rPr>
        <w:t xml:space="preserve"> </w:t>
      </w:r>
      <w:r>
        <w:rPr>
          <w:rFonts w:ascii="Nirmala UI" w:hAnsi="Nirmala UI" w:eastAsia="Nirmala UI" w:cs="Nirmala UI"/>
        </w:rPr>
        <w:t>ଯାକୋବଙ୍କ</w:t>
      </w:r>
      <w:r>
        <w:rPr>
          <w:rFonts w:ascii="Times New Roman" w:hAnsi="Times New Roman" w:eastAsia="Times New Roman" w:cs="Times New Roman"/>
        </w:rPr>
        <w:t xml:space="preserve"> </w:t>
      </w:r>
      <w:r>
        <w:rPr>
          <w:rFonts w:ascii="Nirmala UI" w:hAnsi="Nirmala UI" w:eastAsia="Nirmala UI" w:cs="Nirmala UI"/>
        </w:rPr>
        <w:t>ସଙ୍କଟକାଳ</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ବର୍ଣ୍ଣନା</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ବିଶ୍ୱସ୍ତ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ନିର୍ଯାତିତ</w:t>
      </w:r>
      <w:r>
        <w:rPr>
          <w:rFonts w:ascii="Times New Roman" w:hAnsi="Times New Roman" w:eastAsia="Times New Roman" w:cs="Times New Roman"/>
        </w:rPr>
        <w:t xml:space="preserve"> </w:t>
      </w:r>
      <w:r>
        <w:rPr>
          <w:rFonts w:ascii="Nirmala UI" w:hAnsi="Nirmala UI" w:eastAsia="Nirmala UI" w:cs="Nirmala UI"/>
        </w:rPr>
        <w:t>ଲୋକମାନଙ୍କର</w:t>
      </w:r>
      <w:r>
        <w:rPr>
          <w:rFonts w:ascii="Times New Roman" w:hAnsi="Times New Roman" w:eastAsia="Times New Roman" w:cs="Times New Roman"/>
        </w:rPr>
        <w:t xml:space="preserve"> </w:t>
      </w:r>
      <w:r>
        <w:rPr>
          <w:rFonts w:ascii="Nirmala UI" w:hAnsi="Nirmala UI" w:eastAsia="Nirmala UI" w:cs="Nirmala UI"/>
        </w:rPr>
        <w:t>ଆର୍ତ୍ତନାଦ</w:t>
      </w:r>
      <w:r>
        <w:rPr>
          <w:rFonts w:ascii="Times New Roman" w:hAnsi="Times New Roman" w:eastAsia="Times New Roman" w:cs="Times New Roman"/>
        </w:rPr>
        <w:t xml:space="preserve"> </w:t>
      </w:r>
      <w:r>
        <w:rPr>
          <w:rFonts w:ascii="Nirmala UI" w:hAnsi="Nirmala UI" w:eastAsia="Nirmala UI" w:cs="Nirmala UI"/>
        </w:rPr>
        <w:t>ସ୍ୱର୍ଗକୁ</w:t>
      </w:r>
      <w:r>
        <w:rPr>
          <w:rFonts w:ascii="Times New Roman" w:hAnsi="Times New Roman" w:eastAsia="Times New Roman" w:cs="Times New Roman"/>
        </w:rPr>
        <w:t xml:space="preserve"> </w:t>
      </w:r>
      <w:r>
        <w:rPr>
          <w:rFonts w:ascii="Nirmala UI" w:hAnsi="Nirmala UI" w:eastAsia="Nirmala UI" w:cs="Nirmala UI"/>
        </w:rPr>
        <w:t>ଉଦ୍ଧ୍ୱଗାମୀ</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ଆବେଲଙ୍କ</w:t>
      </w:r>
      <w:r>
        <w:rPr>
          <w:rFonts w:ascii="Times New Roman" w:hAnsi="Times New Roman" w:eastAsia="Times New Roman" w:cs="Times New Roman"/>
        </w:rPr>
        <w:t xml:space="preserve"> </w:t>
      </w:r>
      <w:r>
        <w:rPr>
          <w:rFonts w:ascii="Nirmala UI" w:hAnsi="Nirmala UI" w:eastAsia="Nirmala UI" w:cs="Nirmala UI"/>
        </w:rPr>
        <w:t>ରକ୍ତ</w:t>
      </w:r>
      <w:r>
        <w:rPr>
          <w:rFonts w:ascii="Times New Roman" w:hAnsi="Times New Roman" w:eastAsia="Times New Roman" w:cs="Times New Roman"/>
        </w:rPr>
        <w:t xml:space="preserve"> </w:t>
      </w:r>
      <w:r>
        <w:rPr>
          <w:rFonts w:ascii="Nirmala UI" w:hAnsi="Nirmala UI" w:eastAsia="Nirmala UI" w:cs="Nirmala UI"/>
        </w:rPr>
        <w:t>ଭୂମିରୁ</w:t>
      </w:r>
      <w:r>
        <w:rPr>
          <w:rFonts w:ascii="Times New Roman" w:hAnsi="Times New Roman" w:eastAsia="Times New Roman" w:cs="Times New Roman"/>
        </w:rPr>
        <w:t xml:space="preserve"> </w:t>
      </w:r>
      <w:r>
        <w:rPr>
          <w:rFonts w:ascii="Nirmala UI" w:hAnsi="Nirmala UI" w:eastAsia="Nirmala UI" w:cs="Nirmala UI"/>
        </w:rPr>
        <w:t>ଆର୍ତ୍ତନାଦ</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ସହୀଦମାନଙ୍କର</w:t>
      </w:r>
      <w:r>
        <w:rPr>
          <w:rFonts w:ascii="Times New Roman" w:hAnsi="Times New Roman" w:eastAsia="Times New Roman" w:cs="Times New Roman"/>
        </w:rPr>
        <w:t xml:space="preserve"> </w:t>
      </w:r>
      <w:r>
        <w:rPr>
          <w:rFonts w:ascii="Nirmala UI" w:hAnsi="Nirmala UI" w:eastAsia="Nirmala UI" w:cs="Nirmala UI"/>
        </w:rPr>
        <w:t>ସମାଧିଘରରୁ</w:t>
      </w:r>
      <w:r>
        <w:rPr>
          <w:rFonts w:ascii="Times New Roman" w:hAnsi="Times New Roman" w:eastAsia="Times New Roman" w:cs="Times New Roman"/>
        </w:rPr>
        <w:t xml:space="preserve">, </w:t>
      </w:r>
      <w:r>
        <w:rPr>
          <w:rFonts w:ascii="Nirmala UI" w:hAnsi="Nirmala UI" w:eastAsia="Nirmala UI" w:cs="Nirmala UI"/>
        </w:rPr>
        <w:t>ସମୁଦ୍ରର</w:t>
      </w:r>
      <w:r>
        <w:rPr>
          <w:rFonts w:ascii="Times New Roman" w:hAnsi="Times New Roman" w:eastAsia="Times New Roman" w:cs="Times New Roman"/>
        </w:rPr>
        <w:t xml:space="preserve"> </w:t>
      </w:r>
      <w:r>
        <w:rPr>
          <w:rFonts w:ascii="Nirmala UI" w:hAnsi="Nirmala UI" w:eastAsia="Nirmala UI" w:cs="Nirmala UI"/>
        </w:rPr>
        <w:t>ଶବାଧାରମାନରୁ</w:t>
      </w:r>
      <w:r>
        <w:rPr>
          <w:rFonts w:ascii="Times New Roman" w:hAnsi="Times New Roman" w:eastAsia="Times New Roman" w:cs="Times New Roman"/>
        </w:rPr>
        <w:t xml:space="preserve">, </w:t>
      </w:r>
      <w:r>
        <w:rPr>
          <w:rFonts w:ascii="Nirmala UI" w:hAnsi="Nirmala UI" w:eastAsia="Nirmala UI" w:cs="Nirmala UI"/>
        </w:rPr>
        <w:t>ପର୍ବତଗୁହାମାନରୁ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ମଠର</w:t>
      </w:r>
      <w:r>
        <w:rPr>
          <w:rFonts w:ascii="Times New Roman" w:hAnsi="Times New Roman" w:eastAsia="Times New Roman" w:cs="Times New Roman"/>
        </w:rPr>
        <w:t xml:space="preserve"> </w:t>
      </w:r>
      <w:r>
        <w:rPr>
          <w:rFonts w:ascii="Nirmala UI" w:hAnsi="Nirmala UI" w:eastAsia="Nirmala UI" w:cs="Nirmala UI"/>
        </w:rPr>
        <w:t>ଶବାଗାରମାନରୁ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ଡାକି</w:t>
      </w:r>
      <w:r>
        <w:rPr>
          <w:rFonts w:ascii="Times New Roman" w:hAnsi="Times New Roman" w:eastAsia="Times New Roman" w:cs="Times New Roman"/>
        </w:rPr>
        <w:t xml:space="preserve"> </w:t>
      </w:r>
      <w:r>
        <w:rPr>
          <w:rFonts w:ascii="Nirmala UI" w:hAnsi="Nirmala UI" w:eastAsia="Nirmala UI" w:cs="Nirmala UI"/>
        </w:rPr>
        <w:t>କହୁଛି</w:t>
      </w:r>
      <w:r>
        <w:rPr>
          <w:rFonts w:ascii="Times New Roman" w:hAnsi="Times New Roman" w:eastAsia="Times New Roman" w:cs="Times New Roman"/>
        </w:rPr>
        <w:t>: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ସତ୍ୟମୟ</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ବାସିନ୍ଦାମାନଙ୍କ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କେତେଦିନ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ନ୍ୟାୟ</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ଆମର</w:t>
      </w:r>
      <w:r>
        <w:rPr>
          <w:rFonts w:ascii="Times New Roman" w:hAnsi="Times New Roman" w:eastAsia="Times New Roman" w:cs="Times New Roman"/>
        </w:rPr>
        <w:t xml:space="preserve"> </w:t>
      </w:r>
      <w:r>
        <w:rPr>
          <w:rFonts w:ascii="Nirmala UI" w:hAnsi="Nirmala UI" w:eastAsia="Nirmala UI" w:cs="Nirmala UI"/>
        </w:rPr>
        <w:t>ରକ୍ତର</w:t>
      </w:r>
      <w:r>
        <w:rPr>
          <w:rFonts w:ascii="Times New Roman" w:hAnsi="Times New Roman" w:eastAsia="Times New Roman" w:cs="Times New Roman"/>
        </w:rPr>
        <w:t xml:space="preserve"> </w:t>
      </w:r>
      <w:r>
        <w:rPr>
          <w:rFonts w:ascii="Nirmala UI" w:hAnsi="Nirmala UI" w:eastAsia="Nirmala UI" w:cs="Nirmala UI"/>
        </w:rPr>
        <w:t>ପ୍ରତିଶୋଧ</w:t>
      </w:r>
      <w:r>
        <w:rPr>
          <w:rFonts w:ascii="Times New Roman" w:hAnsi="Times New Roman" w:eastAsia="Times New Roman" w:cs="Times New Roman"/>
        </w:rPr>
        <w:t xml:space="preserve"> </w:t>
      </w:r>
      <w:r>
        <w:rPr>
          <w:rFonts w:ascii="Nirmala UI" w:hAnsi="Nirmala UI" w:eastAsia="Nirmala UI" w:cs="Nirmala UI"/>
        </w:rPr>
        <w:t>ନେବାକୁ</w:t>
      </w:r>
      <w:r>
        <w:rPr>
          <w:rFonts w:ascii="Times New Roman" w:hAnsi="Times New Roman" w:eastAsia="Times New Roman" w:cs="Times New Roman"/>
        </w:rPr>
        <w:t xml:space="preserve"> </w:t>
      </w:r>
      <w:r>
        <w:rPr>
          <w:rFonts w:ascii="Nirmala UI" w:hAnsi="Nirmala UI" w:eastAsia="Nirmala UI" w:cs="Nirmala UI"/>
        </w:rPr>
        <w:t>ବିଳମ୍ବ</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«Ներսերը կատարում է Իր գործը։ Ամբողջ երկինքը խռովքի մեջ է։ Ամբողջ երկրի Դատավորը շուտով պիտի վեր կենա և արդարացնի Իր վիրավորված իշխանությունը։ Ազատագրման նշանը պիտի դրվի այն մարդկանց վրա, ովքեր պահում են Աստծու պատվիրանները, ովքեր ակնածանքով են վերաբերվում Նրա օրենքին, և ովքեր մերժում են գազանի կամ նրա պատկերի նշանը։»</w:t>
      </w:r>
    </w:p>
    <w:p>
      <w:pPr>
        <w:pStyle w:val="ArticleScripture"/>
        <w:jc w:val="left"/>
      </w:pPr>
      <w:r>
        <w:rPr>
          <w:rFonts w:ascii="Times New Roman" w:hAnsi="Times New Roman" w:eastAsia="Times New Roman" w:cs="Times New Roman"/>
        </w:rPr>
        <w:t>“Jumala on ilmoittanut, mitä on tapahtuva viimeisinä päivinä, jotta Hänen kansansa olisi valmistautunut kestämään vastustuksen ja vihan myrskyn. Niiden, joita on varoitettu heidän edessään olevista tapahtumista, ei tule istua rauhallisessa odotuksessa lähestyvää myrskyä odottaen ja lohduttautua sillä, että Herra suojelee uskollisiaan ahdingon päivänä. Meidän tulee olla kuin miehet, jotka odottavat Herraansa, ei toimettomassa odotuksessa, vaan vakavassa työssä, horjumattomassa uskossa. Nyt ei ole aika sallia mielemme kiinnittyä vähämerkityksisiin asioihin. Ihmisten nukkuessa Saatana järjestelee asioita aktiivisesti niin, ettei Herran kansa saisi osakseen armoa eikä oikeutta. Sunnuntailiike etenee nyt pimeydessä. Johtajat salaavat todellisen kysymyksen, eivätkä monet liikkeeseen liittyvistä itsekään näe, mihin pohjavirta on kulkemassa. Sen tunnustukset ovat lempeitä ja näennäisesti kristillisiä, mutta kun se alkaa puhua, se paljastaa lohikäärmeen hengen. Velvollisuutemme on tehdä kaikki vallassamme oleva uhatun vaaran torjumiseksi. Meidän tulee pyrkiä poistamaan ennakkoluuloja asettamalla itsemme kansan edessä oikeaan valoon. Meidän tulee tuoda heidän eteensä todellinen kiistakysymys ja siten esittää tehokkain mahdollinen vastalause omantunnonvapautta rajoittavia toimenpiteitä vastaan. Meidän tulee tutkia Raamattua ja kyetä esittämään uskomme peruste. Profeetta sanoo: ‘Jumalattomat tekevät jumalattomasti, eikä yksikään jumalattomista ymmärrä; mutta ymmärtäväiset ymmärtävät.’” Testimonies, osa 5, 451, 452.</w:t>
      </w:r>
    </w:p>
    <w:p>
      <w:pPr>
        <w:pStyle w:val="ArticleBody"/>
        <w:jc w:val="left"/>
      </w:pPr>
      <w:r>
        <w:rPr>
          <w:rFonts w:ascii="Times New Roman" w:hAnsi="Times New Roman" w:eastAsia="Times New Roman" w:cs="Times New Roman"/>
        </w:rPr>
        <w:t>عندما «تتكلّم حركة الأحد» فإنها «ستكشف روح التنين». وتحدِّد الفقرات الأربع أن الولايات المتحدة، عند سنّ قانون الأحد، «ستنفصل انفصالًا كاملًا عن البرّ». وعند قانون الأحد «يكون الوقت قد جاء لعمل الشيطان العجيب». وعند قانون الأحد يتحقّق الاتحاد الثلاثي. وعند قانون الأحد «تتنكّر الولايات المتحدة لكل مبدأ من مبادئ دستورها بوصفها حكومة جمهورية بروتستانتية»، كما أنها أيضًا «تتخذ تدابير لنشر أكاذيب البابوية وأضاليلها». إن قانون الأحد هذا هو «علامة لنا على أن حدّ أناة الله قد بُلِغ، وأن مكيال إثم أمتنا قد امتلأ، وأن ملاك الرحمة أوشك أن يطير طيرانه، فلا يعود أبدًا». وقد مُثِّلت هذه العلامة بالتحذير الذي أعطاه يسوع إذ حدّد رجسة الخراب التي تكلّم عنها دانيال النبي. وهناك تتمّ الصلاة التي رفعها شهداء الختم الخامس، إذ يسألون: «حتى متى أيها السيد القدوس والحق، لا تقضي وتنتقم لدمنا من الساكنين على الأرض؟». وكذلك عند تلك العلامة الفاصلة تُظهر العذارى الجاهلات والحكيمات صفاتهنّ.</w:t>
      </w:r>
    </w:p>
    <w:p>
      <w:pPr>
        <w:pStyle w:val="ArticleBody"/>
        <w:jc w:val="left"/>
      </w:pPr>
      <w:r>
        <w:rPr>
          <w:rFonts w:ascii="Times New Roman" w:hAnsi="Times New Roman" w:eastAsia="Times New Roman" w:cs="Times New Roman"/>
        </w:rPr>
        <w:t>Au moment de la loi du dimanche, les États-Unis « répudient tous les principes de leur Constitution ». La période durant laquelle cette œuvre s’est accomplie a commencé avec le Patriot Act en 2001. De 2001 jusqu’à la loi du dimanche, il s’agit d’une œuvre progressive de répudiation de la Constitution. Cette œuvre progressive correspond à la ligne de prophétie où s’accomplit la formation de l’image de la bête. La ligne de l’image de la bête peut paraître quelque peu plus complexe, mais cette complexité mérite d’être comprise. Ce qui complique la ligne de l’image de la bête, c’est qu’elle représente deux lignes.</w:t>
      </w:r>
    </w:p>
    <w:p>
      <w:pPr>
        <w:pStyle w:val="ArticleBody"/>
        <w:jc w:val="left"/>
      </w:pPr>
      <w:r>
        <w:rPr>
          <w:rFonts w:ascii="Times New Roman" w:hAnsi="Times New Roman" w:eastAsia="Times New Roman" w:cs="Times New Roman"/>
        </w:rPr>
        <w:t>Kwa mnyama wa nchi, mistari hiyo miwili ndiyo pembe za Urepublikanismo na Uprotestanti. Pembe hizo mbili huungana katika uhusiano wa kanisa na dola, na hivyo hutimiza kuundwa kwa sanamu ya mnyama. Kwa hiyo, mstari wa kuundwa kwa sanamu ya mnyama una mistari miwili ndani ya mstari mmoja, kwa maana pembe za Kirepublikani na Kiprotestanti huenda sambamba katika historia, lakini mistari yao binafsi nayo pia ina ushuhuda wake wa kiunabii wa kubeba. Mstari mmoja wa kiunabii, wenye masomo mawili yanayoenda sambamba, ni wenye ugumu zaidi kuliko kuweka tu alama za njia za matendo ya kisiasa yanayowakilisha kusema kunakohusishwa na Katiba.</w:t>
      </w:r>
    </w:p>
    <w:p>
      <w:pPr>
        <w:pStyle w:val="ArticleBody"/>
        <w:jc w:val="left"/>
      </w:pPr>
      <w:r>
        <w:rPr>
          <w:rFonts w:ascii="Times New Roman" w:hAnsi="Times New Roman" w:eastAsia="Times New Roman" w:cs="Times New Roman"/>
        </w:rPr>
        <w:t>Ang dalawang hanay ng mga sungay na Republikano at Protestante ay lalo pang nagiging masalimuot dahil sa propetikong katotohanan na sa loob ng sungay na Republikano ay naroroon ang kasaysayan ng tunggalian sa pagitan ng mga Demokratang maka-alipin at ng mga Republikano na laban sa pang-aalipin; at higit pa rito, na sa loob ng sungay na Protestante ay may isang patuluyang proseso ng pagsubok na sumusunod sa marurunong at sa mga mangmang na dalaga sa loob ng kasaysayan ng sungay na Protestante. Gayunman, napakahalagang mapanatag sa mga katotohanang ito.</w:t>
      </w:r>
    </w:p>
    <w:p>
      <w:pPr>
        <w:pStyle w:val="ArticleBody"/>
        <w:jc w:val="left"/>
      </w:pPr>
      <w:r>
        <w:rPr>
          <w:rFonts w:ascii="Times New Roman" w:hAnsi="Times New Roman" w:eastAsia="Times New Roman" w:cs="Times New Roman"/>
        </w:rPr>
        <w:t>داخل السلسلة التي يمثّلها قرنا وحش الأرض يَرِدُ التصوير الموازي إمّا لتكوين شخصية المسيح أو شخصية الشيطان، وهو ما يعادل إمّا تكوين صورة للمسيح أو صورة للوحش، لأن «الوحش» في هذا السياق يمثّل كائنًا مخلوقًا في مقابل الخالق. ويتمّ تكوين هذه الصفات باطنيًا بين جميع الناس، لأنه عندما يُغلَق باب النعمة لا يبقى إلا صنفان. كما يتمّ هذا التكوين خارجيًا من خلال التحالف بين السلطة البابوية والأمم المتحدة.</w:t>
      </w:r>
    </w:p>
    <w:p>
      <w:pPr>
        <w:pStyle w:val="ArticleBody"/>
        <w:jc w:val="left"/>
      </w:pPr>
      <w:r>
        <w:rPr>
          <w:rFonts w:ascii="Times New Roman" w:hAnsi="Times New Roman" w:eastAsia="Times New Roman" w:cs="Times New Roman"/>
        </w:rPr>
        <w:t>Ainsi, le temps d’épreuve pour la formation de l’image de la bête a commencé en 2001, et il s’achève avec la loi dominicale aux États-Unis. Durant cette période, l’histoire prophétique des deux cornes de la bête de la terre illustre une controverse interne et externe au sein de leurs cornes respectives, qu’elle soit religieuse ou politique, ainsi qu’une lutte entre les deux cornes elles-mêmes.</w:t>
      </w:r>
    </w:p>
    <w:p>
      <w:pPr>
        <w:pStyle w:val="ArticleBody"/>
        <w:jc w:val="left"/>
      </w:pPr>
      <w:r>
        <w:rPr>
          <w:rFonts w:ascii="Times New Roman" w:hAnsi="Times New Roman" w:eastAsia="Times New Roman" w:cs="Times New Roman"/>
        </w:rPr>
        <w:t>La loi du dimanche aux États-Unis représente l’avertissement de fuir que Jésus a identifié comme « l’abomination de la désolation ». La loi du dimanche aux États-Unis est la conclusion de la période qui a commencé en 2001. Le Patriot Act était « l’abomination de la désolation dont a parlé Daniel », et identifié par Jésus comme un signe pour fuir une destruction à venir.</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愛國者法案</w:t>
      </w:r>
      <w:r>
        <w:rPr>
          <w:rFonts w:ascii="Times New Roman" w:hAnsi="Times New Roman" w:eastAsia="Times New Roman" w:cs="Times New Roman"/>
        </w:rPr>
        <w:t>»</w:t>
      </w:r>
      <w:r>
        <w:rPr>
          <w:rFonts w:ascii="Microsoft YaHei" w:hAnsi="Microsoft YaHei" w:eastAsia="Microsoft YaHei" w:cs="Microsoft YaHei"/>
        </w:rPr>
        <w:t>包含了</w:t>
      </w:r>
      <w:r>
        <w:rPr>
          <w:rFonts w:ascii="Times New Roman" w:hAnsi="Times New Roman" w:eastAsia="Times New Roman" w:cs="Times New Roman"/>
        </w:rPr>
        <w:t>1888</w:t>
      </w:r>
      <w:r>
        <w:rPr>
          <w:rFonts w:ascii="Microsoft YaHei" w:hAnsi="Microsoft YaHei" w:eastAsia="Microsoft YaHei" w:cs="Microsoft YaHei"/>
        </w:rPr>
        <w:t>年的預言之光</w:t>
      </w:r>
      <w:r>
        <w:rPr>
          <w:rFonts w:ascii="Times New Roman" w:hAnsi="Times New Roman" w:eastAsia="Times New Roman" w:cs="Times New Roman"/>
        </w:rPr>
        <w:t>,</w:t>
      </w:r>
      <w:r>
        <w:rPr>
          <w:rFonts w:ascii="Microsoft YaHei" w:hAnsi="Microsoft YaHei" w:eastAsia="Microsoft YaHei" w:cs="Microsoft YaHei"/>
        </w:rPr>
        <w:t>以及</w:t>
      </w:r>
      <w:r>
        <w:rPr>
          <w:rFonts w:ascii="Times New Roman" w:hAnsi="Times New Roman" w:eastAsia="Times New Roman" w:cs="Times New Roman"/>
        </w:rPr>
        <w:t>«</w:t>
      </w:r>
      <w:r>
        <w:rPr>
          <w:rFonts w:ascii="Microsoft YaHei" w:hAnsi="Microsoft YaHei" w:eastAsia="Microsoft YaHei" w:cs="Microsoft YaHei"/>
        </w:rPr>
        <w:t>布萊爾法案</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愛國者法案</w:t>
      </w:r>
      <w:r>
        <w:rPr>
          <w:rFonts w:ascii="Times New Roman" w:hAnsi="Times New Roman" w:eastAsia="Times New Roman" w:cs="Times New Roman"/>
        </w:rPr>
        <w:t>»</w:t>
      </w:r>
      <w:r>
        <w:rPr>
          <w:rFonts w:ascii="Microsoft YaHei" w:hAnsi="Microsoft YaHei" w:eastAsia="Microsoft YaHei" w:cs="Microsoft YaHei"/>
        </w:rPr>
        <w:t>在預言上也包含了星期日法之預表</w:t>
      </w:r>
      <w:r>
        <w:rPr>
          <w:rFonts w:ascii="Times New Roman" w:hAnsi="Times New Roman" w:eastAsia="Times New Roman" w:cs="Times New Roman"/>
        </w:rPr>
        <w:t>;</w:t>
      </w:r>
      <w:r>
        <w:rPr>
          <w:rFonts w:ascii="Microsoft YaHei" w:hAnsi="Microsoft YaHei" w:eastAsia="Microsoft YaHei" w:cs="Microsoft YaHei"/>
        </w:rPr>
        <w:t>故此</w:t>
      </w:r>
      <w:r>
        <w:rPr>
          <w:rFonts w:ascii="Times New Roman" w:hAnsi="Times New Roman" w:eastAsia="Times New Roman" w:cs="Times New Roman"/>
        </w:rPr>
        <w:t>,</w:t>
      </w:r>
      <w:r>
        <w:rPr>
          <w:rFonts w:ascii="Microsoft YaHei" w:hAnsi="Microsoft YaHei" w:eastAsia="Microsoft YaHei" w:cs="Microsoft YaHei"/>
        </w:rPr>
        <w:t>從</w:t>
      </w:r>
      <w:r>
        <w:rPr>
          <w:rFonts w:ascii="Times New Roman" w:hAnsi="Times New Roman" w:eastAsia="Times New Roman" w:cs="Times New Roman"/>
        </w:rPr>
        <w:t>2001</w:t>
      </w:r>
      <w:r>
        <w:rPr>
          <w:rFonts w:ascii="Microsoft YaHei" w:hAnsi="Microsoft YaHei" w:eastAsia="Microsoft YaHei" w:cs="Microsoft YaHei"/>
        </w:rPr>
        <w:t>年開始的時期</w:t>
      </w:r>
      <w:r>
        <w:rPr>
          <w:rFonts w:ascii="Times New Roman" w:hAnsi="Times New Roman" w:eastAsia="Times New Roman" w:cs="Times New Roman"/>
        </w:rPr>
        <w:t>,</w:t>
      </w:r>
      <w:r>
        <w:rPr>
          <w:rFonts w:ascii="Microsoft YaHei" w:hAnsi="Microsoft YaHei" w:eastAsia="Microsoft YaHei" w:cs="Microsoft YaHei"/>
        </w:rPr>
        <w:t>是以星期日法作為開端</w:t>
      </w:r>
      <w:r>
        <w:rPr>
          <w:rFonts w:ascii="Times New Roman" w:hAnsi="Times New Roman" w:eastAsia="Times New Roman" w:cs="Times New Roman"/>
        </w:rPr>
        <w:t>,</w:t>
      </w:r>
      <w:r>
        <w:rPr>
          <w:rFonts w:ascii="Microsoft YaHei" w:hAnsi="Microsoft YaHei" w:eastAsia="Microsoft YaHei" w:cs="Microsoft YaHei"/>
        </w:rPr>
        <w:t>正如</w:t>
      </w:r>
      <w:r>
        <w:rPr>
          <w:rFonts w:ascii="Times New Roman" w:hAnsi="Times New Roman" w:eastAsia="Times New Roman" w:cs="Times New Roman"/>
        </w:rPr>
        <w:t>1888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布萊爾法案</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愛國者法案</w:t>
      </w:r>
      <w:r>
        <w:rPr>
          <w:rFonts w:ascii="Times New Roman" w:hAnsi="Times New Roman" w:eastAsia="Times New Roman" w:cs="Times New Roman"/>
        </w:rPr>
        <w:t>»</w:t>
      </w:r>
      <w:r>
        <w:rPr>
          <w:rFonts w:ascii="Microsoft YaHei" w:hAnsi="Microsoft YaHei" w:eastAsia="Microsoft YaHei" w:cs="Microsoft YaHei"/>
        </w:rPr>
        <w:t>所預表的</w:t>
      </w:r>
      <w:r>
        <w:rPr>
          <w:rFonts w:ascii="Times New Roman" w:hAnsi="Times New Roman" w:eastAsia="Times New Roman" w:cs="Times New Roman"/>
        </w:rPr>
        <w:t>,</w:t>
      </w:r>
      <w:r>
        <w:rPr>
          <w:rFonts w:ascii="Microsoft YaHei" w:hAnsi="Microsoft YaHei" w:eastAsia="Microsoft YaHei" w:cs="Microsoft YaHei"/>
        </w:rPr>
        <w:t>並且它也以星期日法告終</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L’avertissement de fuir les villes en 2001 préfigure l’avertissement de fuir Babylone au moment de la loi du dimanche. Le jugement amené sur les États-Unis lors de la loi du dimanche préfigure le jugement qui sera amené sur le monde entier lorsque Micaël se lèvera et que le temps de grâce de l’humanité prendra fin. La signature du Christ en tant qu’Alpha et Oméga est représentée à maintes reprises dans les vérités figurées par le Blair Bill en 1888, et par tout ce que 1888 représente, se répétant en 2001.</w:t>
      </w:r>
    </w:p>
    <w:p>
      <w:pPr>
        <w:pStyle w:val="ArticleBody"/>
        <w:jc w:val="left"/>
      </w:pPr>
      <w:r>
        <w:rPr>
          <w:rFonts w:ascii="Times New Roman" w:hAnsi="Times New Roman" w:eastAsia="Times New Roman" w:cs="Times New Roman"/>
        </w:rPr>
        <w:t>2001, tel qu’annoncé typologiquement par 1888, représente non seulement le signe de la fuite, tel qu’il est figuré par l’abomination de la désolation, mais il est aussi préfiguré par l’an 66 apr. J.-C. et le siège de Cestius. Le siège de Titus en l’an 70 apr. J.-C. représente la loi dominicale aux États-Unis. La loi dominicale aux États-Unis est représentée par l’an 321 et la première loi dominicale de Constantin, et 538 représente le moment où la dernière nation de la terre succombe à la marque de la bête.</w:t>
      </w:r>
    </w:p>
    <w:p>
      <w:pPr>
        <w:pStyle w:val="ArticleBody"/>
        <w:jc w:val="left"/>
      </w:pPr>
      <w:r>
        <w:rPr>
          <w:rFonts w:ascii="Times New Roman" w:hAnsi="Times New Roman" w:eastAsia="Times New Roman" w:cs="Times New Roman"/>
        </w:rPr>
        <w:t>2001, 1888, Cestius και το έτος 66 μ.Χ. είναι το ίδιο. Ο νόμος της Κυριακής είναι ο Τίτος και τα έτη 70 και 321. Το 2001 είναι επίσης το βάπτισμα του Ιησού και η κάθοδός Του στην Αποκάλυψη, κεφάλαιο δέκα, στις 11 Αυγούστου 1840. Όλα αυτά τα σύμβολα συμβάλλουν στη γραμμή του Συντάγματος.</w:t>
      </w:r>
    </w:p>
    <w:p>
      <w:pPr>
        <w:pStyle w:val="ArticleBody"/>
        <w:jc w:val="left"/>
      </w:pPr>
      <w:r>
        <w:rPr>
          <w:rFonts w:ascii="Times New Roman" w:hAnsi="Times New Roman" w:eastAsia="Times New Roman" w:cs="Times New Roman"/>
        </w:rPr>
        <w:t>L’histoire prophétique des États-Unis se déroule parallèlement à l’histoire de l’adventisme. En 1798, la papauté reçut sa blessure mortelle, et 1798 fut le temps de la fin, lorsque la partie des prophéties de Daniel qui se rapportait à l’histoire du premier et du second anges d’Apocalypse quatorze fut descellée. C’est là, en 1798, qu’est marqué le commencement prophétique de l’adventisme, et en 1798 la bête de la terre aux cornes semblables à celles d’un agneau devint le sixième royaume de la prophétie biblique.</w:t>
      </w:r>
    </w:p>
    <w:p>
      <w:pPr>
        <w:pStyle w:val="ArticleBody"/>
        <w:jc w:val="left"/>
      </w:pPr>
      <w:r>
        <w:rPr>
          <w:rFonts w:ascii="Times New Roman" w:hAnsi="Times New Roman" w:eastAsia="Times New Roman" w:cs="Times New Roman"/>
        </w:rPr>
        <w:t>1798 an te vin apre twa pwen pwofetik ki make chemen an, ki asosye ak liy bèt ki soti nan tè a; e konsa tou ak pawòl Etazini yo ak Konstitisyon Etazini an. Twa pwen sa yo se te Deklarasyon Endepandans lan, yo te pwoklame an 1776; apre sa Konstitisyon an an 1789; epi apre sa Lwa sou Etranje ak Sedisyon yo an 1798.</w:t>
      </w:r>
    </w:p>
    <w:p>
      <w:pPr>
        <w:pStyle w:val="ArticleBody"/>
        <w:jc w:val="left"/>
      </w:pPr>
      <w:r>
        <w:rPr>
          <w:rFonts w:ascii="Times New Roman" w:hAnsi="Times New Roman" w:eastAsia="Times New Roman" w:cs="Times New Roman"/>
        </w:rPr>
        <w:t>Waamama akyir agyinaehyɛdeɛ mmiɛnsa no kasa fa Mmara Titen no nkɔmhyɛ kwan no ho, na ɛhyɛ Bible nkɔmhyɛ mu ahenni a ɛtɔ so nsia no mfiase agyirae. Kwasida mmara no ne Bible nkɔmhyɛ mu ahenni a ɛtɔ so nsia no ahenni awiei; enti, sɛnea agyiraehyɛdeɛ mmiɛnsa a ɛdii mfiase no anim no yɛɛ nhwɛso no, saa ara na ɛsɛ sɛ, wɔ nkɔmhyɛ mu ahiahia mu, agyinaehyɛdeɛ mmiɛnsa di awiei no anim.</w:t>
      </w:r>
    </w:p>
    <w:p>
      <w:pPr>
        <w:pStyle w:val="ArticleBody"/>
        <w:jc w:val="left"/>
      </w:pPr>
      <w:r>
        <w:rPr>
          <w:rFonts w:ascii="Times New Roman" w:hAnsi="Times New Roman" w:eastAsia="Times New Roman" w:cs="Times New Roman"/>
        </w:rPr>
        <w:t>Mu 2001, pa kugwa kwa nsanja zija, Patriot Act ikuimiridwa mwa chifanizo ndi Blair Bill ya 1888, pamodzi ndi kupanduka kowonekera kwa utsogoleri wa Adventism pa Msonkhano Waukulu wa ku Minneapolis. Kupanduka kumene mngelo anauza Sister White kuti kunali koyimiridwa mwa chifanizo ndi kupanduka motsutsana ndi Mose kwa Kora, Datani, ndi Abiramu, kumaimiridwanso mwa chifanizo ndi ubatizo wa Khristu mu 27 AD, kuletsedwa kwa Chisilamu pa August 11, 1840, ndi Declaration of Independence mu 1776, komanso ndi “chonyansa cha chiwonongeko, chonenedwa ndi Danieli mneneri,” monga chizindikiro chothawira mkwiyo umene ukubwera, monga kuyimiridwa ndi Cestius ndi 66 AD.</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उपर्युक्त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रेखाएँ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योगदान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विधियों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w:t>
      </w:r>
    </w:p>
    <w:p>
      <w:pPr>
        <w:pStyle w:val="ArticleBody"/>
        <w:jc w:val="left"/>
      </w:pPr>
      <w:r>
        <w:rPr>
          <w:rFonts w:ascii="Times New Roman" w:hAnsi="Times New Roman" w:eastAsia="Times New Roman" w:cs="Times New Roman"/>
        </w:rPr>
        <w:t>Alors que s’accomplit le processus de formation de l’image de la bête, la Constitution, rédigée avec pour principe primordial celui que Thomas Jefferson formula comme la « séparation de l’Église et de l’État », doit être renversée. Lorsque la corne protestante aura le pouvoir d’amener la corne républicaine à faire appliquer des prescriptions religieuses, le cœur même de la Constitution sera déchiré ; ainsi se manifeste la relation prophétique entre la ligne de la Constitution et la ligne de l’image de la bête.</w:t>
      </w:r>
    </w:p>
    <w:p>
      <w:pPr>
        <w:pStyle w:val="ArticleBody"/>
        <w:jc w:val="left"/>
      </w:pPr>
      <w:r>
        <w:rPr>
          <w:rFonts w:ascii="Times New Roman" w:hAnsi="Times New Roman" w:eastAsia="Times New Roman" w:cs="Times New Roman"/>
        </w:rPr>
        <w:t>دەورەیەکەی کە تێیدا وێنەی ئاژەڵ دروست دەبێت لە ساڵی 2001 دەست پێ دەکات، لەگەڵ یاسای پاتریۆت، و بە یاسای یەکشەممە کۆتایی دێت، کاتێک نیشانی ئاژەڵ بە زۆرەپێکردن جێبەجێ دەکرێت. لە ماوەی ئەو دەورەیەدا بارانی دواکەوتوو بە سەرشاندن دەبەخشێت، چونکە بارانی دواکەوتوو دەست بە بارین دەکات کاتێک فریشتەی بەهێزی ئاشکراکردنی هەژدە دادەبەزێت و زەوی بە شکوومەندیی خۆی ڕووناک دەکات، کە بەپێی خوشک وایت، ئەوە لەو کاتەدا ڕوو دەدات کە بیناکانی گەورەی شاری نیویۆرک بە دەستێکی پەروەردگار دابڕێندرێن.</w:t>
      </w:r>
    </w:p>
    <w:p>
      <w:pPr>
        <w:pStyle w:val="ArticleScripture"/>
        <w:jc w:val="left"/>
      </w:pPr>
      <w:r>
        <w:rPr>
          <w:rFonts w:ascii="Times New Roman" w:hAnsi="Times New Roman" w:eastAsia="Times New Roman" w:cs="Times New Roman"/>
        </w:rPr>
        <w:t>« Hodisa orqa yog‘in Xudoning xalqi ustiga yog‘ilishi kerak. Qudratli bir farishta osmondan tushib keladi va butun yer yuzi uning ulug‘vorligi bilan yoritiladi ». Review and Herald, 1891-yil 21-aprel.</w:t>
      </w:r>
    </w:p>
    <w:p>
      <w:pPr>
        <w:pStyle w:val="ArticleBody"/>
        <w:jc w:val="left"/>
      </w:pPr>
      <w:r>
        <w:rPr>
          <w:rFonts w:ascii="Times New Roman" w:hAnsi="Times New Roman" w:eastAsia="Times New Roman" w:cs="Times New Roman"/>
        </w:rPr>
        <w:t>Den senere regns stænkningsperiode repræsenterer en tidsperiode, hvor hveden og ukrudtet i adventismens sidste generation bliver sigtet og renset. Denne sigtning og renselse afsluttes ved søndagsloven, og de kloge jomfruer, som besidder olien, når søndagslovens krise indtræffer, bliver beseglet, og derefter udgydes Helligånden uden mål, indtil Mikael rejser sig, og menneskets prøvetid afsluttes.</w:t>
      </w:r>
    </w:p>
    <w:p>
      <w:pPr>
        <w:pStyle w:val="ArticleBody"/>
        <w:jc w:val="left"/>
      </w:pPr>
      <w:r>
        <w:rPr>
          <w:rFonts w:ascii="Times New Roman" w:hAnsi="Times New Roman" w:eastAsia="Times New Roman" w:cs="Times New Roman"/>
        </w:rPr>
        <w:t>Pendant la formation de l’image de la bête aux États-Unis, la pluie de l’arrière-saison tombera en aspersion; et pendant la formation de l’image de la bête dans le monde, la pluie de l’arrière-saison sera répandue sans mesure.</w:t>
      </w:r>
    </w:p>
    <w:p>
      <w:pPr>
        <w:pStyle w:val="ArticleBody"/>
        <w:jc w:val="left"/>
      </w:pPr>
      <w:r>
        <w:rPr>
          <w:rFonts w:ascii="Times New Roman" w:hAnsi="Times New Roman" w:eastAsia="Times New Roman" w:cs="Times New Roman"/>
        </w:rPr>
        <w:t>No 2001 da te ko jopii Laodikeaŋko jamaaji Seventh-day Adventist, hono Protestanɓe 11 Awgustu 1840 ngoni no waɗi maande mum, e no Israa’iilaajo hande wonde e sahe Almasiihu waɗi baptisma mum.</w:t>
      </w:r>
    </w:p>
    <w:p>
      <w:pPr>
        <w:pStyle w:val="ArticleScripture"/>
        <w:jc w:val="left"/>
      </w:pPr>
      <w:r>
        <w:rPr>
          <w:rFonts w:ascii="Times New Roman" w:hAnsi="Times New Roman" w:eastAsia="Times New Roman" w:cs="Times New Roman"/>
        </w:rPr>
        <w:t>„Lekatsi la ndzingo ri le kusuhi swinene na hina, hikuva xirilo lexikulu xa ntsumi ya vunharhu se xi sungurile eku paluxiweni ka ku lulama ka Kriste, Mukutsuri la rivalelaka xidyoho. Leswi hi swona masungulo ya ku vonakala ka ntsumi leyi ku vangama ka yona ku nga ta tata misava hinkwayo.” Selected Messages, buku 1, 362.</w:t>
      </w:r>
    </w:p>
    <w:p>
      <w:pPr>
        <w:pStyle w:val="ArticleBody"/>
        <w:jc w:val="left"/>
      </w:pPr>
      <w:r>
        <w:rPr>
          <w:rFonts w:ascii="Times New Roman" w:hAnsi="Times New Roman" w:eastAsia="Times New Roman" w:cs="Times New Roman"/>
        </w:rPr>
        <w:t>Kumuʼaha ʻa e founga sivi fakaʻosi ki he kakai ʻo e fuakava motuʻa ʻi he taimi ʻoku kamata ai ke fakahaaʻi ʻe he maama ʻo e ʻāngelo ʻo e Fakaha 18 ʻEne pōpoaki. ʻOku toe fakafofongaʻi foki ʻEne pōpoaki ʻi he veesi ʻuluaki ʻe tolu ʻo e vahe 18 ʻo e Fakaha, pea ko e veesi ʻe tolu ko ia naʻe, ʻo fakatatau kia Tuofefine White, fakakakato ʻi he taimi naʻe holo hifo ai ʻa e ngaahi fale lalahi ʻo e Kolo ko New York.</w:t>
      </w:r>
    </w:p>
    <w:p>
      <w:pPr>
        <w:pStyle w:val="ArticleBody"/>
        <w:jc w:val="left"/>
      </w:pPr>
      <w:r>
        <w:rPr>
          <w:rFonts w:ascii="Times New Roman" w:hAnsi="Times New Roman" w:eastAsia="Times New Roman" w:cs="Times New Roman"/>
        </w:rPr>
        <w:t>Amalirizyinganjo yatangiye ubwo, nk’uko Yohana ayigereranya mu gice cya cumi cy’Ibyahishuwe. Ikigeragezo cyari ukumenya niba wakira agatabo gato kari mu kuboko kwa marayika, hanyuma ukakarya. Muri iki gihe cy’igeragezwa, mu gihe imvura y’itumba rya nyuma irimo kunyanyagizwa, iragwa gusa ku batoranya kwakira ako gatabo gato no kukarya.</w:t>
      </w:r>
    </w:p>
    <w:p>
      <w:pPr>
        <w:pStyle w:val="ArticleScripture"/>
        <w:jc w:val="left"/>
      </w:pPr>
      <w:r>
        <w:rPr>
          <w:rFonts w:ascii="Times New Roman" w:hAnsi="Times New Roman" w:eastAsia="Times New Roman" w:cs="Times New Roman"/>
        </w:rPr>
        <w:t>« Beaucoup, dans une grande mesure, n’ont pas reçu la première pluie. Ils n’ont pas obtenu tous les bienfaits que Dieu avait ainsi pourvus pour eux. Ils s’attendent à ce que ce manque soit comblé par l’arrière-pluie. Lorsque la plus riche abondance de grâce sera accordée, ils ont l’intention d’ouvrir leur cœur pour la recevoir. Ils commettent une terrible erreur. L’œuvre que Dieu a commencée dans le cœur humain en donnant sa lumière et sa connaissance doit continuellement progresser. Chaque individu doit prendre conscience de sa propre nécessité. Le cœur doit être vidé de toute souillure et purifié pour que l’Esprit y habite. C’est par la confession et l’abandon du péché, par la prière fervente et la consécration d’eux-mêmes à Dieu, que les premiers disciples se préparèrent à l’effusion du Saint-Esprit au jour de la Pentecôte. La même œuvre, mais à un degré plus élevé, doit être accomplie maintenant. Alors, l’agent humain n’avait qu’à demander la bénédiction et attendre que le Seigneur achève l’œuvre le concernant. C’est Dieu qui a commencé l’œuvre, et il achèvera son œuvre, rendant l’homme parfait en Jésus-Christ. Mais il ne doit y avoir aucune négligence à l’égard de la grâce représentée par la première pluie. Seuls ceux qui vivent conformément à la lumière qu’ils ont recevront une plus grande lumière. À moins que nous ne progressions chaque jour dans la manifestation des vertus chrétiennes actives, nous ne reconnaîtrons pas les manifestations du Saint-Esprit dans l’arrière-pluie. Elle peut tomber sur les cœurs tout autour de nous, mais nous ne la discernerons ni ne la recevrons. » Testimonies to Ministers, 506, 507.</w:t>
      </w:r>
    </w:p>
    <w:p>
      <w:pPr>
        <w:pStyle w:val="ArticleBody"/>
        <w:jc w:val="left"/>
      </w:pPr>
      <w:r>
        <w:rPr>
          <w:rFonts w:ascii="Times New Roman" w:hAnsi="Times New Roman" w:eastAsia="Times New Roman" w:cs="Times New Roman"/>
        </w:rPr>
        <w:t>Diejenigen, die die Botschaft von 2001 aßen, empfingen eine für jenen Zeitraum angemessene Botschaft; doch sollten sie geprüft werden, damit offenbar werde, ob sie die Botschaft wahrhaftig so verinnerlicht hatten, dass sie zu einer für das Siegel Gottes vorbereiteten Erfahrung geworden war. In jenem Zeitraum wird der Spätregen daher als Besprengung dargestellt, denn Weizen und Unkraut sind noch beieinander. Deshalb sagt Schwester White: „Es mag auf die Herzen rings um uns her fallen, doch wir werden es weder erkennen noch empfangen.“ Wenn die Klugen von den Törichten getrennt sind, wird der Spätregen sodann ohne Maß ausgegossen, wie es zu Pfingsten geschah, was das Sonntagsgesetz vorbildet.</w:t>
      </w:r>
    </w:p>
    <w:p>
      <w:pPr>
        <w:pStyle w:val="ArticleScripture"/>
        <w:jc w:val="left"/>
      </w:pPr>
      <w:r>
        <w:rPr>
          <w:rFonts w:ascii="Times New Roman" w:hAnsi="Times New Roman" w:eastAsia="Times New Roman" w:cs="Times New Roman"/>
        </w:rPr>
        <w:t>«De nouveau, ces paraboles enseignent qu’il ne doit y avoir aucun temps de grâce après le jugement. Lorsque l’œuvre de l’Évangile est achevée, il s’ensuit immédiatement la séparation entre les bons et les méchants, et la destinée de chaque classe est fixée pour toujours.» Christ’s Object Lessons, 123.</w:t>
      </w:r>
    </w:p>
    <w:p>
      <w:pPr>
        <w:pStyle w:val="ArticleBody"/>
        <w:jc w:val="left"/>
      </w:pPr>
      <w:r>
        <w:rPr>
          <w:rFonts w:ascii="Times New Roman" w:hAnsi="Times New Roman" w:eastAsia="Times New Roman" w:cs="Times New Roman"/>
        </w:rPr>
        <w:t>Nyengo ya kunyunyizidwa kwa mvula ya m’tsogolo, yotsatiridwa ndi nyengo imene mvula ya m’tsogolo imatsanuliridwa popanda muyeso, imasonyezedwanso ngati nyengo ziwiri zimene chiweruzo chimakwaniritsidwa pa anthu a Mulungu. Nyengo yoyamba ya chiweruzo pa anthu a Mulungu inayamba ndi nyumba ya Mulungu pa September 11, 2001, ndipo pa chiweruzo cha lamulo la Lamlungu pamenepo chimakwaniritsidwa kwa gulu lina la nkhosa zake za Mulungu amene akuyankha kapena kukana kulira kwakukulu kwa mngelo wachitatu kumene kumayamba pa lamulo la Lamlungu mu United States, ndipo kumatha pamene Mikayeli ayimirira, ndipo nthawi ya kuyesedwa kwa anthu itsekedwa.</w:t>
      </w:r>
    </w:p>
    <w:p>
      <w:pPr>
        <w:pStyle w:val="ArticleBody"/>
        <w:jc w:val="left"/>
      </w:pPr>
      <w:r>
        <w:rPr>
          <w:rFonts w:ascii="Times New Roman" w:hAnsi="Times New Roman" w:eastAsia="Times New Roman" w:cs="Times New Roman"/>
        </w:rPr>
        <w:t>Les deux périodes de la pluie de l’arrière-saison, qui sont aussi les deux périodes du jugement qui commence par la maison de Dieu, puis passe à l’autre troupeau de Dieu, sont également les deux périodes de la formation de l’image de la bête.</w:t>
      </w:r>
    </w:p>
    <w:p>
      <w:pPr>
        <w:pStyle w:val="ArticleBody"/>
        <w:jc w:val="left"/>
      </w:pPr>
      <w:r>
        <w:rPr>
          <w:rFonts w:ascii="Times New Roman" w:hAnsi="Times New Roman" w:eastAsia="Times New Roman" w:cs="Times New Roman"/>
        </w:rPr>
        <w:t>À l’intérieur de la première de ces deux périodes prophétiques, lorsque le jugement est amené sur l’Église de Dieu et aussi sur les États-Unis, se trouve précisément la même histoire dans laquelle la corne républicaine et la corne protestante sont toutes deux jugées. C’est exactement au moment où l’adventisme laodicéen est vomi de la bouche du Seigneur que les États-Unis comblent la mesure de leur temps de grâce, et que la ruine nationale s’abat sur la nation, puis Satan apparaît et commence son œuvre merveilleuse. Les cent quarante-quatre mille sont scellés et élevés comme une bannière au moment de la loi du dimanche.</w:t>
      </w:r>
    </w:p>
    <w:p>
      <w:pPr>
        <w:pStyle w:val="ArticleBody"/>
        <w:jc w:val="left"/>
      </w:pPr>
      <w:r>
        <w:rPr>
          <w:rFonts w:ascii="Times New Roman" w:hAnsi="Times New Roman" w:eastAsia="Times New Roman" w:cs="Times New Roman"/>
        </w:rPr>
        <w:t>موږ ته خبر راکړل شوی دی چې دا ناشونې ده چې د «د خدای د هغه ولس د تجربې» په اړه هر ډول انګېرنه وړاندې شي، هغه ولس چې پر ځمکه به ژوندی وي کله چې اسماني جلال او د تېر وخت د ځورونو بیا تکرار سره یو ځای شي.</w:t>
      </w:r>
    </w:p>
    <w:p>
      <w:pPr>
        <w:pStyle w:val="ArticleScripture"/>
        <w:jc w:val="left"/>
      </w:pPr>
      <w:r>
        <w:rPr>
          <w:rFonts w:ascii="Times New Roman" w:hAnsi="Times New Roman" w:eastAsia="Times New Roman" w:cs="Times New Roman"/>
        </w:rPr>
        <w:t xml:space="preserve">«Սատանան Աստվածաշնչի ջանասեր ուսումնասիրող է։ Նա գիտի, որ իր ժամանակը կարճ է, և ամեն մի կետում ձգտում է հակազդել այս երկրի վրա Տիրոջ գործին։ Անհնար է որևէ պատկերացում տալ Աստծո այն ժողովրդի փորձառության մասին, որոնք երկրի վրա կենդանի պիտի լինեն, երբ երկնային փառքը և անցյալի հալածանքների կրկնությունը միախառնված լինեն։ Նրանք պիտի ընթանան այն լույսի մեջ, որ բխում է Աստծո գահից։ Հրեշտակների միջոցով պիտի լինի մշտական հաղորդակցություն երկնքի և երկրի միջև։ Իսկ Սատանան, շրջապատված չար հրեշտակներով և իրեն Աստված հռչակելով, պիտի գործի ամեն տեսակ հրաշքներ՝ հնարավոր </w:t>
      </w:r>
      <w:r>
        <w:rPr>
          <w:rFonts w:ascii="Nirmala UI" w:hAnsi="Nirmala UI" w:eastAsia="Nirmala UI" w:cs="Nirmala UI"/>
        </w:rPr>
        <w:t>হলে</w:t>
      </w:r>
      <w:r>
        <w:rPr>
          <w:rFonts w:ascii="Times New Roman" w:hAnsi="Times New Roman" w:eastAsia="Times New Roman" w:cs="Times New Roman"/>
        </w:rPr>
        <w:t xml:space="preserve"> մոլորեցնելու նույնիսկ ընտրյալներին։ Աստծո ժողովուրդն իր ապահովությունը չի գտնի հրաշքներ գործելու մեջ, որովհետև Սատանան պիտի կեղծի այն հրաշքները, որ պիտի կատարվեն։ Աստծո փորձված ու քննված ժողովուրդն իր զորությունը պիտի գտնի այն նշանի մեջ, որի մասին խոսված է Ելք 31:12–18-ում։ Նրանք պիտի կանգնեն կենդանի Խոսքի վրա. «Գրված է»։ Սա միակ հիմքն է, որի վրա նրանք կարող են հաստատապես կանգնել։ Նրանք, որ կոտրել են իրենց ուխտը Աստծո հետ, այն օրը պիտի լինեն առանց Աստծո և առանց հույսի»։ Վկայություններ, հատոր 9, 16։</w:t>
      </w:r>
    </w:p>
    <w:p>
      <w:pPr>
        <w:pStyle w:val="ArticleBody"/>
        <w:jc w:val="left"/>
      </w:pPr>
      <w:r>
        <w:rPr>
          <w:rFonts w:ascii="Times New Roman" w:hAnsi="Times New Roman" w:eastAsia="Times New Roman" w:cs="Times New Roman"/>
        </w:rPr>
        <w:t>La répétition des persécutions du passé commence avec la loi dominicale aux États-Unis, car c’est alors que Satan entreprend son œuvre merveilleuse, et les vierges sages qui auront déjà été « éprouvées et mises à l’épreuve » marcheront alors « dans la lumière procédant du trône de Dieu ». Cela s’accomplira par le ministère des anges, car « par le moyen des anges, il y aura une communication constante entre le ciel et la terre ».</w:t>
      </w:r>
    </w:p>
    <w:p>
      <w:pPr>
        <w:pStyle w:val="ArticleScripture"/>
        <w:jc w:val="left"/>
      </w:pPr>
      <w:r>
        <w:rPr>
          <w:rFonts w:ascii="Times New Roman" w:hAnsi="Times New Roman" w:eastAsia="Times New Roman" w:cs="Times New Roman"/>
        </w:rPr>
        <w:t>« Les oints qui se tiennent auprès du Seigneur de toute la terre occupent la position autrefois donnée à Satan comme chérubin protecteur. Par les êtres saints qui entourent son trône, le Seigneur maintient une communication constante avec les habitants de la terre. L’huile d’or représente la grâce par laquelle Dieu entretient les lampes des croyants, afin qu’elles ne vacillent pas et ne s’éteignent pas. Si cette huile sainte n’était pas répandue du ciel dans les messages de l’Esprit de Dieu, les puissances du mal exerceraient un entier contrôle sur les hommes. »</w:t>
      </w:r>
    </w:p>
    <w:p>
      <w:pPr>
        <w:pStyle w:val="ArticleScripture"/>
        <w:jc w:val="left"/>
      </w:pPr>
      <w:r>
        <w:rPr>
          <w:rFonts w:ascii="Times New Roman" w:hAnsi="Times New Roman" w:eastAsia="Times New Roman" w:cs="Times New Roman"/>
        </w:rPr>
        <w:t>“God vërgozahet kur ne nuk i pranojmë komunikimet që Ai na dërgon. Kështu ne e refuzojmë vajin e artë që Ai do të derdhte në shpirtrat tanë, që të përcillej tek ata që janë në errësirë. Kur të vijë thirrja, ‘Ja, dhëndri po vjen; dilni t’i dilni përpara,’ ata që nuk e kanë marrë vajin e shenjtë, që nuk e kanë ushqyer hirin e Krishtit në zemrat e tyre, do të zbulojnë, si virgjëreshat e marra, se nuk janë gati të takojnë Zotin e tyre. Ata nuk kanë, në vetvete, fuqinë për ta siguruar vajin, dhe jeta e tyre shkatërrohet. Por nëse kërkohet Fryma e Shenjtë e Perëndisë, nëse ne lutemi me ngulm, siç bëri Moisiu, ‘Më trego lavdinë tënde,’ dashuria e Perëndisë do të derdhet në zemrat tona. Nëpërmjet gypave të artë, vaji i artë do të na komunikohet. ‘Jo me forcë, as me pushtet, por me Frymën time, thotë Zoti i Ushtrive.’ Duke marrë rrezet e ndritshme të Diellit të Drejtësisë, bijtë e Perëndisë shkëlqejnë si drita në botë.” Review and Herald, 20 korrik 1897.</w:t>
      </w:r>
    </w:p>
    <w:p>
      <w:pPr>
        <w:pStyle w:val="ArticleBody"/>
        <w:jc w:val="left"/>
      </w:pPr>
      <w:r>
        <w:rPr>
          <w:rFonts w:ascii="Times New Roman" w:hAnsi="Times New Roman" w:eastAsia="Times New Roman" w:cs="Times New Roman"/>
        </w:rPr>
        <w:t>Die Weisen sind jene, die in Offenbarung Kapitel sieben und Hesekiel Kapitel neun versiegelt werden, und die den Törichten gegenübergestellt werden, die den Herrn verunehren, indem sie sich weigern, „die Mitteilungen, die er sendet“, anzunehmen. Die Törichten sind jene, „die ihren Bund mit Gott gebrochen haben und an jenem Tag ohne Gott und ohne Hoffnung sein werden.“ Diese beiden Klassen wurden geprüft und an einen Punkt gebracht, an dem sie ihren Charakter offenbarten, je nachdem, ob sie die Botschaft der Stunde annahmen oder verwarfen. Die Botschaft der Stunde seit dem 11. September 2001 ist die Botschaft des Spätregens.</w:t>
      </w:r>
    </w:p>
    <w:p>
      <w:pPr>
        <w:pStyle w:val="ArticleBody"/>
        <w:jc w:val="left"/>
      </w:pPr>
      <w:r>
        <w:rPr>
          <w:rFonts w:ascii="Times New Roman" w:hAnsi="Times New Roman" w:eastAsia="Times New Roman" w:cs="Times New Roman"/>
        </w:rPr>
        <w:t>Ujumbe wa mvua ya mwisho hutambuliwa kwa mbinu ya mstari juu ya mstari kama ilivyowekwa katika Isaya sura ya ishirini na nane. Mbinu ya mstari juu ya mstari ndiyo njia ya Mungu aliyoiweka kwa ajili ya kujifunza Biblia, na kwa hiyo kuikataa mbinu hiyo si tu kuikataa ujumbe unaowakilishwa kupitia matumizi ya mstari juu ya mstari, hapa kidogo na pale kidogo, bali pia ni kumkataa Mtoaji wa mbinu hiyo.</w:t>
      </w:r>
    </w:p>
    <w:p>
      <w:pPr>
        <w:pStyle w:val="ArticleBody"/>
        <w:jc w:val="left"/>
      </w:pPr>
      <w:r>
        <w:rPr>
          <w:rFonts w:ascii="Times New Roman" w:hAnsi="Times New Roman" w:eastAsia="Times New Roman" w:cs="Times New Roman"/>
        </w:rPr>
        <w:t>Ku bira parametero ispirá a revela den e proseso di prueba ku ta conduci na e sellamentu di e ciento cuarenta y cuatro mil, ta evidente ku e úniko manera pa un yu di Dios por transita pa medio di e historia unda “gloria celestial i un repetishon di e persekuashonnan di antaño ta mezclá,” ta di ta den un eksperensia unda e lus for di e trono di Dios por ser rekonosí. Mester ser rekonosí, sino ta inútil, i nos ta perdí.</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ចូរយើងកុំរង់ចាំភ្លៀងចុងក្រោយ។</w:t>
      </w:r>
      <w:r>
        <w:rPr>
          <w:rFonts w:ascii="Times New Roman" w:hAnsi="Times New Roman" w:eastAsia="Times New Roman" w:cs="Times New Roman"/>
        </w:rPr>
        <w:t xml:space="preserve"> </w:t>
      </w:r>
      <w:r>
        <w:rPr>
          <w:rFonts w:ascii="Leelawadee UI" w:hAnsi="Leelawadee UI" w:eastAsia="Leelawadee UI" w:cs="Leelawadee UI"/>
        </w:rPr>
        <w:t>វាកំពុងមកលើអស់អ្នកណាដែលនឹងទទួលស្គាល់</w:t>
      </w:r>
      <w:r>
        <w:rPr>
          <w:rFonts w:ascii="Times New Roman" w:hAnsi="Times New Roman" w:eastAsia="Times New Roman" w:cs="Times New Roman"/>
        </w:rPr>
        <w:t xml:space="preserve"> </w:t>
      </w:r>
      <w:r>
        <w:rPr>
          <w:rFonts w:ascii="Leelawadee UI" w:hAnsi="Leelawadee UI" w:eastAsia="Leelawadee UI" w:cs="Leelawadee UI"/>
        </w:rPr>
        <w:t>និងយកមកជារបស់ខ្លួននូវទឹកសន្សើម</w:t>
      </w:r>
      <w:r>
        <w:rPr>
          <w:rFonts w:ascii="Times New Roman" w:hAnsi="Times New Roman" w:eastAsia="Times New Roman" w:cs="Times New Roman"/>
        </w:rPr>
        <w:t xml:space="preserve"> </w:t>
      </w:r>
      <w:r>
        <w:rPr>
          <w:rFonts w:ascii="Leelawadee UI" w:hAnsi="Leelawadee UI" w:eastAsia="Leelawadee UI" w:cs="Leelawadee UI"/>
        </w:rPr>
        <w:t>និងភ្លៀងធ្លាក់នៃព្រះគុណដែលធ្លាក់មកលើយើង។</w:t>
      </w:r>
      <w:r>
        <w:rPr>
          <w:rFonts w:ascii="Times New Roman" w:hAnsi="Times New Roman" w:eastAsia="Times New Roman" w:cs="Times New Roman"/>
        </w:rPr>
        <w:t xml:space="preserve"> </w:t>
      </w:r>
      <w:r>
        <w:rPr>
          <w:rFonts w:ascii="Leelawadee UI" w:hAnsi="Leelawadee UI" w:eastAsia="Leelawadee UI" w:cs="Leelawadee UI"/>
        </w:rPr>
        <w:t>នៅពេលយើងប្រមូលយកបំណែកនៃពន្លឺទាំងឡាយ</w:t>
      </w:r>
      <w:r>
        <w:rPr>
          <w:rFonts w:ascii="Times New Roman" w:hAnsi="Times New Roman" w:eastAsia="Times New Roman" w:cs="Times New Roman"/>
        </w:rPr>
        <w:t xml:space="preserve"> </w:t>
      </w:r>
      <w:r>
        <w:rPr>
          <w:rFonts w:ascii="Leelawadee UI" w:hAnsi="Leelawadee UI" w:eastAsia="Leelawadee UI" w:cs="Leelawadee UI"/>
        </w:rPr>
        <w:t>នៅពេលយើងឲ្យតម្លៃដល់ព្រះមេត្តាករុណាដ៏ប្រាកដរបស់ព្រះជាម្ចាស់</w:t>
      </w:r>
      <w:r>
        <w:rPr>
          <w:rFonts w:ascii="Times New Roman" w:hAnsi="Times New Roman" w:eastAsia="Times New Roman" w:cs="Times New Roman"/>
        </w:rPr>
        <w:t xml:space="preserve"> </w:t>
      </w:r>
      <w:r>
        <w:rPr>
          <w:rFonts w:ascii="Leelawadee UI" w:hAnsi="Leelawadee UI" w:eastAsia="Leelawadee UI" w:cs="Leelawadee UI"/>
        </w:rPr>
        <w:t>ដែលទ្រង់ពេញព្រះទ័យឲ្យយើងទុកចិត្តលើទ្រង់</w:t>
      </w:r>
      <w:r>
        <w:rPr>
          <w:rFonts w:ascii="Times New Roman" w:hAnsi="Times New Roman" w:eastAsia="Times New Roman" w:cs="Times New Roman"/>
        </w:rPr>
        <w:t xml:space="preserve"> </w:t>
      </w:r>
      <w:r>
        <w:rPr>
          <w:rFonts w:ascii="Leelawadee UI" w:hAnsi="Leelawadee UI" w:eastAsia="Leelawadee UI" w:cs="Leelawadee UI"/>
        </w:rPr>
        <w:t>នោះគ្រប់ទាំងព្រះបន្ទូលសន្យានឹងបានសម្រេច។</w:t>
      </w:r>
      <w:r>
        <w:rPr>
          <w:rFonts w:ascii="Times New Roman" w:hAnsi="Times New Roman" w:eastAsia="Times New Roman" w:cs="Times New Roman"/>
        </w:rPr>
        <w:t xml:space="preserve"> [</w:t>
      </w:r>
      <w:r>
        <w:rPr>
          <w:rFonts w:ascii="Leelawadee UI" w:hAnsi="Leelawadee UI" w:eastAsia="Leelawadee UI" w:cs="Leelawadee UI"/>
        </w:rPr>
        <w:t>ដកស្រង់</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61:11.] </w:t>
      </w:r>
      <w:r>
        <w:rPr>
          <w:rFonts w:ascii="Leelawadee UI" w:hAnsi="Leelawadee UI" w:eastAsia="Leelawadee UI" w:cs="Leelawadee UI"/>
        </w:rPr>
        <w:t>ផែនដីទាំងមូលត្រូវតែពេញដោយសិរីល្អរបស់ព្រះជាម្ចាស់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Seventh-day Adventist Bible Commentary, volume 7, 984.</w:t>
      </w:r>
    </w:p>
    <w:p>
      <w:pPr>
        <w:pStyle w:val="ArticleBody"/>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बौछारों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अपरिमित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En terminant cet article, le point que je souhaite mettre en évidence concerne le but du temps d’épreuve dans lequel nous nous trouvons maintenant. Si nous devons « marcher dans la lumière qui procède du trône de Dieu » au temps où les persécutions du passé se répètent, il nous faudra maîtriser la Parole prophétique avant que la crise n’éclate.</w:t>
      </w:r>
    </w:p>
    <w:p>
      <w:pPr>
        <w:pStyle w:val="ArticleBody"/>
        <w:jc w:val="left"/>
      </w:pPr>
      <w:r>
        <w:rPr>
          <w:rFonts w:ascii="Times New Roman" w:hAnsi="Times New Roman" w:eastAsia="Times New Roman" w:cs="Times New Roman"/>
        </w:rPr>
        <w:t>Ɓeŋ yisire ɓe taƴe ɗee, Daniel e yimɓe tati ɓe waɗi ndon ɓurɓe ɓeydude jangirde maɓɓe haa nde ɓe naati ngam ƴeewde yeeso Nebukadnezzar. Nder balɗe cappan, Almasiihu udditani anndal taalibaaɓe ɗee Wolde Annabaaku nde woni nder Deftere, ko ndee waɗi e yeeso balɗe sappo ɗin kañum taalibaaɓe ɗee ɓeydiri gooto e hakkille gooto. Kono ɗon Pentekost waɗi, ɗum woni misaalu ɗo ɗonii ndee sariyanke Alahad.</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अबेदनगो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अतिरिक्त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विश्वासयोग्यता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दर्शी</w:t>
      </w:r>
      <w:r>
        <w:rPr>
          <w:rFonts w:ascii="Times New Roman" w:hAnsi="Times New Roman" w:eastAsia="Times New Roman" w:cs="Times New Roman"/>
        </w:rPr>
        <w:t xml:space="preserve"> </w:t>
      </w:r>
      <w:r>
        <w:rPr>
          <w:rFonts w:ascii="Nirmala UI" w:hAnsi="Nirmala UI" w:eastAsia="Nirmala UI" w:cs="Nirmala UI"/>
        </w:rPr>
        <w:t>आगन्तुक</w:t>
      </w:r>
      <w:r>
        <w:rPr>
          <w:rFonts w:ascii="Times New Roman" w:hAnsi="Times New Roman" w:eastAsia="Times New Roman" w:cs="Times New Roman"/>
        </w:rPr>
        <w:t xml:space="preserve"> </w:t>
      </w:r>
      <w:r>
        <w:rPr>
          <w:rFonts w:ascii="Nirmala UI" w:hAnsi="Nirmala UI" w:eastAsia="Nirmala UI" w:cs="Nirmala UI"/>
        </w:rPr>
        <w:t>गणमान्यों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ज्ञात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MS Gothic" w:hAnsi="MS Gothic" w:eastAsia="MS Gothic" w:cs="MS Gothic"/>
        </w:rPr>
        <w:t>この</w:t>
      </w:r>
      <w:r>
        <w:rPr>
          <w:rFonts w:ascii="Microsoft YaHei" w:hAnsi="Microsoft YaHei" w:eastAsia="Microsoft YaHei" w:cs="Microsoft YaHei"/>
        </w:rPr>
        <w:t>考察</w:t>
      </w:r>
      <w:r>
        <w:rPr>
          <w:rFonts w:ascii="MS Gothic" w:hAnsi="MS Gothic" w:eastAsia="MS Gothic" w:cs="MS Gothic"/>
        </w:rPr>
        <w:t>は</w:t>
      </w:r>
      <w:r>
        <w:rPr>
          <w:rFonts w:ascii="Microsoft YaHei" w:hAnsi="Microsoft YaHei" w:eastAsia="Microsoft YaHei" w:cs="Microsoft YaHei"/>
        </w:rPr>
        <w:t>次</w:t>
      </w:r>
      <w:r>
        <w:rPr>
          <w:rFonts w:ascii="MS Gothic" w:hAnsi="MS Gothic" w:eastAsia="MS Gothic" w:cs="MS Gothic"/>
        </w:rPr>
        <w:t>の</w:t>
      </w:r>
      <w:r>
        <w:rPr>
          <w:rFonts w:ascii="Microsoft YaHei" w:hAnsi="Microsoft YaHei" w:eastAsia="Microsoft YaHei" w:cs="Microsoft YaHei"/>
        </w:rPr>
        <w:t>記事</w:t>
      </w:r>
      <w:r>
        <w:rPr>
          <w:rFonts w:ascii="MS Gothic" w:hAnsi="MS Gothic" w:eastAsia="MS Gothic" w:cs="MS Gothic"/>
        </w:rPr>
        <w:t>で</w:t>
      </w:r>
      <w:r>
        <w:rPr>
          <w:rFonts w:ascii="Microsoft YaHei" w:hAnsi="Microsoft YaHei" w:eastAsia="Microsoft YaHei" w:cs="Microsoft YaHei"/>
        </w:rPr>
        <w:t>続</w:t>
      </w:r>
      <w:r>
        <w:rPr>
          <w:rFonts w:ascii="MS Gothic" w:hAnsi="MS Gothic" w:eastAsia="MS Gothic" w:cs="MS Gothic"/>
        </w:rPr>
        <w:t>けることにする</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trois</dc:title>
  <dc:subject>Dimanche Law ak Vwayaj Pwofetik la: Soti nan Patriot Act rive nan Dènye Eprèv la</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