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 n’ai pas reçu le texte à traduire. Veuillez envoyer le passage complet en anglais.</w:t>
      </w:r>
    </w:p>
    <w:p>
      <w:pPr>
        <w:pStyle w:val="ArticleSubtitle"/>
        <w:jc w:val="left"/>
      </w:pPr>
      <w:r>
        <w:rPr>
          <w:rFonts w:ascii="Arial" w:hAnsi="Arial" w:eastAsia="Arial" w:cs="Arial"/>
        </w:rPr>
        <w:t>Rafraîchir les quatre premiers articles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Leelawadee UI" w:hAnsi="Leelawadee UI" w:eastAsia="Leelawadee UI" w:cs="Leelawadee UI"/>
        </w:rPr>
        <w:t>យើងត្រឡប់មកកំណត់អត្តសញ្ញាណប្រវត្តិសាស្ត្រដែលលាក់កំបាំងនៃខទីសែសិបវិញ</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វាហាក់ដូចជាសមគួរដំបូងបង្អស់ក្នុងការពិនិត្យឡើងវិញនូវមូលដ្ឋានគ្រឹះនៃអត្ថបទបួនដំបូងក្នុងស៊េរីនេះ។</w:t>
      </w:r>
      <w:r>
        <w:rPr>
          <w:rFonts w:ascii="Times New Roman" w:hAnsi="Times New Roman" w:eastAsia="Times New Roman" w:cs="Times New Roman"/>
        </w:rPr>
        <w:t xml:space="preserve"> </w:t>
      </w:r>
      <w:r>
        <w:rPr>
          <w:rFonts w:ascii="Leelawadee UI" w:hAnsi="Leelawadee UI" w:eastAsia="Leelawadee UI" w:cs="Leelawadee UI"/>
        </w:rPr>
        <w:t>អត្ថបទទីមួយក្នុងចំណោមអត្ថបទបួននៃស៊េរីនេះបានបង្ហាញការបកស្រាយតាមព្យាករណ៍មួយ</w:t>
      </w:r>
      <w:r>
        <w:rPr>
          <w:rFonts w:ascii="Times New Roman" w:hAnsi="Times New Roman" w:eastAsia="Times New Roman" w:cs="Times New Roman"/>
        </w:rPr>
        <w:t xml:space="preserve"> </w:t>
      </w:r>
      <w:r>
        <w:rPr>
          <w:rFonts w:ascii="Leelawadee UI" w:hAnsi="Leelawadee UI" w:eastAsia="Leelawadee UI" w:cs="Leelawadee UI"/>
        </w:rPr>
        <w:t>ដោយបង្ហាញព្រះគ្រីស្ទថាជាសិង្ហនៃកុលសម្ព័ន្ធយូដា</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Alpha and Omega) </w:t>
      </w:r>
      <w:r>
        <w:rPr>
          <w:rFonts w:ascii="Leelawadee UI" w:hAnsi="Leelawadee UI" w:eastAsia="Leelawadee UI" w:cs="Leelawadee UI"/>
        </w:rPr>
        <w:t>ដែលទ្រង់បើកត្រាផ្នែកខ្លះៗនៃដានីយ៉ែលជំពូកដប់មួយ</w:t>
      </w:r>
      <w:r>
        <w:rPr>
          <w:rFonts w:ascii="Times New Roman" w:hAnsi="Times New Roman" w:eastAsia="Times New Roman" w:cs="Times New Roman"/>
        </w:rPr>
        <w:t xml:space="preserve"> </w:t>
      </w:r>
      <w:r>
        <w:rPr>
          <w:rFonts w:ascii="Leelawadee UI" w:hAnsi="Leelawadee UI" w:eastAsia="Leelawadee UI" w:cs="Leelawadee UI"/>
        </w:rPr>
        <w:t>នៅពេលវេលាសំខាន់ៗ</w:t>
      </w:r>
      <w:r>
        <w:rPr>
          <w:rFonts w:ascii="Times New Roman" w:hAnsi="Times New Roman" w:eastAsia="Times New Roman" w:cs="Times New Roman"/>
        </w:rPr>
        <w:t xml:space="preserve"> </w:t>
      </w:r>
      <w:r>
        <w:rPr>
          <w:rFonts w:ascii="Leelawadee UI" w:hAnsi="Leelawadee UI" w:eastAsia="Leelawadee UI" w:cs="Leelawadee UI"/>
        </w:rPr>
        <w:t>ដើម្បីដឹកនាំចលនាកំណែទម្រង់ចុងក្រោយនៃមនុស្ស</w:t>
      </w:r>
      <w:r>
        <w:rPr>
          <w:rFonts w:ascii="Times New Roman" w:hAnsi="Times New Roman" w:eastAsia="Times New Roman" w:cs="Times New Roman"/>
        </w:rPr>
        <w:t xml:space="preserve"> 144,000 </w:t>
      </w:r>
      <w:r>
        <w:rPr>
          <w:rFonts w:ascii="Leelawadee UI" w:hAnsi="Leelawadee UI" w:eastAsia="Leelawadee UI" w:cs="Leelawadee UI"/>
        </w:rPr>
        <w:t>នាក់។</w:t>
      </w:r>
      <w:r>
        <w:rPr>
          <w:rFonts w:ascii="Times New Roman" w:hAnsi="Times New Roman" w:eastAsia="Times New Roman" w:cs="Times New Roman"/>
        </w:rPr>
        <w:t xml:space="preserve"> </w:t>
      </w:r>
      <w:r>
        <w:rPr>
          <w:rFonts w:ascii="Leelawadee UI" w:hAnsi="Leelawadee UI" w:eastAsia="Leelawadee UI" w:cs="Leelawadee UI"/>
        </w:rPr>
        <w:t>វាបញ្ជាក់ថា</w:t>
      </w:r>
      <w:r>
        <w:rPr>
          <w:rFonts w:ascii="Times New Roman" w:hAnsi="Times New Roman" w:eastAsia="Times New Roman" w:cs="Times New Roman"/>
        </w:rPr>
        <w:t xml:space="preserve"> </w:t>
      </w:r>
      <w:r>
        <w:rPr>
          <w:rFonts w:ascii="Leelawadee UI" w:hAnsi="Leelawadee UI" w:eastAsia="Leelawadee UI" w:cs="Leelawadee UI"/>
        </w:rPr>
        <w:t>ប្រវត្តិសាស្ត្រនៃទេវតាទីមួយ</w:t>
      </w:r>
      <w:r>
        <w:rPr>
          <w:rFonts w:ascii="Times New Roman" w:hAnsi="Times New Roman" w:eastAsia="Times New Roman" w:cs="Times New Roman"/>
        </w:rPr>
        <w:t xml:space="preserve"> </w:t>
      </w:r>
      <w:r>
        <w:rPr>
          <w:rFonts w:ascii="Leelawadee UI" w:hAnsi="Leelawadee UI" w:eastAsia="Leelawadee UI" w:cs="Leelawadee UI"/>
        </w:rPr>
        <w:t>និងទេវតាទីពីរ</w:t>
      </w:r>
      <w:r>
        <w:rPr>
          <w:rFonts w:ascii="Times New Roman" w:hAnsi="Times New Roman" w:eastAsia="Times New Roman" w:cs="Times New Roman"/>
        </w:rPr>
        <w:t xml:space="preserve"> </w:t>
      </w:r>
      <w:r>
        <w:rPr>
          <w:rFonts w:ascii="Leelawadee UI" w:hAnsi="Leelawadee UI" w:eastAsia="Leelawadee UI" w:cs="Leelawadee UI"/>
        </w:rPr>
        <w:t>ស្របគ្នានឹងប្រវត្តិសាស្ត្រនៃសាររបស់ទេវតាទីបី</w:t>
      </w:r>
      <w:r>
        <w:rPr>
          <w:rFonts w:ascii="Times New Roman" w:hAnsi="Times New Roman" w:eastAsia="Times New Roman" w:cs="Times New Roman"/>
        </w:rPr>
        <w:t xml:space="preserve"> </w:t>
      </w:r>
      <w:r>
        <w:rPr>
          <w:rFonts w:ascii="Leelawadee UI" w:hAnsi="Leelawadee UI" w:eastAsia="Leelawadee UI" w:cs="Leelawadee UI"/>
        </w:rPr>
        <w:t>ដូច្នេះហើយបានកំណត់ថា</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1989 (</w:t>
      </w:r>
      <w:r>
        <w:rPr>
          <w:rFonts w:ascii="Leelawadee UI" w:hAnsi="Leelawadee UI" w:eastAsia="Leelawadee UI" w:cs="Leelawadee UI"/>
        </w:rPr>
        <w:t>១២៦</w:t>
      </w:r>
      <w:r>
        <w:rPr>
          <w:rFonts w:ascii="Times New Roman" w:hAnsi="Times New Roman" w:eastAsia="Times New Roman" w:cs="Times New Roman"/>
        </w:rPr>
        <w:t xml:space="preserve"> </w:t>
      </w:r>
      <w:r>
        <w:rPr>
          <w:rFonts w:ascii="Leelawadee UI" w:hAnsi="Leelawadee UI" w:eastAsia="Leelawadee UI" w:cs="Leelawadee UI"/>
        </w:rPr>
        <w:t>ឆ្នាំបន្ទាប់ពីការបះបោរអាដវេនទីស្តឆ្នាំ</w:t>
      </w:r>
      <w:r>
        <w:rPr>
          <w:rFonts w:ascii="Times New Roman" w:hAnsi="Times New Roman" w:eastAsia="Times New Roman" w:cs="Times New Roman"/>
        </w:rPr>
        <w:t xml:space="preserve"> 1863) </w:t>
      </w:r>
      <w:r>
        <w:rPr>
          <w:rFonts w:ascii="Leelawadee UI" w:hAnsi="Leelawadee UI" w:eastAsia="Leelawadee UI" w:cs="Leelawadee UI"/>
        </w:rPr>
        <w:t>សិង្ហបានបើកត្រាដានីយ៉ែល</w:t>
      </w:r>
      <w:r>
        <w:rPr>
          <w:rFonts w:ascii="Times New Roman" w:hAnsi="Times New Roman" w:eastAsia="Times New Roman" w:cs="Times New Roman"/>
        </w:rPr>
        <w:t xml:space="preserve"> 11:40–45</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ខទាំងនោះដែលត្រូវបានបើកត្រា</w:t>
      </w:r>
      <w:r>
        <w:rPr>
          <w:rFonts w:ascii="Times New Roman" w:hAnsi="Times New Roman" w:eastAsia="Times New Roman" w:cs="Times New Roman"/>
        </w:rPr>
        <w:t xml:space="preserve"> </w:t>
      </w:r>
      <w:r>
        <w:rPr>
          <w:rFonts w:ascii="Leelawadee UI" w:hAnsi="Leelawadee UI" w:eastAsia="Leelawadee UI" w:cs="Leelawadee UI"/>
        </w:rPr>
        <w:t>តាមដានរបួសស្លាប់របស់អំណាចសម្តេចប៉ាបនៅឆ្នាំ</w:t>
      </w:r>
      <w:r>
        <w:rPr>
          <w:rFonts w:ascii="Times New Roman" w:hAnsi="Times New Roman" w:eastAsia="Times New Roman" w:cs="Times New Roman"/>
        </w:rPr>
        <w:t xml:space="preserve"> 1798 </w:t>
      </w:r>
      <w:r>
        <w:rPr>
          <w:rFonts w:ascii="Leelawadee UI" w:hAnsi="Leelawadee UI" w:eastAsia="Leelawadee UI" w:cs="Leelawadee UI"/>
        </w:rPr>
        <w:t>ការជាសះស្បើយរបស់វាតាមរយៈសហភាពបីមុខរវាងនាគ</w:t>
      </w:r>
      <w:r>
        <w:rPr>
          <w:rFonts w:ascii="Times New Roman" w:hAnsi="Times New Roman" w:eastAsia="Times New Roman" w:cs="Times New Roman"/>
        </w:rPr>
        <w:t xml:space="preserve"> </w:t>
      </w:r>
      <w:r>
        <w:rPr>
          <w:rFonts w:ascii="Leelawadee UI" w:hAnsi="Leelawadee UI" w:eastAsia="Leelawadee UI" w:cs="Leelawadee UI"/>
        </w:rPr>
        <w:t>សត្វសាហាវ</w:t>
      </w:r>
      <w:r>
        <w:rPr>
          <w:rFonts w:ascii="Times New Roman" w:hAnsi="Times New Roman" w:eastAsia="Times New Roman" w:cs="Times New Roman"/>
        </w:rPr>
        <w:t xml:space="preserve"> </w:t>
      </w:r>
      <w:r>
        <w:rPr>
          <w:rFonts w:ascii="Leelawadee UI" w:hAnsi="Leelawadee UI" w:eastAsia="Leelawadee UI" w:cs="Leelawadee UI"/>
        </w:rPr>
        <w:t>និងព្យាការីក្លែងក្លាយ</w:t>
      </w:r>
      <w:r>
        <w:rPr>
          <w:rFonts w:ascii="Times New Roman" w:hAnsi="Times New Roman" w:eastAsia="Times New Roman" w:cs="Times New Roman"/>
        </w:rPr>
        <w:t xml:space="preserve"> </w:t>
      </w:r>
      <w:r>
        <w:rPr>
          <w:rFonts w:ascii="Leelawadee UI" w:hAnsi="Leelawadee UI" w:eastAsia="Leelawadee UI" w:cs="Leelawadee UI"/>
        </w:rPr>
        <w:t>ដែលបន្តនាំទៅរក</w:t>
      </w:r>
      <w:r>
        <w:rPr>
          <w:rFonts w:ascii="Times New Roman" w:hAnsi="Times New Roman" w:eastAsia="Times New Roman" w:cs="Times New Roman"/>
        </w:rPr>
        <w:t xml:space="preserve"> Armageddon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ភ្នំបរិសុទ្ធដ៏រុងរឿង</w:t>
      </w:r>
      <w:r>
        <w:rPr>
          <w:rFonts w:ascii="Times New Roman" w:hAnsi="Times New Roman" w:eastAsia="Times New Roman" w:cs="Times New Roman"/>
        </w:rPr>
        <w:t xml:space="preserve">» </w:t>
      </w:r>
      <w:r>
        <w:rPr>
          <w:rFonts w:ascii="Leelawadee UI" w:hAnsi="Leelawadee UI" w:eastAsia="Leelawadee UI" w:cs="Leelawadee UI"/>
        </w:rPr>
        <w:t>នៃខទីសែសិបប្រាំ។</w:t>
      </w:r>
      <w:r>
        <w:rPr>
          <w:rFonts w:ascii="Times New Roman" w:hAnsi="Times New Roman" w:eastAsia="Times New Roman" w:cs="Times New Roman"/>
        </w:rPr>
        <w:t xml:space="preserve"> </w:t>
      </w:r>
      <w:r>
        <w:rPr>
          <w:rFonts w:ascii="Leelawadee UI" w:hAnsi="Leelawadee UI" w:eastAsia="Leelawadee UI" w:cs="Leelawadee UI"/>
        </w:rPr>
        <w:t>ខណៈដែលចលនានៃមនុស្សមួយសែនបួនម៉ឺនបួនពាន់នាក់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កាន់តែខិតជិតច្បាប់ថ្ងៃអាទិត្យដែលនឹងមកដល់ក្នុងពេលឆាប់ៗនេះនៅសហរដ្ឋអាមេរិក</w:t>
      </w:r>
      <w:r>
        <w:rPr>
          <w:rFonts w:ascii="Times New Roman" w:hAnsi="Times New Roman" w:eastAsia="Times New Roman" w:cs="Times New Roman"/>
        </w:rPr>
        <w:t xml:space="preserve"> </w:t>
      </w:r>
      <w:r>
        <w:rPr>
          <w:rFonts w:ascii="Leelawadee UI" w:hAnsi="Leelawadee UI" w:eastAsia="Leelawadee UI" w:cs="Leelawadee UI"/>
        </w:rPr>
        <w:t>ប្រវត្តិសាស្ត្រដែលលាក់កំបាំងនៃខទី</w:t>
      </w:r>
      <w:r>
        <w:rPr>
          <w:rFonts w:ascii="Times New Roman" w:hAnsi="Times New Roman" w:eastAsia="Times New Roman" w:cs="Times New Roman"/>
        </w:rPr>
        <w:t xml:space="preserve"> 40 (</w:t>
      </w:r>
      <w:r>
        <w:rPr>
          <w:rFonts w:ascii="Leelawadee UI" w:hAnsi="Leelawadee UI" w:eastAsia="Leelawadee UI" w:cs="Leelawadee UI"/>
        </w:rPr>
        <w:t>ដែលគ្របដណ្តប់ចាប់ពីឆ្នាំ</w:t>
      </w:r>
      <w:r>
        <w:rPr>
          <w:rFonts w:ascii="Times New Roman" w:hAnsi="Times New Roman" w:eastAsia="Times New Roman" w:cs="Times New Roman"/>
        </w:rPr>
        <w:t xml:space="preserve"> 1989 </w:t>
      </w:r>
      <w:r>
        <w:rPr>
          <w:rFonts w:ascii="Leelawadee UI" w:hAnsi="Leelawadee UI" w:eastAsia="Leelawadee UI" w:cs="Leelawadee UI"/>
        </w:rPr>
        <w:t>រហូតដល់ច្បាប់ថ្ងៃអាទិត្យនោះ</w:t>
      </w:r>
      <w:r>
        <w:rPr>
          <w:rFonts w:ascii="Times New Roman" w:hAnsi="Times New Roman" w:eastAsia="Times New Roman" w:cs="Times New Roman"/>
        </w:rPr>
        <w:t xml:space="preserve">) </w:t>
      </w:r>
      <w:r>
        <w:rPr>
          <w:rFonts w:ascii="Leelawadee UI" w:hAnsi="Leelawadee UI" w:eastAsia="Leelawadee UI" w:cs="Leelawadee UI"/>
        </w:rPr>
        <w:t>បានចាប់ផ្តើមត្រូវបានបើកត្រានៅខែកក្កដា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En s’appuyant sur le commentaire d’Ellen White selon lequel la partie non scellée du livre de Daniel se rapportant aux derniers jours produit un « accroissement de connaissance » qui prépare un peuple à subsister. « L’huile » est identifiée comme étant le Saint-Esprit, les messages divins et le caractère dans la parabole des dix vierges. Le descèlement a déclenché le processus d’épreuve en trois volets de Daniel 12:10, où beaucoup sont « purifiés, blanchis et éprouvés ». Cette histoire représente plusieurs points prophétiques où la prophétie a été descellée, à commencer par 1989, le 11 septembre 2001 et juillet 2023. Ces divers descèlements représentent une période allant de 1989 jusqu’au 11 septembre, la période du 11 septembre jusqu’à la loi du dimanche imminente, et la période du temps de retard depuis le 18 juillet 2020 jusqu’au 31 décembre 2023, durant laquelle le message du Cri de Minuit est progressivement descellé jusqu’à la loi du dimanche.</w:t>
      </w:r>
    </w:p>
    <w:p>
      <w:pPr>
        <w:pStyle w:val="ArticleBody"/>
        <w:jc w:val="left"/>
      </w:pPr>
      <w:r>
        <w:rPr>
          <w:rFonts w:ascii="Times New Roman" w:hAnsi="Times New Roman" w:eastAsia="Times New Roman" w:cs="Times New Roman"/>
        </w:rPr>
        <w:t>Der Kandidaten, zu den einhundertvierundvierzigtausend zu gehören, Erwachen, dargestellt durch die verdorrten Gebeine in Hesekiel 37 und durch die zwei Zeugen aus Offenbarung 11, die, mit dem Geist erfüllt, auf ihren Füßen stehen, wird durch die Entsiegelung bewirkt. Wenn Gottes Volk es versäumt, zu diesem „kostbaren Licht“ zu erwachen, das auf Gefahren wie die päpstliche Macht und das Sonntagsgesetz hinweist, werden sie durch Irrlehren gesichtet (wodurch die Spreu vom Weizen getrennt wird). Frühere prophetische Wegmarken wie der Blair Bill von 1888 und der Patriot Act werden als prophetische Warnungen ausgewiesen. Der Artikel legt dar, dass alle vorhergehenden Linien prophetischer Geschichte, die in Daniel Kapitel 11 dargestellt sind, sich in den Versen 40–45 wiederholen. Der Artikel legt dar, dass das Bild des Tieres zuerst in den Vereinigten Staaten und dann in der Welt aufgerichtet wird, vorgebildet durch 321 und das erste Sonntagsgesetz, gefolgt vom weltweiten Bild des Tieres, vorgebildet durch 538, wenn Michael sich erhebt und die Gnadenzeit endet.</w:t>
      </w:r>
    </w:p>
    <w:p>
      <w:pPr>
        <w:pStyle w:val="ArticleBody"/>
        <w:jc w:val="left"/>
      </w:pPr>
      <w:r>
        <w:rPr>
          <w:rFonts w:ascii="Times New Roman" w:hAnsi="Times New Roman" w:eastAsia="Times New Roman" w:cs="Times New Roman"/>
        </w:rPr>
        <w:t>اَلْجُزْءُ الثَّانِي مِنَ الْمَقَالَاتِ الْأَرْبَعِ يُوَاصِلُ الْإِطَارَ النَّبَوِيَّ مِنْ خِلَالِ تَعْيِينِ «قَانُونِ بَاتْرِيُوت» لِعَامِ 2001 عَلَى أَنَّهُ «تَكَلُّمُ» الْوِلَايَاتِ الْمُتَّحِدَةِ فِي إِتْمَامِ رُؤْيَا 13:11. وَكَانَ «قَانُونُ بَاتْرِيُوت» أَوَّلَ ثَلَاثَةِ تَنَكُّرَاتٍ دُسْتُورِيَّةٍ تُوَازِي الْمَعَالِمَ الثَّلَاثَ فِي بَدَايَةِ الْمَمْلَكَةِ السَّادِسَةِ مِنْ نُبُوَّةِ الْكِتَابِ الْمُقَدَّسِ؛ إِعْلَانُ الِاسْتِقْلَالِ سَنَةَ 1776، وَالدُّسْتُورُ سَنَةَ 1789، وَقَوَانِينُ الْأَجَانِبِ وَالْفِتْنَةِ سَنَةَ 1798. أَمَّا مَشْرُوعُ بْلَيْرَ الْفَاشِلُ سَنَةَ 1888، وَهُوَ مُحَاوَلَةٌ لِفَرْضِ قَانُونِ أَحَدٍ وَطَنِيٍّ، فَقَدْ سُحِبَ نَظِيرَ حِصَارِ كِسْتِيُوسَ فِي سَنَةِ 66؛ وَكِلَاهُمَا يُشِيرَانِ نَمَطِيًّا إِلَى سَنَةِ 2001، حِينَ بَدَأَ «قَانُونُ بَاتْرِيُوت» فَتْرَةَ الِاخْتِبَارِ الْخَاصَّةِ بِصُورَةِ الْوَحْشِ فِي الْوِلَايَاتِ الْمُتَّحِدَةِ. وَيَتَوَافَقُ «قَانُونُ بَاتْرِيُوت» مَعَ سَنَةِ 1776، وَقَدِ اسْتَبْدَلَ الْقَانُونَ الْعُرْفِيَّ الْإِنْجِلِيزِيَّ «الْمُتَّهَمُ بَرِيءٌ حَتَّى تَثْبُتَ إِدَانَتُهُ» بِالْقَانُونِ الْمَدَنِيِّ الرُّومَانِيِّ «الْمُتَّهَمُ مُدَانٌ حَتَّى يُثْبِتَ بَرَاءَتَهُ». أَمَّا الْمَعْلَمُ الْأَوْسَطُ، الَّذِي تُمَثِّلُهُ سَنَةُ 1789—وَمُحَاكَمَاتُ بِلُوسِي الَّتِي ابْتَدَأَتْ فِي يَنَايِرَ 2022—فَقَدْ دَاسَ الضَّمَانَاتِ الْإِجْرَائِيَّةَ وَالْمَوْضُوعِيَّةَ لِلْأُصُولِ الْقَانُونِيَّةِ الْوَاجِبَةِ مِنْ خِلَالِ الْمُحَارَبَةِ الْقَانُونِيَّةِ السِّيَاسِيَّةِ، وَعَمَلِيَّاتِ الرَّايَاتِ الزَّائِفَةِ، وَفَسَادِ الْوَكَالَاتِ، مُنْكِرًا عَلَنًا الْحُقُوقَ الْأَسَاسِيَّةَ. وَهَذِهِ الْمَعَالِمُ الثَّلَاثَةُ لِـ«التَّكَلُّمِ» فِي «قَانُونِ بَاتْرِيُوت» سَنَةَ 2001، وَ«مُحَاكَمَاتِ بِلُوسِي» سَنَةَ 2022، وَقَانُونِ الْأَحَدِ الْآتِي، تَتَنَكَّرُ تَدْرِيجِيًّا لِكُلِّ مَبْدَإٍ مِنْ مَبَادِئِ دُسْتُورِ الْوِلَايَاتِ الْمُتَّحِدَةِ.</w:t>
      </w:r>
    </w:p>
    <w:p>
      <w:pPr>
        <w:pStyle w:val="ArticleBody"/>
        <w:jc w:val="left"/>
      </w:pPr>
      <w:r>
        <w:rPr>
          <w:rFonts w:ascii="Times New Roman" w:hAnsi="Times New Roman" w:eastAsia="Times New Roman" w:cs="Times New Roman"/>
        </w:rPr>
        <w:t>Ensuite, le protestantisme unit ses mains à la papauté et au spiritisme dans la triple union; alors les États-Unis parlent comme un dragon, forment pleinement l’image de la bête, remplissent leur coupe de probation et cessent d’être le sixième royaume. L’apostasie nationale est alors suivie de la ruine nationale. Le fait de parler au moment de la loi du dimanche est typifié par le commencement et la première loi dominicale de Constantin en 321, puis l’achèvement et la dernière loi dominicale sont représentés par 538.</w:t>
      </w:r>
    </w:p>
    <w:p>
      <w:pPr>
        <w:pStyle w:val="ArticleBody"/>
        <w:jc w:val="left"/>
      </w:pPr>
      <w:r>
        <w:rPr>
          <w:rFonts w:ascii="Times New Roman" w:hAnsi="Times New Roman" w:eastAsia="Times New Roman" w:cs="Times New Roman"/>
        </w:rPr>
        <w:t>Tout cela est caché dans l’histoire prophétique de Daniel 11:40, qui est parallèle à la ligne millérite ainsi qu’à la ligne allant du Christ à la croix. Apocalypse 12:15–16 présente la Constitution comme la « terre » qui engloutit autrefois le fleuve de persécution du dragon, mais qui, en définitive, parlera comme le dragon lors de la loi dominicale bientôt à venir. L’avertissement d’Ellen White dans Testimonies, volume 5 (pages 711 et 451, 452), selon lequel toute législation religieuse qui fait des concessions à la papauté, et que la loi dominicale révélera l’esprit du dragon, confirme que les trois étapes de 1776, 1789 et 1798 sont des balises prophétiques qui préfigurent le processus final d’épreuve en trois étapes, lequel s’achève à l’épreuve finale; et ce processus d’épreuve est ce qui prépare le peuple de Dieu à tenir ferme.</w:t>
      </w:r>
    </w:p>
    <w:p>
      <w:pPr>
        <w:pStyle w:val="ArticleBody"/>
        <w:jc w:val="left"/>
      </w:pPr>
      <w:r>
        <w:rPr>
          <w:rFonts w:ascii="Nirmala UI" w:hAnsi="Nirmala UI" w:eastAsia="Nirmala UI" w:cs="Nirmala UI"/>
        </w:rPr>
        <w:t>ਮੁੱਦੇ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Ellen White </w:t>
      </w:r>
      <w:r>
        <w:rPr>
          <w:rFonts w:ascii="Nirmala UI" w:hAnsi="Nirmala UI" w:eastAsia="Nirmala UI" w:cs="Nirmala UI"/>
        </w:rPr>
        <w:t>ਦੀਆਂ</w:t>
      </w:r>
      <w:r>
        <w:rPr>
          <w:rFonts w:ascii="Times New Roman" w:hAnsi="Times New Roman" w:eastAsia="Times New Roman" w:cs="Times New Roman"/>
        </w:rPr>
        <w:t xml:space="preserve"> *Testimonies*, volume 5, pages 451, 452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ਦਿੱਤੀਆਂ</w:t>
      </w:r>
      <w:r>
        <w:rPr>
          <w:rFonts w:ascii="Times New Roman" w:hAnsi="Times New Roman" w:eastAsia="Times New Roman" w:cs="Times New Roman"/>
        </w:rPr>
        <w:t xml:space="preserve"> </w:t>
      </w:r>
      <w:r>
        <w:rPr>
          <w:rFonts w:ascii="Nirmala UI" w:hAnsi="Nirmala UI" w:eastAsia="Nirmala UI" w:cs="Nirmala UI"/>
        </w:rPr>
        <w:t>ਚੇਤਾਵਨੀਆਂ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ਵਿਸਥਾਰ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ਦਾਅਵਾ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Sunday law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ਪਲ</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ਧਰਮਿਕਤਾ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ਤੋੜ</w:t>
      </w:r>
      <w:r>
        <w:rPr>
          <w:rFonts w:ascii="Times New Roman" w:hAnsi="Times New Roman" w:eastAsia="Times New Roman" w:cs="Times New Roman"/>
        </w:rPr>
        <w:t xml:space="preserve"> </w:t>
      </w:r>
      <w:r>
        <w:rPr>
          <w:rFonts w:ascii="Nirmala UI" w:hAnsi="Nirmala UI" w:eastAsia="Nirmala UI" w:cs="Nirmala UI"/>
        </w:rPr>
        <w:t>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ਤਿਹਰੇ</w:t>
      </w:r>
      <w:r>
        <w:rPr>
          <w:rFonts w:ascii="Times New Roman" w:hAnsi="Times New Roman" w:eastAsia="Times New Roman" w:cs="Times New Roman"/>
        </w:rPr>
        <w:t xml:space="preserve"> </w:t>
      </w:r>
      <w:r>
        <w:rPr>
          <w:rFonts w:ascii="Nirmala UI" w:hAnsi="Nirmala UI" w:eastAsia="Nirmala UI" w:cs="Nirmala UI"/>
        </w:rPr>
        <w:t>ਏਕਤਾਪਨ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(Protestantism </w:t>
      </w:r>
      <w:r>
        <w:rPr>
          <w:rFonts w:ascii="Nirmala UI" w:hAnsi="Nirmala UI" w:eastAsia="Nirmala UI" w:cs="Nirmala UI"/>
        </w:rPr>
        <w:t>ਦਾ</w:t>
      </w:r>
      <w:r>
        <w:rPr>
          <w:rFonts w:ascii="Times New Roman" w:hAnsi="Times New Roman" w:eastAsia="Times New Roman" w:cs="Times New Roman"/>
        </w:rPr>
        <w:t xml:space="preserve"> Romanism </w:t>
      </w:r>
      <w:r>
        <w:rPr>
          <w:rFonts w:ascii="Nirmala UI" w:hAnsi="Nirmala UI" w:eastAsia="Nirmala UI" w:cs="Nirmala UI"/>
        </w:rPr>
        <w:t>ਅਤੇ</w:t>
      </w:r>
      <w:r>
        <w:rPr>
          <w:rFonts w:ascii="Times New Roman" w:hAnsi="Times New Roman" w:eastAsia="Times New Roman" w:cs="Times New Roman"/>
        </w:rPr>
        <w:t xml:space="preserve"> spiritualism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ਮਿਲਾਉਣਾ</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Protestant </w:t>
      </w:r>
      <w:r>
        <w:rPr>
          <w:rFonts w:ascii="Nirmala UI" w:hAnsi="Nirmala UI" w:eastAsia="Nirmala UI" w:cs="Nirmala UI"/>
        </w:rPr>
        <w:t>ਅਤੇ</w:t>
      </w:r>
      <w:r>
        <w:rPr>
          <w:rFonts w:ascii="Times New Roman" w:hAnsi="Times New Roman" w:eastAsia="Times New Roman" w:cs="Times New Roman"/>
        </w:rPr>
        <w:t xml:space="preserve"> republican </w:t>
      </w:r>
      <w:r>
        <w:rPr>
          <w:rFonts w:ascii="Nirmala UI" w:hAnsi="Nirmala UI" w:eastAsia="Nirmala UI" w:cs="Nirmala UI"/>
        </w:rPr>
        <w:t>ਸਰਕਾਰ</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ਸੰਵਿਧਾਨਕ</w:t>
      </w:r>
      <w:r>
        <w:rPr>
          <w:rFonts w:ascii="Times New Roman" w:hAnsi="Times New Roman" w:eastAsia="Times New Roman" w:cs="Times New Roman"/>
        </w:rPr>
        <w:t xml:space="preserve"> </w:t>
      </w:r>
      <w:r>
        <w:rPr>
          <w:rFonts w:ascii="Nirmala UI" w:hAnsi="Nirmala UI" w:eastAsia="Nirmala UI" w:cs="Nirmala UI"/>
        </w:rPr>
        <w:t>ਸਿਧਾਂਤ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ਖੰਡਨ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papal </w:t>
      </w:r>
      <w:r>
        <w:rPr>
          <w:rFonts w:ascii="Nirmala UI" w:hAnsi="Nirmala UI" w:eastAsia="Nirmala UI" w:cs="Nirmala UI"/>
        </w:rPr>
        <w:t>ਭਰਮਾਂ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ਪ੍ਰਚਾਰ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ਸਹਿਨਸ਼ੀਲਤਾ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ਪਿਆਲੇ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ਭਰਦਿਆਂ</w:t>
      </w:r>
      <w:r>
        <w:rPr>
          <w:rFonts w:ascii="Times New Roman" w:hAnsi="Times New Roman" w:eastAsia="Times New Roman" w:cs="Times New Roman"/>
        </w:rPr>
        <w:t xml:space="preserve">, </w:t>
      </w:r>
      <w:r>
        <w:rPr>
          <w:rFonts w:ascii="Nirmala UI" w:hAnsi="Nirmala UI" w:eastAsia="Nirmala UI" w:cs="Nirmala UI"/>
        </w:rPr>
        <w:t>ਦਇਆ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ਪ੍ਰਸਥਾਨ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ਉਤਪ੍ਰੇਰਿਤ</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ਪੰਜਵੇਂ</w:t>
      </w:r>
      <w:r>
        <w:rPr>
          <w:rFonts w:ascii="Times New Roman" w:hAnsi="Times New Roman" w:eastAsia="Times New Roman" w:cs="Times New Roman"/>
        </w:rPr>
        <w:t xml:space="preserve"> </w:t>
      </w:r>
      <w:r>
        <w:rPr>
          <w:rFonts w:ascii="Nirmala UI" w:hAnsi="Nirmala UI" w:eastAsia="Nirmala UI" w:cs="Nirmala UI"/>
        </w:rPr>
        <w:t>ਮੁਹਰ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ਸ਼ਹੀਦਾਂ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ਪੁਕਾਰ</w:t>
      </w:r>
      <w:r>
        <w:rPr>
          <w:rFonts w:ascii="Times New Roman" w:hAnsi="Times New Roman" w:eastAsia="Times New Roman" w:cs="Times New Roman"/>
        </w:rPr>
        <w:t xml:space="preserve">, “How long?”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papal </w:t>
      </w:r>
      <w:r>
        <w:rPr>
          <w:rFonts w:ascii="Nirmala UI" w:hAnsi="Nirmala UI" w:eastAsia="Nirmala UI" w:cs="Nirmala UI"/>
        </w:rPr>
        <w:t>ਸ਼ਹੀਦਾਂ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ਸਮੂਹ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“Sunday movement” </w:t>
      </w:r>
      <w:r>
        <w:rPr>
          <w:rFonts w:ascii="Nirmala UI" w:hAnsi="Nirmala UI" w:eastAsia="Nirmala UI" w:cs="Nirmala UI"/>
        </w:rPr>
        <w:t>ਬੋਲਦੀ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ਆਧੁਨਿਕ</w:t>
      </w:r>
      <w:r>
        <w:rPr>
          <w:rFonts w:ascii="Times New Roman" w:hAnsi="Times New Roman" w:eastAsia="Times New Roman" w:cs="Times New Roman"/>
        </w:rPr>
        <w:t xml:space="preserve"> “abomination of desolation”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ਸੇਵਾ</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Daniel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ਹਵਾਲਾ</w:t>
      </w:r>
      <w:r>
        <w:rPr>
          <w:rFonts w:ascii="Times New Roman" w:hAnsi="Times New Roman" w:eastAsia="Times New Roman" w:cs="Times New Roman"/>
        </w:rPr>
        <w:t xml:space="preserve"> Christ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Sunday law </w:t>
      </w:r>
      <w:r>
        <w:rPr>
          <w:rFonts w:ascii="Nirmala UI" w:hAnsi="Nirmala UI" w:eastAsia="Nirmala UI" w:cs="Nirmala UI"/>
        </w:rPr>
        <w:t>ਸੰਵਿਧਾਨ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ਕ੍ਰਮਿਕ</w:t>
      </w:r>
      <w:r>
        <w:rPr>
          <w:rFonts w:ascii="Times New Roman" w:hAnsi="Times New Roman" w:eastAsia="Times New Roman" w:cs="Times New Roman"/>
        </w:rPr>
        <w:t xml:space="preserve"> </w:t>
      </w:r>
      <w:r>
        <w:rPr>
          <w:rFonts w:ascii="Nirmala UI" w:hAnsi="Nirmala UI" w:eastAsia="Nirmala UI" w:cs="Nirmala UI"/>
        </w:rPr>
        <w:t>ਖੰਡਨ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ਨਿਸਕਰਸ਼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2001 </w:t>
      </w:r>
      <w:r>
        <w:rPr>
          <w:rFonts w:ascii="Nirmala UI" w:hAnsi="Nirmala UI" w:eastAsia="Nirmala UI" w:cs="Nirmala UI"/>
        </w:rPr>
        <w:t>ਵਿੱਚ</w:t>
      </w:r>
      <w:r>
        <w:rPr>
          <w:rFonts w:ascii="Times New Roman" w:hAnsi="Times New Roman" w:eastAsia="Times New Roman" w:cs="Times New Roman"/>
        </w:rPr>
        <w:t xml:space="preserve"> Patriot Act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1888 </w:t>
      </w:r>
      <w:r>
        <w:rPr>
          <w:rFonts w:ascii="Nirmala UI" w:hAnsi="Nirmala UI" w:eastAsia="Nirmala UI" w:cs="Nirmala UI"/>
        </w:rPr>
        <w:t>ਦੇ</w:t>
      </w:r>
      <w:r>
        <w:rPr>
          <w:rFonts w:ascii="Times New Roman" w:hAnsi="Times New Roman" w:eastAsia="Times New Roman" w:cs="Times New Roman"/>
        </w:rPr>
        <w:t xml:space="preserve"> Blair Bills, Cestius </w:t>
      </w:r>
      <w:r>
        <w:rPr>
          <w:rFonts w:ascii="Nirmala UI" w:hAnsi="Nirmala UI" w:eastAsia="Nirmala UI" w:cs="Nirmala UI"/>
        </w:rPr>
        <w:t>ਦੀ</w:t>
      </w:r>
      <w:r>
        <w:rPr>
          <w:rFonts w:ascii="Times New Roman" w:hAnsi="Times New Roman" w:eastAsia="Times New Roman" w:cs="Times New Roman"/>
        </w:rPr>
        <w:t xml:space="preserve"> 66 AD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ਘੇਰਾਬੰਦੀ</w:t>
      </w:r>
      <w:r>
        <w:rPr>
          <w:rFonts w:ascii="Times New Roman" w:hAnsi="Times New Roman" w:eastAsia="Times New Roman" w:cs="Times New Roman"/>
        </w:rPr>
        <w:t xml:space="preserve">, Christ </w:t>
      </w:r>
      <w:r>
        <w:rPr>
          <w:rFonts w:ascii="Nirmala UI" w:hAnsi="Nirmala UI" w:eastAsia="Nirmala UI" w:cs="Nirmala UI"/>
        </w:rPr>
        <w:t>ਦਾ</w:t>
      </w:r>
      <w:r>
        <w:rPr>
          <w:rFonts w:ascii="Times New Roman" w:hAnsi="Times New Roman" w:eastAsia="Times New Roman" w:cs="Times New Roman"/>
        </w:rPr>
        <w:t xml:space="preserve"> baptism, August 11, 1840 </w:t>
      </w:r>
      <w:r>
        <w:rPr>
          <w:rFonts w:ascii="Nirmala UI" w:hAnsi="Nirmala UI" w:eastAsia="Nirmala UI" w:cs="Nirmala UI"/>
        </w:rPr>
        <w:t>ਅਤੇ</w:t>
      </w:r>
      <w:r>
        <w:rPr>
          <w:rFonts w:ascii="Times New Roman" w:hAnsi="Times New Roman" w:eastAsia="Times New Roman" w:cs="Times New Roman"/>
        </w:rPr>
        <w:t xml:space="preserve"> The Declaration of Independence </w:t>
      </w:r>
      <w:r>
        <w:rPr>
          <w:rFonts w:ascii="Nirmala UI" w:hAnsi="Nirmala UI" w:eastAsia="Nirmala UI" w:cs="Nirmala UI"/>
        </w:rPr>
        <w:t>ਹਨ</w:t>
      </w:r>
      <w:r>
        <w:rPr>
          <w:rFonts w:ascii="Times New Roman" w:hAnsi="Times New Roman" w:eastAsia="Times New Roman" w:cs="Times New Roman"/>
        </w:rPr>
        <w:t>)</w:t>
      </w:r>
      <w:r>
        <w:rPr>
          <w:rFonts w:ascii="Nirmala UI" w:hAnsi="Nirmala UI" w:eastAsia="Nirmala UI" w:cs="Nirmala UI"/>
        </w:rPr>
        <w:t>।</w:t>
      </w:r>
    </w:p>
    <w:p>
      <w:pPr>
        <w:pStyle w:val="ArticleBody"/>
        <w:jc w:val="left"/>
      </w:pPr>
      <w:r>
        <w:rPr>
          <w:rFonts w:ascii="Times New Roman" w:hAnsi="Times New Roman" w:eastAsia="Times New Roman" w:cs="Times New Roman"/>
        </w:rPr>
        <w:t>Невозможно выполнить перевод, потому что не указан целевой язык: «ff» неоднозначно. Пожалуйста, уточните, на какой язык нужно перевести текст.</w:t>
      </w:r>
    </w:p>
    <w:p>
      <w:pPr>
        <w:pStyle w:val="ArticleBody"/>
        <w:jc w:val="left"/>
      </w:pPr>
      <w:r>
        <w:rPr>
          <w:rFonts w:ascii="Ebrima" w:hAnsi="Ebrima" w:eastAsia="Ebrima" w:cs="Ebrima"/>
        </w:rPr>
        <w:t>ከውስጣዊ</w:t>
      </w:r>
      <w:r>
        <w:rPr>
          <w:rFonts w:ascii="Times New Roman" w:hAnsi="Times New Roman" w:eastAsia="Times New Roman" w:cs="Times New Roman"/>
        </w:rPr>
        <w:t xml:space="preserve"> </w:t>
      </w:r>
      <w:r>
        <w:rPr>
          <w:rFonts w:ascii="Ebrima" w:hAnsi="Ebrima" w:eastAsia="Ebrima" w:cs="Ebrima"/>
        </w:rPr>
        <w:t>አቅጣጫ፣</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በሰዎች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የባሕርይ</w:t>
      </w:r>
      <w:r>
        <w:rPr>
          <w:rFonts w:ascii="Times New Roman" w:hAnsi="Times New Roman" w:eastAsia="Times New Roman" w:cs="Times New Roman"/>
        </w:rPr>
        <w:t xml:space="preserve"> </w:t>
      </w:r>
      <w:r>
        <w:rPr>
          <w:rFonts w:ascii="Ebrima" w:hAnsi="Ebrima" w:eastAsia="Ebrima" w:cs="Ebrima"/>
        </w:rPr>
        <w:t>ቅርጽ</w:t>
      </w:r>
      <w:r>
        <w:rPr>
          <w:rFonts w:ascii="Times New Roman" w:hAnsi="Times New Roman" w:eastAsia="Times New Roman" w:cs="Times New Roman"/>
        </w:rPr>
        <w:t xml:space="preserve"> </w:t>
      </w:r>
      <w:r>
        <w:rPr>
          <w:rFonts w:ascii="Ebrima" w:hAnsi="Ebrima" w:eastAsia="Ebrima" w:cs="Ebrima"/>
        </w:rPr>
        <w:t>መሠራትን</w:t>
      </w:r>
      <w:r>
        <w:rPr>
          <w:rFonts w:ascii="Times New Roman" w:hAnsi="Times New Roman" w:eastAsia="Times New Roman" w:cs="Times New Roman"/>
        </w:rPr>
        <w:t xml:space="preserve"> </w:t>
      </w:r>
      <w:r>
        <w:rPr>
          <w:rFonts w:ascii="Ebrima" w:hAnsi="Ebrima" w:eastAsia="Ebrima" w:cs="Ebrima"/>
        </w:rPr>
        <w:t>ይፈትናል</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በተቃራኒው</w:t>
      </w:r>
      <w:r>
        <w:rPr>
          <w:rFonts w:ascii="Times New Roman" w:hAnsi="Times New Roman" w:eastAsia="Times New Roman" w:cs="Times New Roman"/>
        </w:rPr>
        <w:t xml:space="preserve"> </w:t>
      </w:r>
      <w:r>
        <w:rPr>
          <w:rFonts w:ascii="Ebrima" w:hAnsi="Ebrima" w:eastAsia="Ebrima" w:cs="Ebrima"/>
        </w:rPr>
        <w:t>የሰይጣን</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ጥበበኞችንና</w:t>
      </w:r>
      <w:r>
        <w:rPr>
          <w:rFonts w:ascii="Times New Roman" w:hAnsi="Times New Roman" w:eastAsia="Times New Roman" w:cs="Times New Roman"/>
        </w:rPr>
        <w:t xml:space="preserve"> </w:t>
      </w:r>
      <w:r>
        <w:rPr>
          <w:rFonts w:ascii="Ebrima" w:hAnsi="Ebrima" w:eastAsia="Ebrima" w:cs="Ebrima"/>
        </w:rPr>
        <w:t>ሞኞችን</w:t>
      </w:r>
      <w:r>
        <w:rPr>
          <w:rFonts w:ascii="Times New Roman" w:hAnsi="Times New Roman" w:eastAsia="Times New Roman" w:cs="Times New Roman"/>
        </w:rPr>
        <w:t xml:space="preserve"> </w:t>
      </w:r>
      <w:r>
        <w:rPr>
          <w:rFonts w:ascii="Ebrima" w:hAnsi="Ebrima" w:eastAsia="Ebrima" w:cs="Ebrima"/>
        </w:rPr>
        <w:t>ድንግል</w:t>
      </w:r>
      <w:r>
        <w:rPr>
          <w:rFonts w:ascii="Times New Roman" w:hAnsi="Times New Roman" w:eastAsia="Times New Roman" w:cs="Times New Roman"/>
        </w:rPr>
        <w:t xml:space="preserve"> </w:t>
      </w:r>
      <w:r>
        <w:rPr>
          <w:rFonts w:ascii="Ebrima" w:hAnsi="Ebrima" w:eastAsia="Ebrima" w:cs="Ebrima"/>
        </w:rPr>
        <w:t>ሴቶች</w:t>
      </w:r>
      <w:r>
        <w:rPr>
          <w:rFonts w:ascii="Times New Roman" w:hAnsi="Times New Roman" w:eastAsia="Times New Roman" w:cs="Times New Roman"/>
        </w:rPr>
        <w:t xml:space="preserve"> </w:t>
      </w:r>
      <w:r>
        <w:rPr>
          <w:rFonts w:ascii="Ebrima" w:hAnsi="Ebrima" w:eastAsia="Ebrima" w:cs="Ebrima"/>
        </w:rPr>
        <w:t>ይለያል፤</w:t>
      </w:r>
      <w:r>
        <w:rPr>
          <w:rFonts w:ascii="Times New Roman" w:hAnsi="Times New Roman" w:eastAsia="Times New Roman" w:cs="Times New Roman"/>
        </w:rPr>
        <w:t xml:space="preserve"> </w:t>
      </w:r>
      <w:r>
        <w:rPr>
          <w:rFonts w:ascii="Ebrima" w:hAnsi="Ebrima" w:eastAsia="Ebrima" w:cs="Ebrima"/>
        </w:rPr>
        <w:t>ከውጫዊ</w:t>
      </w:r>
      <w:r>
        <w:rPr>
          <w:rFonts w:ascii="Times New Roman" w:hAnsi="Times New Roman" w:eastAsia="Times New Roman" w:cs="Times New Roman"/>
        </w:rPr>
        <w:t xml:space="preserve"> </w:t>
      </w:r>
      <w:r>
        <w:rPr>
          <w:rFonts w:ascii="Ebrima" w:hAnsi="Ebrima" w:eastAsia="Ebrima" w:cs="Ebrima"/>
        </w:rPr>
        <w:t>አቅጣጫ</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የመጨረሻዎቹን</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የፖለቲካ</w:t>
      </w:r>
      <w:r>
        <w:rPr>
          <w:rFonts w:ascii="Times New Roman" w:hAnsi="Times New Roman" w:eastAsia="Times New Roman" w:cs="Times New Roman"/>
        </w:rPr>
        <w:t xml:space="preserve"> </w:t>
      </w:r>
      <w:r>
        <w:rPr>
          <w:rFonts w:ascii="Ebrima" w:hAnsi="Ebrima" w:eastAsia="Ebrima" w:cs="Ebrima"/>
        </w:rPr>
        <w:t>ትግሎች፣</w:t>
      </w:r>
      <w:r>
        <w:rPr>
          <w:rFonts w:ascii="Times New Roman" w:hAnsi="Times New Roman" w:eastAsia="Times New Roman" w:cs="Times New Roman"/>
        </w:rPr>
        <w:t xml:space="preserve"> </w:t>
      </w:r>
      <w:r>
        <w:rPr>
          <w:rFonts w:ascii="Ebrima" w:hAnsi="Ebrima" w:eastAsia="Ebrima" w:cs="Ebrima"/>
        </w:rPr>
        <w:t>ግንኙነቶችና</w:t>
      </w:r>
      <w:r>
        <w:rPr>
          <w:rFonts w:ascii="Times New Roman" w:hAnsi="Times New Roman" w:eastAsia="Times New Roman" w:cs="Times New Roman"/>
        </w:rPr>
        <w:t xml:space="preserve"> </w:t>
      </w:r>
      <w:r>
        <w:rPr>
          <w:rFonts w:ascii="Ebrima" w:hAnsi="Ebrima" w:eastAsia="Ebrima" w:cs="Ebrima"/>
        </w:rPr>
        <w:t>የተሰበሩ</w:t>
      </w:r>
      <w:r>
        <w:rPr>
          <w:rFonts w:ascii="Times New Roman" w:hAnsi="Times New Roman" w:eastAsia="Times New Roman" w:cs="Times New Roman"/>
        </w:rPr>
        <w:t xml:space="preserve"> </w:t>
      </w:r>
      <w:r>
        <w:rPr>
          <w:rFonts w:ascii="Ebrima" w:hAnsi="Ebrima" w:eastAsia="Ebrima" w:cs="Ebrima"/>
        </w:rPr>
        <w:t>ኪዳኖች</w:t>
      </w:r>
      <w:r>
        <w:rPr>
          <w:rFonts w:ascii="Times New Roman" w:hAnsi="Times New Roman" w:eastAsia="Times New Roman" w:cs="Times New Roman"/>
        </w:rPr>
        <w:t xml:space="preserve"> </w:t>
      </w:r>
      <w:r>
        <w:rPr>
          <w:rFonts w:ascii="Ebrima" w:hAnsi="Ebrima" w:eastAsia="Ebrima" w:cs="Ebrima"/>
        </w:rPr>
        <w:t>ይለይታል።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2001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የኋለኛውን</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መርጨት</w:t>
      </w:r>
      <w:r>
        <w:rPr>
          <w:rFonts w:ascii="Times New Roman" w:hAnsi="Times New Roman" w:eastAsia="Times New Roman" w:cs="Times New Roman"/>
        </w:rPr>
        <w:t xml:space="preserve"> </w:t>
      </w:r>
      <w:r>
        <w:rPr>
          <w:rFonts w:ascii="Ebrima" w:hAnsi="Ebrima" w:eastAsia="Ebrima" w:cs="Ebrima"/>
        </w:rPr>
        <w:t>ያስጀምራል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18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በሴፕቴምበር</w:t>
      </w:r>
      <w:r>
        <w:rPr>
          <w:rFonts w:ascii="Times New Roman" w:hAnsi="Times New Roman" w:eastAsia="Times New Roman" w:cs="Times New Roman"/>
        </w:rPr>
        <w:t xml:space="preserve"> 11, 2001 </w:t>
      </w:r>
      <w:r>
        <w:rPr>
          <w:rFonts w:ascii="Ebrima" w:hAnsi="Ebrima" w:eastAsia="Ebrima" w:cs="Ebrima"/>
        </w:rPr>
        <w:t>በመውረዱ</w:t>
      </w:r>
      <w:r>
        <w:rPr>
          <w:rFonts w:ascii="Times New Roman" w:hAnsi="Times New Roman" w:eastAsia="Times New Roman" w:cs="Times New Roman"/>
        </w:rPr>
        <w:t xml:space="preserve"> </w:t>
      </w:r>
      <w:r>
        <w:rPr>
          <w:rFonts w:ascii="Ebrima" w:hAnsi="Ebrima" w:eastAsia="Ebrima" w:cs="Ebrima"/>
        </w:rPr>
        <w:t>ጀመረ፥</w:t>
      </w:r>
      <w:r>
        <w:rPr>
          <w:rFonts w:ascii="Times New Roman" w:hAnsi="Times New Roman" w:eastAsia="Times New Roman" w:cs="Times New Roman"/>
        </w:rPr>
        <w:t xml:space="preserve"> </w:t>
      </w:r>
      <w:r>
        <w:rPr>
          <w:rFonts w:ascii="Ebrima" w:hAnsi="Ebrima" w:eastAsia="Ebrima" w:cs="Ebrima"/>
        </w:rPr>
        <w:t>በኒው</w:t>
      </w:r>
      <w:r>
        <w:rPr>
          <w:rFonts w:ascii="Times New Roman" w:hAnsi="Times New Roman" w:eastAsia="Times New Roman" w:cs="Times New Roman"/>
        </w:rPr>
        <w:t xml:space="preserve"> </w:t>
      </w:r>
      <w:r>
        <w:rPr>
          <w:rFonts w:ascii="Ebrima" w:hAnsi="Ebrima" w:eastAsia="Ebrima" w:cs="Ebrima"/>
        </w:rPr>
        <w:t>ዮርክ</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ሕንፃዎች</w:t>
      </w:r>
      <w:r>
        <w:rPr>
          <w:rFonts w:ascii="Times New Roman" w:hAnsi="Times New Roman" w:eastAsia="Times New Roman" w:cs="Times New Roman"/>
        </w:rPr>
        <w:t xml:space="preserve"> </w:t>
      </w:r>
      <w:r>
        <w:rPr>
          <w:rFonts w:ascii="Ebrima" w:hAnsi="Ebrima" w:eastAsia="Ebrima" w:cs="Ebrima"/>
        </w:rPr>
        <w:t>ውድቀት</w:t>
      </w:r>
      <w:r>
        <w:rPr>
          <w:rFonts w:ascii="Times New Roman" w:hAnsi="Times New Roman" w:eastAsia="Times New Roman" w:cs="Times New Roman"/>
        </w:rPr>
        <w:t xml:space="preserve"> </w:t>
      </w:r>
      <w:r>
        <w:rPr>
          <w:rFonts w:ascii="Ebrima" w:hAnsi="Ebrima" w:eastAsia="Ebrima" w:cs="Ebrima"/>
        </w:rPr>
        <w:t>ምድርን</w:t>
      </w:r>
      <w:r>
        <w:rPr>
          <w:rFonts w:ascii="Times New Roman" w:hAnsi="Times New Roman" w:eastAsia="Times New Roman" w:cs="Times New Roman"/>
        </w:rPr>
        <w:t xml:space="preserve"> </w:t>
      </w:r>
      <w:r>
        <w:rPr>
          <w:rFonts w:ascii="Ebrima" w:hAnsi="Ebrima" w:eastAsia="Ebrima" w:cs="Ebrima"/>
        </w:rPr>
        <w:t>እያበራ</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9/11 </w:t>
      </w:r>
      <w:r>
        <w:rPr>
          <w:rFonts w:ascii="Ebrima" w:hAnsi="Ebrima" w:eastAsia="Ebrima" w:cs="Ebrima"/>
        </w:rPr>
        <w:t>የላኦዲቅያ</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አድቬንቲዝምን</w:t>
      </w:r>
      <w:r>
        <w:rPr>
          <w:rFonts w:ascii="Times New Roman" w:hAnsi="Times New Roman" w:eastAsia="Times New Roman" w:cs="Times New Roman"/>
        </w:rPr>
        <w:t xml:space="preserve"> </w:t>
      </w:r>
      <w:r>
        <w:rPr>
          <w:rFonts w:ascii="Ebrima" w:hAnsi="Ebrima" w:eastAsia="Ebrima" w:cs="Ebrima"/>
        </w:rPr>
        <w:t>ማጣራት</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10 </w:t>
      </w:r>
      <w:r>
        <w:rPr>
          <w:rFonts w:ascii="Ebrima" w:hAnsi="Ebrima" w:eastAsia="Ebrima" w:cs="Ebrima"/>
        </w:rPr>
        <w:t>እንደተገለጸው</w:t>
      </w:r>
      <w:r>
        <w:rPr>
          <w:rFonts w:ascii="Times New Roman" w:hAnsi="Times New Roman" w:eastAsia="Times New Roman" w:cs="Times New Roman"/>
        </w:rPr>
        <w:t xml:space="preserve"> </w:t>
      </w:r>
      <w:r>
        <w:rPr>
          <w:rFonts w:ascii="Ebrima" w:hAnsi="Ebrima" w:eastAsia="Ebrima" w:cs="Ebrima"/>
        </w:rPr>
        <w:t>ሊበላ</w:t>
      </w:r>
      <w:r>
        <w:rPr>
          <w:rFonts w:ascii="Times New Roman" w:hAnsi="Times New Roman" w:eastAsia="Times New Roman" w:cs="Times New Roman"/>
        </w:rPr>
        <w:t xml:space="preserve"> </w:t>
      </w:r>
      <w:r>
        <w:rPr>
          <w:rFonts w:ascii="Ebrima" w:hAnsi="Ebrima" w:eastAsia="Ebrima" w:cs="Ebrima"/>
        </w:rPr>
        <w:t>የሚገባውን</w:t>
      </w:r>
      <w:r>
        <w:rPr>
          <w:rFonts w:ascii="Times New Roman" w:hAnsi="Times New Roman" w:eastAsia="Times New Roman" w:cs="Times New Roman"/>
        </w:rPr>
        <w:t xml:space="preserve"> “</w:t>
      </w:r>
      <w:r>
        <w:rPr>
          <w:rFonts w:ascii="Ebrima" w:hAnsi="Ebrima" w:eastAsia="Ebrima" w:cs="Ebrima"/>
        </w:rPr>
        <w:t>ትንሹን</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በመቀበል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በመከልከል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ስንዴውና</w:t>
      </w:r>
      <w:r>
        <w:rPr>
          <w:rFonts w:ascii="Times New Roman" w:hAnsi="Times New Roman" w:eastAsia="Times New Roman" w:cs="Times New Roman"/>
        </w:rPr>
        <w:t xml:space="preserve"> </w:t>
      </w:r>
      <w:r>
        <w:rPr>
          <w:rFonts w:ascii="Ebrima" w:hAnsi="Ebrima" w:eastAsia="Ebrima" w:cs="Ebrima"/>
        </w:rPr>
        <w:t>እንክርዳዱ</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አብረው</w:t>
      </w:r>
      <w:r>
        <w:rPr>
          <w:rFonts w:ascii="Times New Roman" w:hAnsi="Times New Roman" w:eastAsia="Times New Roman" w:cs="Times New Roman"/>
        </w:rPr>
        <w:t xml:space="preserve"> </w:t>
      </w:r>
      <w:r>
        <w:rPr>
          <w:rFonts w:ascii="Ebrima" w:hAnsi="Ebrima" w:eastAsia="Ebrima" w:cs="Ebrima"/>
        </w:rPr>
        <w:t>ይኖራሉ፤</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ዓርማ</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ይደረጋሉ፣</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321 </w:t>
      </w:r>
      <w:r>
        <w:rPr>
          <w:rFonts w:ascii="Ebrima" w:hAnsi="Ebrima" w:eastAsia="Ebrima" w:cs="Ebrima"/>
        </w:rPr>
        <w:t>እስከ</w:t>
      </w:r>
      <w:r>
        <w:rPr>
          <w:rFonts w:ascii="Times New Roman" w:hAnsi="Times New Roman" w:eastAsia="Times New Roman" w:cs="Times New Roman"/>
        </w:rPr>
        <w:t xml:space="preserve"> 538 </w:t>
      </w:r>
      <w:r>
        <w:rPr>
          <w:rFonts w:ascii="Ebrima" w:hAnsi="Ebrima" w:eastAsia="Ebrima" w:cs="Ebrima"/>
        </w:rPr>
        <w:t>የተመሰለው</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አቀፍ</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ቅርጽ</w:t>
      </w:r>
      <w:r>
        <w:rPr>
          <w:rFonts w:ascii="Times New Roman" w:hAnsi="Times New Roman" w:eastAsia="Times New Roman" w:cs="Times New Roman"/>
        </w:rPr>
        <w:t xml:space="preserve"> </w:t>
      </w:r>
      <w:r>
        <w:rPr>
          <w:rFonts w:ascii="Ebrima" w:hAnsi="Ebrima" w:eastAsia="Ebrima" w:cs="Ebrima"/>
        </w:rPr>
        <w:t>መሠራት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የኋለኛው</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ሙሉ</w:t>
      </w:r>
      <w:r>
        <w:rPr>
          <w:rFonts w:ascii="Times New Roman" w:hAnsi="Times New Roman" w:eastAsia="Times New Roman" w:cs="Times New Roman"/>
        </w:rPr>
        <w:t xml:space="preserve"> </w:t>
      </w:r>
      <w:r>
        <w:rPr>
          <w:rFonts w:ascii="Ebrima" w:hAnsi="Ebrima" w:eastAsia="Ebrima" w:cs="Ebrima"/>
        </w:rPr>
        <w:t>ፍሰት</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ሚካኤል</w:t>
      </w:r>
      <w:r>
        <w:rPr>
          <w:rFonts w:ascii="Times New Roman" w:hAnsi="Times New Roman" w:eastAsia="Times New Roman" w:cs="Times New Roman"/>
        </w:rPr>
        <w:t xml:space="preserve"> </w:t>
      </w:r>
      <w:r>
        <w:rPr>
          <w:rFonts w:ascii="Ebrima" w:hAnsi="Ebrima" w:eastAsia="Ebrima" w:cs="Ebrima"/>
        </w:rPr>
        <w:t>እስኪነሣ</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እስኪዘጋ</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የታላቁ</w:t>
      </w:r>
      <w:r>
        <w:rPr>
          <w:rFonts w:ascii="Times New Roman" w:hAnsi="Times New Roman" w:eastAsia="Times New Roman" w:cs="Times New Roman"/>
        </w:rPr>
        <w:t xml:space="preserve"> </w:t>
      </w:r>
      <w:r>
        <w:rPr>
          <w:rFonts w:ascii="Ebrima" w:hAnsi="Ebrima" w:eastAsia="Ebrima" w:cs="Ebrima"/>
        </w:rPr>
        <w:t>ብዛት</w:t>
      </w:r>
      <w:r>
        <w:rPr>
          <w:rFonts w:ascii="Times New Roman" w:hAnsi="Times New Roman" w:eastAsia="Times New Roman" w:cs="Times New Roman"/>
        </w:rPr>
        <w:t xml:space="preserve"> </w:t>
      </w:r>
      <w:r>
        <w:rPr>
          <w:rFonts w:ascii="Ebrima" w:hAnsi="Ebrima" w:eastAsia="Ebrima" w:cs="Ebrima"/>
        </w:rPr>
        <w:t>መሰብሰብ</w:t>
      </w:r>
      <w:r>
        <w:rPr>
          <w:rFonts w:ascii="Times New Roman" w:hAnsi="Times New Roman" w:eastAsia="Times New Roman" w:cs="Times New Roman"/>
        </w:rPr>
        <w:t xml:space="preserve"> </w:t>
      </w:r>
      <w:r>
        <w:rPr>
          <w:rFonts w:ascii="Ebrima" w:hAnsi="Ebrima" w:eastAsia="Ebrima" w:cs="Ebrima"/>
        </w:rPr>
        <w:t>ይጀምራል።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9/11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እንዲጀምር፣</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አስራ</w:t>
      </w:r>
      <w:r>
        <w:rPr>
          <w:rFonts w:ascii="Times New Roman" w:hAnsi="Times New Roman" w:eastAsia="Times New Roman" w:cs="Times New Roman"/>
        </w:rPr>
        <w:t xml:space="preserve"> </w:t>
      </w:r>
      <w:r>
        <w:rPr>
          <w:rFonts w:ascii="Ebrima" w:hAnsi="Ebrima" w:eastAsia="Ebrima" w:cs="Ebrima"/>
        </w:rPr>
        <w:t>አንደኛው</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ሠራተኞች</w:t>
      </w:r>
      <w:r>
        <w:rPr>
          <w:rFonts w:ascii="Times New Roman" w:hAnsi="Times New Roman" w:eastAsia="Times New Roman" w:cs="Times New Roman"/>
        </w:rPr>
        <w:t xml:space="preserve"> </w:t>
      </w:r>
      <w:r>
        <w:rPr>
          <w:rFonts w:ascii="Ebrima" w:hAnsi="Ebrima" w:eastAsia="Ebrima" w:cs="Ebrima"/>
        </w:rPr>
        <w:t>እንዲደርስ</w:t>
      </w:r>
      <w:r>
        <w:rPr>
          <w:rFonts w:ascii="Times New Roman" w:hAnsi="Times New Roman" w:eastAsia="Times New Roman" w:cs="Times New Roman"/>
        </w:rPr>
        <w:t xml:space="preserve"> </w:t>
      </w:r>
      <w:r>
        <w:rPr>
          <w:rFonts w:ascii="Ebrima" w:hAnsi="Ebrima" w:eastAsia="Ebrima" w:cs="Ebrima"/>
        </w:rPr>
        <w:t>ከሚል</w:t>
      </w:r>
      <w:r>
        <w:rPr>
          <w:rFonts w:ascii="Times New Roman" w:hAnsi="Times New Roman" w:eastAsia="Times New Roman" w:cs="Times New Roman"/>
        </w:rPr>
        <w:t xml:space="preserve"> </w:t>
      </w:r>
      <w:r>
        <w:rPr>
          <w:rFonts w:ascii="Ebrima" w:hAnsi="Ebrima" w:eastAsia="Ebrima" w:cs="Ebrima"/>
        </w:rPr>
        <w:t>ሐሳብ</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ይስማማል።</w:t>
      </w:r>
    </w:p>
    <w:p>
      <w:pPr>
        <w:pStyle w:val="ArticleBody"/>
        <w:jc w:val="left"/>
      </w:pPr>
      <w:r>
        <w:rPr>
          <w:rFonts w:ascii="Times New Roman" w:hAnsi="Times New Roman" w:eastAsia="Times New Roman" w:cs="Times New Roman"/>
        </w:rPr>
        <w:t>مادۂ سوم اس بات پر زور دیتا ہے کہ اُس زمانہ سے زندہ بچ نکلنے کے لیے، جب آسمانی جلال اور گزشتہ ایذارسانیاں باہم آمیز ہو کر دوبارہ دہرائی جائیں گی، ضروری ہے کہ پیشتر ہی نبوت پر عبور حاصل کیا گیا ہو، اور یہ عبور یسعیاہ 28 کے اصولِ „حکم پر حکم، سطر پر سطر“ کے طریقِ کار کے وسیلہ سے ہو۔ اس طریقِ کار کی مثال دانی ایل کے وفاداروں، مسیح کے پینتیکست سے پیشتر شاگردوں، اور شدرک، میسک، اور عبدنگو سے ملتی ہے، جو بھٹی میں اُن لوگوں کے نمونہ قرار پاتے ہیں جو شیطان کے عجیب کاموں اور جعل سازیوں کے درمیان „لکھا ہے“ پر مضبوطی اور اطمینان کے ساتھ قائم رہنے کے لیے تیار کیے گئے ہوں۔</w:t>
      </w:r>
    </w:p>
    <w:p>
      <w:pPr>
        <w:pStyle w:val="ArticleBody"/>
        <w:jc w:val="left"/>
      </w:pP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संवैधानिक</w:t>
      </w:r>
      <w:r>
        <w:rPr>
          <w:rFonts w:ascii="Times New Roman" w:hAnsi="Times New Roman" w:eastAsia="Times New Roman" w:cs="Times New Roman"/>
        </w:rPr>
        <w:t xml:space="preserve"> </w:t>
      </w:r>
      <w:r>
        <w:rPr>
          <w:rFonts w:ascii="Nirmala UI" w:hAnsi="Nirmala UI" w:eastAsia="Nirmala UI" w:cs="Nirmala UI"/>
        </w:rPr>
        <w:t>मार्गचिह्नों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समानांतर</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(2001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पैट्रियट</w:t>
      </w:r>
      <w:r>
        <w:rPr>
          <w:rFonts w:ascii="Times New Roman" w:hAnsi="Times New Roman" w:eastAsia="Times New Roman" w:cs="Times New Roman"/>
        </w:rPr>
        <w:t xml:space="preserve"> </w:t>
      </w:r>
      <w:r>
        <w:rPr>
          <w:rFonts w:ascii="Nirmala UI" w:hAnsi="Nirmala UI" w:eastAsia="Nirmala UI" w:cs="Nirmala UI"/>
        </w:rPr>
        <w:t>एक्ट</w:t>
      </w:r>
      <w:r>
        <w:rPr>
          <w:rFonts w:ascii="Times New Roman" w:hAnsi="Times New Roman" w:eastAsia="Times New Roman" w:cs="Times New Roman"/>
        </w:rPr>
        <w:t xml:space="preserve"> </w:t>
      </w:r>
      <w:r>
        <w:rPr>
          <w:rFonts w:ascii="Nirmala UI" w:hAnsi="Nirmala UI" w:eastAsia="Nirmala UI" w:cs="Nirmala UI"/>
        </w:rPr>
        <w:t>प्रारम्भिक</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2022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पेलोसी</w:t>
      </w:r>
      <w:r>
        <w:rPr>
          <w:rFonts w:ascii="Times New Roman" w:hAnsi="Times New Roman" w:eastAsia="Times New Roman" w:cs="Times New Roman"/>
        </w:rPr>
        <w:t xml:space="preserve"> </w:t>
      </w:r>
      <w:r>
        <w:rPr>
          <w:rFonts w:ascii="Nirmala UI" w:hAnsi="Nirmala UI" w:eastAsia="Nirmala UI" w:cs="Nirmala UI"/>
        </w:rPr>
        <w:t>ट्रायल्स</w:t>
      </w:r>
      <w:r>
        <w:rPr>
          <w:rFonts w:ascii="Times New Roman" w:hAnsi="Times New Roman" w:eastAsia="Times New Roman" w:cs="Times New Roman"/>
        </w:rPr>
        <w:t xml:space="preserve"> </w:t>
      </w:r>
      <w:r>
        <w:rPr>
          <w:rFonts w:ascii="Nirmala UI" w:hAnsi="Nirmala UI" w:eastAsia="Nirmala UI" w:cs="Nirmala UI"/>
        </w:rPr>
        <w:t>मध्य</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(144,000)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चरम</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मुकुटधारी</w:t>
      </w:r>
      <w:r>
        <w:rPr>
          <w:rFonts w:ascii="Times New Roman" w:hAnsi="Times New Roman" w:eastAsia="Times New Roman" w:cs="Times New Roman"/>
        </w:rPr>
        <w:t xml:space="preserve"> </w:t>
      </w:r>
      <w:r>
        <w:rPr>
          <w:rFonts w:ascii="Nirmala UI" w:hAnsi="Nirmala UI" w:eastAsia="Nirmala UI" w:cs="Nirmala UI"/>
        </w:rPr>
        <w:t>परीक्षण</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राष्ट्रीय</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w:t>
      </w:r>
      <w:r>
        <w:rPr>
          <w:rFonts w:ascii="Nirmala UI" w:hAnsi="Nirmala UI" w:eastAsia="Nirmala UI" w:cs="Nirmala UI"/>
        </w:rPr>
        <w:t>अनुकरण</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बताकर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चमत्कारों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अचल</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प्रतिबिम्ब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The Desire of Ages, 394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w:t>
      </w:r>
      <w:r>
        <w:rPr>
          <w:rFonts w:ascii="Nirmala UI" w:hAnsi="Nirmala UI" w:eastAsia="Nirmala UI" w:cs="Nirmala UI"/>
        </w:rPr>
        <w:t>स्वार्थी</w:t>
      </w:r>
      <w:r>
        <w:rPr>
          <w:rFonts w:ascii="Times New Roman" w:hAnsi="Times New Roman" w:eastAsia="Times New Roman" w:cs="Times New Roman"/>
        </w:rPr>
        <w:t xml:space="preserve"> </w:t>
      </w:r>
      <w:r>
        <w:rPr>
          <w:rFonts w:ascii="Nirmala UI" w:hAnsi="Nirmala UI" w:eastAsia="Nirmala UI" w:cs="Nirmala UI"/>
        </w:rPr>
        <w:t>अनुयायी</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गतसमनी</w:t>
      </w:r>
      <w:r>
        <w:rPr>
          <w:rFonts w:ascii="Times New Roman" w:hAnsi="Times New Roman" w:eastAsia="Times New Roman" w:cs="Times New Roman"/>
        </w:rPr>
        <w:t xml:space="preserve">, </w:t>
      </w:r>
      <w:r>
        <w:rPr>
          <w:rFonts w:ascii="Nirmala UI" w:hAnsi="Nirmala UI" w:eastAsia="Nirmala UI" w:cs="Nirmala UI"/>
        </w:rPr>
        <w:t>विश्वासघात</w:t>
      </w:r>
      <w:r>
        <w:rPr>
          <w:rFonts w:ascii="Times New Roman" w:hAnsi="Times New Roman" w:eastAsia="Times New Roman" w:cs="Times New Roman"/>
        </w:rPr>
        <w:t xml:space="preserve">, </w:t>
      </w:r>
      <w:r>
        <w:rPr>
          <w:rFonts w:ascii="Nirmala UI" w:hAnsi="Nirmala UI" w:eastAsia="Nirmala UI" w:cs="Nirmala UI"/>
        </w:rPr>
        <w:t>क्रूसारोपण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बनाम</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पृथक्करण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28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मुहरबन्द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माध्यम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La lumière descellée est la lumière du septième sceau (Apocalypse 8:1–5), manifestée comme un feu jeté sur la terre en réponse aux prières des saints, ainsi que l’ont préfiguré les langues de feu lors de l’effusion de la Pentecôte. La lumière descellée fut aussi représentée par le cri de minuit millérite (qui prépara, par la foi, l’entrée dans le lieu très saint), et qui s’accomplira dans le cri de minuit moderne descellé en juillet 2023, au sein de l’histoire cachée de Daniel 11:40.</w:t>
      </w:r>
    </w:p>
    <w:p>
      <w:pPr>
        <w:pStyle w:val="ArticleBody"/>
        <w:jc w:val="left"/>
      </w:pPr>
      <w:r>
        <w:rPr>
          <w:rFonts w:ascii="Nirmala UI" w:hAnsi="Nirmala UI" w:eastAsia="Nirmala UI" w:cs="Nirmala UI"/>
        </w:rPr>
        <w:t>सन्</w:t>
      </w:r>
      <w:r>
        <w:rPr>
          <w:rFonts w:ascii="Times New Roman" w:hAnsi="Times New Roman" w:eastAsia="Times New Roman" w:cs="Times New Roman"/>
        </w:rPr>
        <w:t xml:space="preserve"> 9/11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छिड़काव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w:t>
      </w:r>
      <w:r>
        <w:rPr>
          <w:rFonts w:ascii="Nirmala UI" w:hAnsi="Nirmala UI" w:eastAsia="Nirmala UI" w:cs="Nirmala UI"/>
        </w:rPr>
        <w:t>खुलने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चालीसवें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उद्घाटन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गठन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रिपब्लिकन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144,000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उद्भव</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रूस</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हस्मोनी</w:t>
      </w:r>
      <w:r>
        <w:rPr>
          <w:rFonts w:ascii="Times New Roman" w:hAnsi="Times New Roman" w:eastAsia="Times New Roman" w:cs="Times New Roman"/>
        </w:rPr>
        <w:t xml:space="preserve"> </w:t>
      </w:r>
      <w:r>
        <w:rPr>
          <w:rFonts w:ascii="Nirmala UI" w:hAnsi="Nirmala UI" w:eastAsia="Nirmala UI" w:cs="Nirmala UI"/>
        </w:rPr>
        <w:t>समानताएँ</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बनाती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पूर्वकालीन</w:t>
      </w:r>
      <w:r>
        <w:rPr>
          <w:rFonts w:ascii="Times New Roman" w:hAnsi="Times New Roman" w:eastAsia="Times New Roman" w:cs="Times New Roman"/>
        </w:rPr>
        <w:t xml:space="preserve"> </w:t>
      </w:r>
      <w:r>
        <w:rPr>
          <w:rFonts w:ascii="Nirmala UI" w:hAnsi="Nirmala UI" w:eastAsia="Nirmala UI" w:cs="Nirmala UI"/>
        </w:rPr>
        <w:t>अगुवाई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(Testimonies to Ministers, 31).</w:t>
      </w:r>
    </w:p>
    <w:p>
      <w:pPr>
        <w:pStyle w:val="ArticleBody"/>
        <w:jc w:val="left"/>
      </w:pPr>
      <w:r>
        <w:rPr>
          <w:rFonts w:ascii="Times New Roman" w:hAnsi="Times New Roman" w:eastAsia="Times New Roman" w:cs="Times New Roman"/>
        </w:rPr>
        <w:t>Ang “munting aklat” (Pahayag 10) na kanilang kinain, sa pamamagitan ng paglalagom nito sa loob sa pamamagitan ng pag-aaral na gaya ng sa mga taga-Berea sa kasaysayang nakita nang patiuna, ang isang daan at apatnapu’t apat na libo ay nagkakamit ng pagkakilala upang makatayong matatag sa, “Nasusulat,” sa gitna ng mga pandaraya ni Satanas. Ang kanilang paghahanda ay nagbibigay sa kanila ng kakayahang iwasang umurong sa kapahamakan (Hebreo 10:37–39; Habakuk 2:4), at pagkatapos nito ay nahahayag silang mga mananagumpay na subok at napatunayan, na tumutupad sa mga utos ng Diyos (lalo na ang ikaapat) at sa pananampalataya ni Jesus. Sila yaong mga lumalagos sa huling krisis kung saan ang ganap ay mabubuhay sa pamamagitan ng pananampalataya, na iniingatan ng mga anghel, samantalang ang mga mangmang (na tumatanggi sa metodolohiya at mensahe) ay nahaharap sa makapangyarihang pagkalinlang at nawawalan ng pag-asa. Ito ay umaayon sa Testimonies, tomo 9, sa kabanatang For the Coming of the King, (nagsisimula sa pahina 11) taglay ang simbolismo nitong 9/11, kaya’t itinatakda ang yugto mula 9/11 hanggang sa batas ng Linggo bilang panahon ng pagtatatak, kung kailan nauunawaan ng marurunong ang pagkatupad ng Daniel onse at walang kinatatakutan maliban sa paglimot sa pangunguna ng Diyos sa nakaraang mga banal na kasaysayan.</w:t>
      </w:r>
    </w:p>
    <w:p>
      <w:pPr>
        <w:pStyle w:val="ArticleBody"/>
        <w:jc w:val="left"/>
      </w:pPr>
      <w:r>
        <w:rPr>
          <w:rFonts w:ascii="Times New Roman" w:hAnsi="Times New Roman" w:eastAsia="Times New Roman" w:cs="Times New Roman"/>
        </w:rPr>
        <w:t>Maqaaladaha afarta ah, marka la isu geeyo, waxay soo bandhigaan fasiraad nebiyadeed oo ku saabsan Masiixa, sida Libaaxa qabiilka Yahuudah, iyo Alfa iyo Oomega kan waqtiyada muhiimka ah ka fura qaybo ka mid ah Daanyeel cutubka kow iyo tobnaad si uu u hago dhaqdhaqaaqa dib-u-habaynta ugu dambeeya ee boqol iyo afartan iyo afarta kun. Sannadkii 1989, oo ahayd 126 sano ka dib “caasinnimadii” Adventist ee 1863, Libaaxu wuxuu furay Daanyeel 11:40–45, isagoo muujiyey bogsashada nabarkii dhimashada lahaa ee baabbanimada ee 1798 ee ku timid midowga saddex-geesoodka ah (masduulaagga, bahalka, iyo nebigii beenta ahaa) ee aayadda afartan iyo kow, taas oo horseedaysa Armageddoon, “buurta quduuska ah ee ammaanta leh” halkaas oo baabbanimadu ku hesho xukunkeedii ugu dambeeyey ee aayadda afartan iyo shan. Furitaankani wuxuu bilaabaa bilowga dhaqdhaqaaqa, isagoo dhalinaya “korodhka aqoonta” (Selected Messages, book 2) ee ku saabsan “baabbanimada iyo sharciga Axadda”, kuna kicinaya imtixaanka saddex-geesoodka ah ee ah in la “daahiriyo, la caddaysto, oo la tijaabiyo” sida lagu matalay Daanyeel 12:10.</w:t>
      </w:r>
    </w:p>
    <w:p>
      <w:pPr>
        <w:pStyle w:val="ArticleBody"/>
        <w:jc w:val="left"/>
      </w:pPr>
      <w:r>
        <w:rPr>
          <w:rFonts w:ascii="Times New Roman" w:hAnsi="Times New Roman" w:eastAsia="Times New Roman" w:cs="Times New Roman"/>
        </w:rPr>
        <w:t>Nous poursuivrons ces réflexions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 n’ai pas reçu le texte à traduire. Veuillez envoyer le passage complet en anglais.</dc:title>
  <dc:subject>Rafraîchir les quatre premiers articles</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