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 Número Diez</w:t>
      </w:r>
    </w:p>
    <w:p>
      <w:pPr>
        <w:pStyle w:val="ArticleSubtitle"/>
        <w:jc w:val="left"/>
      </w:pPr>
      <w:r>
        <w:rPr>
          <w:rFonts w:ascii="Leelawadee UI" w:hAnsi="Leelawadee UI" w:eastAsia="Leelawadee UI" w:cs="Leelawadee UI"/>
        </w:rPr>
        <w:t>កណ្តាលចំណុច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Geskiednis y hemlëk vö Daniel kapitel elfu, vers fjoorzig, komt överein mä de geskiednis, dïe in de Verse tein dör bit söstien fan dätselfe Kapitel vörstääld is. In de Verse tein dör bit söstien wäd de Lijn fan dät Ärdbeest fan Openboarung dräitein, nämlik dät apostatische republikaniske Hoorn fan de Vereenigde Stooten, dör Donald Trump vörstääld; de Lijn fan dät apostatische protestantiske Hoorn fan de Vereenigde Stooten wäd dör de Makkabäer vörstääld; de Lijn fan dät Seebeest fan dät Papstdoom wäd as de “Röövers fon dien Foolk” vörstääld, un de Lijn fan dän Draken wäd dör de ferskaatene Küninge fan dät Sööden un Philippus fon Makedonien vörstääld. De Lijn fan de honderd-fjouwer-un-fjouertig dusend wäd dör Petrus vörstääld.</w:t>
      </w:r>
    </w:p>
    <w:p>
      <w:pPr>
        <w:pStyle w:val="ArticleHeading"/>
        <w:jc w:val="left"/>
      </w:pPr>
      <w:r>
        <w:rPr>
          <w:rFonts w:ascii="Arial" w:hAnsi="Arial" w:eastAsia="Arial" w:cs="Arial"/>
        </w:rPr>
        <w:t>Le Milieu</w:t>
      </w:r>
    </w:p>
    <w:p>
      <w:pPr>
        <w:pStyle w:val="ArticleBody"/>
        <w:jc w:val="left"/>
      </w:pPr>
      <w:r>
        <w:rPr>
          <w:rFonts w:ascii="Times New Roman" w:hAnsi="Times New Roman" w:eastAsia="Times New Roman" w:cs="Times New Roman"/>
        </w:rPr>
        <w:t>Dans cette histoire cachée, le milieu est souligné à maintes reprises. Les 250 années qui commencèrent en 457 av. J.-C. s’achevèrent en 207 av. J.-C., au milieu des batailles de Raphia et de Panium, les deux dernières guerres par procuration des versets onze à quinze. Les 250 années de la bête de la terre, qui commencèrent en 1776, prennent fin en 2026, l’année des « élections de mi-mandat » dans l’arène politique de la bête de la terre. Pierre est à Césarée de Philippe (Panium), au milieu des trois occasions où le Christ prit exclusivement avec lui seulement trois disciples.</w:t>
      </w:r>
    </w:p>
    <w:p>
      <w:pPr>
        <w:pStyle w:val="ArticleBody"/>
        <w:jc w:val="left"/>
      </w:pPr>
      <w:r>
        <w:rPr>
          <w:rFonts w:ascii="Times New Roman" w:hAnsi="Times New Roman" w:eastAsia="Times New Roman" w:cs="Times New Roman"/>
        </w:rPr>
        <w:t>تی تاریخچہ دِ انہاں متوازی خطاں وچ، پطرس اوہناں دی نمائندگی کردا اے جو نیش وِل اُتے آتشی گولیاں دی تنبیہ نوں درست کردے تے دہراندے نیں۔ پطرس دا ناں متی دے باب گیارہ توں بائی تک دے بالکل درمیانی حصے وچ بدلیا گیا، جس طرح ابرام دے باب گیارہ توں بائی تک دے درمیانی باب نے ختنہ نوں عہد دی نشانی دے طور اُتے ظاہر کیتا، اور نال ہی مکاشفہ دے باب گیارہ توں بائی تک دے درمیانی حصے وچ، مکاشفہ سترہ اندر موت دے عہد دی نشانی مقرر ہوندی اے۔ درمیانی نقطہ اوہ تھاں اے جتھے ایک لاکھ چوالی ہزار لاودیکیائی حالت توں فلا دلفیائی حالت وچ بدلے جاندے نیں، تے تِن فرشتیاں دے وچلا فرشتہ دوجا فرشتہ اے۔</w:t>
      </w:r>
    </w:p>
    <w:p>
      <w:pPr>
        <w:pStyle w:val="ArticleBody"/>
        <w:jc w:val="left"/>
      </w:pP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মধ্যবিন্দু</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২০২৪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প্রতীকের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বাহ্যিক</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অতি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অন্তর্নিহিত</w:t>
      </w:r>
      <w:r>
        <w:rPr>
          <w:rFonts w:ascii="Times New Roman" w:hAnsi="Times New Roman" w:eastAsia="Times New Roman" w:cs="Times New Roman"/>
        </w:rPr>
        <w:t xml:space="preserve"> </w:t>
      </w:r>
      <w:r>
        <w:rPr>
          <w:rFonts w:ascii="Nirmala UI" w:hAnsi="Nirmala UI" w:eastAsia="Nirmala UI" w:cs="Nirmala UI"/>
        </w:rPr>
        <w:t>মারাহ</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w:t>
      </w:r>
      <w:r>
        <w:rPr>
          <w:rFonts w:ascii="Nirmala UI" w:hAnsi="Nirmala UI" w:eastAsia="Nirmala UI" w:cs="Nirmala UI"/>
        </w:rPr>
        <w:t>আয়না</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বার্তাকে</w:t>
      </w:r>
      <w:r>
        <w:rPr>
          <w:rFonts w:ascii="Times New Roman" w:hAnsi="Times New Roman" w:eastAsia="Times New Roman" w:cs="Times New Roman"/>
        </w:rPr>
        <w:t xml:space="preserve"> </w:t>
      </w:r>
      <w:r>
        <w:rPr>
          <w:rFonts w:ascii="Nirmala UI" w:hAnsi="Nirmala UI" w:eastAsia="Nirmala UI" w:cs="Nirmala UI"/>
        </w:rPr>
        <w:t>শক্তিদান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পৌঁছায়।</w:t>
      </w:r>
    </w:p>
    <w:p>
      <w:pPr>
        <w:pStyle w:val="ArticleBody"/>
        <w:jc w:val="left"/>
      </w:pPr>
      <w:r>
        <w:rPr>
          <w:rFonts w:ascii="Times New Roman" w:hAnsi="Times New Roman" w:eastAsia="Times New Roman" w:cs="Times New Roman"/>
        </w:rPr>
        <w:t>Na historia milerita de 1840, Josiah (que significa fundamento de Deus) Litch fez uma correção em sua identificação da profecia do islamismo do primeiro e do segundo ai; e, em 1844, Samuel Snow fez a correção da predição de 1843, em cumprimento da parábola das dez virgens. Pedro, em 2026, deve corrigir a predição fracassada das bolas de fogo de Nashville, como tipificada pelo desapontamento milerita de 1843, e ajustar a mensagem do islamismo, como tipificada pela obra de Josiah Litch em 1840. Esses dois eventos mileritas de 1840 e 1844 representam o fortalecimento da mensagem do primeiro anjo em 11 de agosto de 1840 e o fortalecimento da mensagem do segundo anjo em 17 de agosto de 1844. Juntos, eles identificam o fortalecimento do clamor da meia-noite quando as bolas de fogo de Nashville descerem.</w:t>
      </w:r>
    </w:p>
    <w:p>
      <w:pPr>
        <w:pStyle w:val="ArticleScripture"/>
        <w:jc w:val="left"/>
      </w:pPr>
      <w:r>
        <w:rPr>
          <w:rFonts w:ascii="Times New Roman" w:hAnsi="Times New Roman" w:eastAsia="Times New Roman" w:cs="Times New Roman"/>
        </w:rPr>
        <w:t>“Þengel, sem sameinast boðun boðskapar þriðja engilsins, á að lýsa alla jörðina með dýrð sinni. Hér er fyrirfram sagt fyrir um verk sem nær um allan heim og býr yfir óvenjulegum krafti. Aðventuhreyfingin á árunum 1840–44 var dýrleg birtingarmynd krafts Guðs; boðskapur fyrsta engilsins var fluttur til hverrar trúboðsmiðstöðvar í heiminum, og í sumum löndum varð trúarlegur áhugi meiri en dæmi hafa sést um í nokkru landi frá siðbót sextándu aldar; en þetta á allt að verða yfirboðið af hinni voldugu hreyfingu undir síðustu aðvörun þriðja engilsins.” The Great Controversy, 611.</w:t>
      </w:r>
    </w:p>
    <w:p>
      <w:pPr>
        <w:pStyle w:val="ArticleBody"/>
        <w:jc w:val="left"/>
      </w:pP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नैशविल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ट्विन</w:t>
      </w:r>
      <w:r>
        <w:rPr>
          <w:rFonts w:ascii="Times New Roman" w:hAnsi="Times New Roman" w:eastAsia="Times New Roman" w:cs="Times New Roman"/>
        </w:rPr>
        <w:t xml:space="preserve"> </w:t>
      </w:r>
      <w:r>
        <w:rPr>
          <w:rFonts w:ascii="Nirmala UI" w:hAnsi="Nirmala UI" w:eastAsia="Nirmala UI" w:cs="Nirmala UI"/>
        </w:rPr>
        <w:t>टावर्स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वॉशिंगटन</w:t>
      </w:r>
      <w:r>
        <w:rPr>
          <w:rFonts w:ascii="Times New Roman" w:hAnsi="Times New Roman" w:eastAsia="Times New Roman" w:cs="Times New Roman"/>
        </w:rPr>
        <w:t xml:space="preserve">, DC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पेंटागन</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विमान</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पेंटागन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खरीदने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उतारता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प्रतीकवाद</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रथों</w:t>
      </w:r>
      <w:r>
        <w:rPr>
          <w:rFonts w:ascii="Times New Roman" w:hAnsi="Times New Roman" w:eastAsia="Times New Roman" w:cs="Times New Roman"/>
        </w:rPr>
        <w:t xml:space="preserve">, </w:t>
      </w:r>
      <w:r>
        <w:rPr>
          <w:rFonts w:ascii="Nirmala UI" w:hAnsi="Nirmala UI" w:eastAsia="Nirmala UI" w:cs="Nirmala UI"/>
        </w:rPr>
        <w:t>घुड़सवारों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ببخشید—برای ترجمه دقیق و طبیعی، لازم است بدانم «ff» به چه زبانی اشاره دارد. لطفاً زبان مقصد را مشخص کنید.</w:t>
      </w:r>
    </w:p>
    <w:p>
      <w:pPr>
        <w:pStyle w:val="ArticleBody"/>
        <w:jc w:val="left"/>
      </w:pPr>
      <w:r>
        <w:rPr>
          <w:rFonts w:ascii="Times New Roman" w:hAnsi="Times New Roman" w:eastAsia="Times New Roman" w:cs="Times New Roman"/>
        </w:rPr>
        <w:t>Гайхалтай өдрийн хууль дээр папын эрх мэдлийн үхлийн шарх эдгэх үед Харанхуй зууны хоёр дахь илрэл эхэлнэ. Эхний ба гурав дахь гай нь адилхан юм. Учир нь Христ төгсгөлийг үргэлж эхлэлээр дүрслэн үзүүлдэг. Иймээс эхний гай дахь Мухаммедын унасан од ёроолгүй ангалын амыг нээсэн түлхүүрийг эргүүлсэн бөгөөд удалгүй 9/11-ийн дараа ёроолгүй ангалын атейзм Илчлэлт арван нэгдүгээр бүлгийн хоёр гэрчийг алсан. Гайхалтай өдрийн хууль дээр папын үхлийн шарх эдгэж, Католик шашны араатан найм дахь нь биелэгдэх (амилалтыг төлөөлөх) эш үзүүллэгийн нууцыг гүйцээнэ. Тэгээд Харанхуй зууны хоёр дахь үе Балаамын гурав дахь тэмдэглэл болох илжиг ярьж, түлхүүрийг эргүүлэн ёроолгүй ангалыг дахин нээх үед эхэлнэ. 9/11-ийн дараа ёроолгүй ангалын атейзм, луу, бүх Грекийн улсыг хөдөлгөсөн хамгийн баян ерөнхийлөгчийн эсрэг тулалдахаар ангал дотроос гарч ирсэн. Гайхалтай өдрийн хууль дээр Илчлэлт арван долоодугаар бүлгийн араатан ёроолгүй ангал дотроос өгсөн гарч ирж, харанхуй дахин нарыг бүдэгрүүлнэ.</w:t>
      </w:r>
    </w:p>
    <w:p>
      <w:pPr>
        <w:pStyle w:val="ArticleBody"/>
        <w:jc w:val="left"/>
      </w:pPr>
      <w:r>
        <w:rPr>
          <w:rFonts w:ascii="Times New Roman" w:hAnsi="Times New Roman" w:eastAsia="Times New Roman" w:cs="Times New Roman"/>
        </w:rPr>
        <w:t>Pourquoi Nashville ? La question qui demeure encore sans réponse. Nashville marque le commencement de la brève période de la proclamation du message du cri de minuit, et elle débute par une attaque destructrice inattendue de l’islam, et elle se termine de la même manière. La loi dominicale, à la fin de la période, représente l’imposition de la marque de la bête aux États-Unis, ainsi que le commencement de la destruction des villes. « Destruction » est une caractéristique prophétique de l’islam.</w:t>
      </w:r>
    </w:p>
    <w:p>
      <w:pPr>
        <w:pStyle w:val="ArticleHeading"/>
        <w:jc w:val="left"/>
      </w:pPr>
      <w:r>
        <w:rPr>
          <w:rFonts w:ascii="Arial" w:hAnsi="Arial" w:eastAsia="Arial" w:cs="Arial"/>
        </w:rPr>
        <w:t>Destruction</w:t>
      </w:r>
    </w:p>
    <w:p>
      <w:pPr>
        <w:pStyle w:val="ArticleScripture"/>
        <w:jc w:val="left"/>
      </w:pPr>
      <w:r>
        <w:rPr>
          <w:rFonts w:ascii="Times New Roman" w:hAnsi="Times New Roman" w:eastAsia="Times New Roman" w:cs="Times New Roman"/>
        </w:rPr>
        <w:t>«Անցյալ նախանցյալ գիշերը մի շատ ազդեցիկ տեսարան անցավ իմ առաջ։ Ես տեսա, թե ինչպես մի հսկայական հրե գունդ ընկավ մի քանի գեղեցիկ ապարանքների մեջտեղը՝ պատճառելով նրանց ակնթարթային կործանումը։ Ես լսեցի, որ ոմանք ասում էին. «Մենք գիտեինք, որ Աստծո դատաստանները պիտի գային երկրի վրա, բայց չգիտեինք, որ դրանք այսքան շուտ պիտի գային»։ Ուրիշներն ասում էին. «Դուք գիտեիք։ Ուրեմն ինչո՞ւ մեզ չասացիք։ Մենք չգիտեինք»։ Ամեն կողմերից ես լսում էի այսպիսի խոսքեր»։ Letter 217, 1904.</w:t>
      </w:r>
    </w:p>
    <w:p>
      <w:pPr>
        <w:pStyle w:val="ArticleHeading"/>
        <w:jc w:val="left"/>
      </w:pPr>
      <w:r>
        <w:rPr>
          <w:rFonts w:ascii="Arial" w:hAnsi="Arial" w:eastAsia="Arial" w:cs="Arial"/>
        </w:rPr>
        <w:t>If you want, I can translate it—but “ff” isn’t a recognized language code. Please tell me which language “ff” refers to.</w:t>
      </w:r>
    </w:p>
    <w:p>
      <w:pPr>
        <w:pStyle w:val="ArticleBody"/>
        <w:jc w:val="left"/>
      </w:pPr>
      <w:r>
        <w:rPr>
          <w:rFonts w:ascii="Times New Roman" w:hAnsi="Times New Roman" w:eastAsia="Times New Roman" w:cs="Times New Roman"/>
        </w:rPr>
        <w:t>Ntetenyi “Mwenda na Ikumi na Imwe” limanyisa mibele ya bufumu bwa Isilamu nga lufu ne kubutulula, pantu ishina mu buprofita limela mibele.</w:t>
      </w:r>
    </w:p>
    <w:p>
      <w:pPr>
        <w:pStyle w:val="ArticleBody"/>
        <w:jc w:val="left"/>
      </w:pPr>
      <w:r>
        <w:rPr>
          <w:rFonts w:ascii="Times New Roman" w:hAnsi="Times New Roman" w:eastAsia="Times New Roman" w:cs="Times New Roman"/>
        </w:rPr>
        <w:t>Na walikuwa na mfalme juu yao, ambaye ni malaika wa shimo lisilo na mwisho, ambaye jina lake kwa lugha ya Kiebrania ni Abadoni, lakini kwa lugha ya Kigiriki jina lake ni Apolioni. Ufunuo 9/11.</w:t>
      </w:r>
    </w:p>
    <w:p>
      <w:pPr>
        <w:pStyle w:val="ArticleBody"/>
        <w:jc w:val="left"/>
      </w:pPr>
      <w:r>
        <w:rPr>
          <w:rFonts w:ascii="Times New Roman" w:hAnsi="Times New Roman" w:eastAsia="Times New Roman" w:cs="Times New Roman"/>
        </w:rPr>
        <w:t>Abaddon signifia « destruction » ou « lieu de destruction », et Apollyon signifie « le destructeur ».</w:t>
      </w:r>
    </w:p>
    <w:p>
      <w:pPr>
        <w:pStyle w:val="ArticleScripture"/>
        <w:jc w:val="left"/>
      </w:pPr>
      <w:r>
        <w:rPr>
          <w:rFonts w:ascii="Times New Roman" w:hAnsi="Times New Roman" w:eastAsia="Times New Roman" w:cs="Times New Roman"/>
        </w:rPr>
        <w:t>“Les anges retiennent les quatre vents, représentés comme un cheval furieux cherchant à se déchaîner et à se précipiter sur la face de toute la terre, semant la destruction et la mort sur son passage.</w:t>
      </w:r>
    </w:p>
    <w:p>
      <w:pPr>
        <w:pStyle w:val="ArticleScripture"/>
        <w:jc w:val="left"/>
      </w:pPr>
      <w:r>
        <w:rPr>
          <w:rFonts w:ascii="Times New Roman" w:hAnsi="Times New Roman" w:eastAsia="Times New Roman" w:cs="Times New Roman"/>
        </w:rPr>
        <w:t>«Serons-nous endormis sur le seuil même du monde éternel ? Serons-nous apathiques, froids et morts ? Oh ! puissions-nous avoir dans nos Églises l’Esprit et le souffle de Dieu insufflés à Son peuple, afin qu’ils se tiennent sur leurs pieds et vivent. Il nous faut reconnaître que le chemin est étroit et que la porte est resserrée. Mais lorsque nous passons par la porte resserrée, son ampleur est sans limite.» Manuscript Releases, volume 20, 217.</w:t>
      </w:r>
    </w:p>
    <w:p>
      <w:pPr>
        <w:pStyle w:val="ArticleBody"/>
        <w:jc w:val="left"/>
      </w:pPr>
      <w:r>
        <w:rPr>
          <w:rFonts w:ascii="Times New Roman" w:hAnsi="Times New Roman" w:eastAsia="Times New Roman" w:cs="Times New Roman"/>
        </w:rPr>
        <w:t>Le chemin de l’islam du troisième malheur est le chemin de Balaam et de l’ânesse. Le chemin du cheval courroucé de l’islam, c’est-à-dire les quatre vents de discorde de Jean, le vent impétueux d’Ésaïe et le « vent » ou « souffle » d’Ézéchiel qui vient des quatre vents, suit depuis le 11 septembre une trajectoire qui mène à la porte « étroite » et « resserrée ». Cette porte étroite est le troisième jalon de Balaam et de l’ânesse.</w:t>
      </w:r>
    </w:p>
    <w:p>
      <w:pPr>
        <w:pStyle w:val="ArticleScripture"/>
        <w:jc w:val="left"/>
      </w:pPr>
      <w:r>
        <w:rPr>
          <w:rFonts w:ascii="Times New Roman" w:hAnsi="Times New Roman" w:eastAsia="Times New Roman" w:cs="Times New Roman"/>
        </w:rPr>
        <w:t>Ve melaa’ika ya YHWH a ya emahlweni, a yima endhawini leyi khinyaveke, laha a ku nga ri na ndlela yo hambukela evokweni ra xinene kumbe ra ximatsi. Kuteloko mbhongolo yi vona melaa’ika ya YHWH, yi wela ehansi ehansi ka Balama; kutani vukarhi bya Balama byi pfurha, a ba mbhongolo hi nhonga. Kutani YHWH a pfula nomo wa mbhongolo, kutani yi byela Balama yi ku: “Ndzi ku dyohisile yini, leswi u ndzi bakeke makhete lawa manharhu?” Tinhlayo 22:26–28.</w:t>
      </w:r>
    </w:p>
    <w:p>
      <w:pPr>
        <w:pStyle w:val="ArticleBody"/>
        <w:jc w:val="left"/>
      </w:pPr>
      <w:r>
        <w:rPr>
          <w:rFonts w:ascii="Times New Roman" w:hAnsi="Times New Roman" w:eastAsia="Times New Roman" w:cs="Times New Roman"/>
        </w:rPr>
        <w:t>Ղևտական գրքի 18:1–3-ի իրականացմամբ 9/11-ին սկիզբ առավ Իսլամի կործանման երրորդ վայնասունի ուղին։</w:t>
      </w:r>
    </w:p>
    <w:p>
      <w:pPr>
        <w:pStyle w:val="ArticleScripture"/>
        <w:jc w:val="left"/>
      </w:pPr>
      <w:r>
        <w:rPr>
          <w:rFonts w:ascii="Times New Roman" w:hAnsi="Times New Roman" w:eastAsia="Times New Roman" w:cs="Times New Roman"/>
        </w:rPr>
        <w:t>“À présent, d’où vient donc la parole que j’aurais déclarée, à savoir que New York doit être emportée par une vague de marée? Je n’ai jamais rien dit de tel. J’ai dit, tandis que je regardais les grands édifices qui s’y élevaient, étage après étage: ‘Quelles scènes terribles se produiront lorsque le Seigneur se lèvera pour ébranler puissamment la terre! Alors les paroles d’Apocalypse 18:1–3 s’accompliront.’ Tout le dix-huitième chapitre de l’Apocalypse est un avertissement de ce qui va venir sur la terre. Mais je n’ai pas reçu de lumière particulière concernant ce qui doit venir sur New York, sinon que je sais qu’un jour les grands bâtiments qui s’y trouvent seront renversés par le mouvement et le renversement de la puissance de Dieu. D’après la lumière qui m’a été donnée, je sais que la destruction est dans le monde. Une parole du Seigneur, un seul attouchement de sa puissance souveraine, et ces structures massives tomberont. Des scènes se produiront dont nous ne pouvons imaginer l’effrayante gravité.” Review and Herald, 5 juillet 1906.</w:t>
      </w:r>
    </w:p>
    <w:p>
      <w:pPr>
        <w:pStyle w:val="ArticleBody"/>
        <w:jc w:val="left"/>
      </w:pPr>
      <w:r>
        <w:rPr>
          <w:rFonts w:ascii="Times New Roman" w:hAnsi="Times New Roman" w:eastAsia="Times New Roman" w:cs="Times New Roman"/>
        </w:rPr>
        <w:t>په دې توګه پوښتنه لا هم پر خپل ځای پاتې ده: ولې نَشویل؟ د نَشویل اورین ګولونه هغه نبوي سناریو تمثیلوي چې په کې د اَډوِنټېزم یوه طبقه شرمیږي او د یوئیل په وینا، «پرې کېږي.» بله طبقه داسې انځور شوې ده چې هېڅکله نه شرمیږي او له خوښۍ ډکه وي. دا نبوي خوښي د هغه قضا لپاره نه ده چې پر نَشویل او د امریکا پر متحدو ایالتونو راوستل شوې ده، بلکې د هغې برائت لپاره ده چې د مَثَل په منځ کې د هغو ترمنځ څرګند شوی چې تېل لري او د هغو چې تېل نه لري. تېل له ځان سره ګڼې سمبولیکې معناوې لري، خو د تېلو یوه اساسي معنا د نیمې شپې د فریاد پیغام دی. همدا پیغام د 2023 کال په پای کې په تدریجي ډول له مُهره ازادېدل پیل کړل، او هغه د پوهې د زیاتوالي استازیتوب کاوه چې یا ردېږي او یا منل کېږي. هوشع په څرګند ډول وايي چې هغه کسان چې دا پوهه ردوي، د خدای د کاهنانو په توګه ردېږي. پطرس د لاویانو د کتاب د درې ویشتم فصل د جوړښت په منځ کې ځای لري کله چې هغه د نَشویل د اورینو ګولونو درک کوي، او دېرشمه شمېره د کاهنانو یو سمبول دی.</w:t>
      </w:r>
    </w:p>
    <w:p>
      <w:pPr>
        <w:pStyle w:val="ArticleScripture"/>
        <w:jc w:val="left"/>
      </w:pPr>
      <w:r>
        <w:rPr>
          <w:rFonts w:ascii="Times New Roman" w:hAnsi="Times New Roman" w:eastAsia="Times New Roman" w:cs="Times New Roman"/>
        </w:rPr>
        <w:t>Mon peuple est détruit, faute de connaissance ; parce que tu as rejeté la connaissance, je te rejetterai aussi, afin que tu ne sois plus mon sacrificateur ; puisque tu as oublié la loi de ton Dieu, j’oublierai aussi tes enfants. Osée 4:6.</w:t>
      </w:r>
    </w:p>
    <w:p>
      <w:pPr>
        <w:pStyle w:val="ArticleBody"/>
        <w:jc w:val="left"/>
      </w:pPr>
      <w:r>
        <w:rPr>
          <w:rFonts w:ascii="Times New Roman" w:hAnsi="Times New Roman" w:eastAsia="Times New Roman" w:cs="Times New Roman"/>
        </w:rPr>
        <w:t>L’enjeu de la « connaissance », ou de son absence, est l’une des vérités associées à l’arrivée des boules de feu de Nashville. La « connaissance » prophétique, ou son absence, marque le commencement de la proclamation du cri de minuit, et cette période s’achève sur la question de l’obéissance à la Parole de Dieu, telle qu’elle est représentée par la question du sabbat et du dimanche. Le Christ illustre toujours la fin par le commencement, et au commencement l’obéissance à la Parole de Dieu était le message d’avertissement donné à Adam et Ève dans le jardin.</w:t>
      </w:r>
    </w:p>
    <w:p>
      <w:pPr>
        <w:pStyle w:val="ArticleBody"/>
        <w:jc w:val="left"/>
      </w:pPr>
      <w:r>
        <w:rPr>
          <w:rFonts w:ascii="Times New Roman" w:hAnsi="Times New Roman" w:eastAsia="Times New Roman" w:cs="Times New Roman"/>
        </w:rPr>
        <w:t>Dhibaatadii addeecidda ee wakhtiga ugu dambeeya laguma koobi karo hal beer oo keliya haddii “quruun kasta ay ku lug yeelan doonto,” sida ay leedahay Sister White. Arrinta Sabtida iyo Axadda waa ku-celcelinta imtixaankii bilowga ahaa ee Aadan iyo Xaawo ee beerta, kaas oo dhammaadka mar kale loogu celinayo dunida oo dhan. Imtixaankaasu wuxuu ka bilaabmaa sharciga Axadda ee Maraykanka, kaas oo sidoo kale ah dhammaadka muddada lagu dhawaaqayo qayladii habeen-badhka.</w:t>
      </w:r>
    </w:p>
    <w:p>
      <w:pPr>
        <w:pStyle w:val="ArticleBody"/>
        <w:jc w:val="left"/>
      </w:pP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তারাই</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২০২৩</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শেষভাগে</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প্রকাশের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w:t>
      </w:r>
      <w:r>
        <w:rPr>
          <w:rFonts w:ascii="Nirmala UI" w:hAnsi="Nirmala UI" w:eastAsia="Nirmala UI" w:cs="Nirmala UI"/>
        </w:rPr>
        <w:t>মুক্তির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জ্ঞানের</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জ্ঞানের</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অভাবের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ন্যাশভিল</w:t>
      </w:r>
      <w:r>
        <w:rPr>
          <w:rFonts w:ascii="Times New Roman" w:hAnsi="Times New Roman" w:eastAsia="Times New Roman" w:cs="Times New Roman"/>
        </w:rPr>
        <w:t xml:space="preserve"> </w:t>
      </w:r>
      <w:r>
        <w:rPr>
          <w:rFonts w:ascii="Nirmala UI" w:hAnsi="Nirmala UI" w:eastAsia="Nirmala UI" w:cs="Nirmala UI"/>
        </w:rPr>
        <w:t>আক্রমণে</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২০২৩</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w:t>
      </w:r>
      <w:r>
        <w:rPr>
          <w:rFonts w:ascii="Nirmala UI" w:hAnsi="Nirmala UI" w:eastAsia="Nirmala UI" w:cs="Nirmala UI"/>
        </w:rPr>
        <w:t>মুক্তির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যাচাইকরণের</w:t>
      </w:r>
      <w:r>
        <w:rPr>
          <w:rFonts w:ascii="Times New Roman" w:hAnsi="Times New Roman" w:eastAsia="Times New Roman" w:cs="Times New Roman"/>
        </w:rPr>
        <w:t xml:space="preserve"> </w:t>
      </w:r>
      <w:r>
        <w:rPr>
          <w:rFonts w:ascii="Nirmala UI" w:hAnsi="Nirmala UI" w:eastAsia="Nirmala UI" w:cs="Nirmala UI"/>
        </w:rPr>
        <w:t>নির্ণায়ক</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তেলের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মোহর</w:t>
      </w:r>
      <w:r>
        <w:rPr>
          <w:rFonts w:ascii="Times New Roman" w:hAnsi="Times New Roman" w:eastAsia="Times New Roman" w:cs="Times New Roman"/>
        </w:rPr>
        <w:t>-</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ছিল।</w:t>
      </w:r>
    </w:p>
    <w:p>
      <w:pPr>
        <w:pStyle w:val="ArticleBody"/>
        <w:jc w:val="left"/>
      </w:pPr>
      <w:r>
        <w:rPr>
          <w:rFonts w:ascii="Times New Roman" w:hAnsi="Times New Roman" w:eastAsia="Times New Roman" w:cs="Times New Roman"/>
        </w:rPr>
        <w:t>“</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निर्णायक</w:t>
      </w:r>
      <w:r>
        <w:rPr>
          <w:rFonts w:ascii="Times New Roman" w:hAnsi="Times New Roman" w:eastAsia="Times New Roman" w:cs="Times New Roman"/>
        </w:rPr>
        <w:t xml:space="preserve"> </w:t>
      </w:r>
      <w:r>
        <w:rPr>
          <w:rFonts w:ascii="Nirmala UI" w:hAnsi="Nirmala UI" w:eastAsia="Nirmala UI" w:cs="Nirmala UI"/>
        </w:rPr>
        <w:t>कसौटी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आज्ञाकारिता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आज्ञाकारिता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हव्वा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सत्ताओं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वाटिका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आज्ञाकारिता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Nashville ezali elembo ya mateya ya Greke kati na mokili ya nyama ya mabele. Mateya ya Greke ezali mateya ya lokuta, ezali boyebi ya mabe; mpe boyebi ya malamu ezali mateya ya solo. Etinda ya kosangisa oyo Ellen White andimaki kaka mpo na kozala na yango ezalaki Madison College, oyo ezalaki na Nashville, oyo babengaka “Athens of the South.” Nashville ezali elembo ya mateya ya Greke, to ya lokuta. Mateya ya lokuta ezali boyebi ya lokuta. Ntina ya Nashville ekokani na elembo ya New York City mpe ya Pentagon.</w:t>
      </w:r>
    </w:p>
    <w:p>
      <w:pPr>
        <w:pStyle w:val="ArticleBody"/>
        <w:jc w:val="left"/>
      </w:pPr>
      <w:r>
        <w:rPr>
          <w:rFonts w:ascii="Times New Roman" w:hAnsi="Times New Roman" w:eastAsia="Times New Roman" w:cs="Times New Roman"/>
        </w:rPr>
        <w:t>Pampadayon namon ini nga mga butang sa masunod nga artikulo.</w:t>
      </w:r>
    </w:p>
    <w:p>
      <w:pPr>
        <w:pStyle w:val="ArticleHeading"/>
        <w:jc w:val="left"/>
      </w:pPr>
      <w:r>
        <w:rPr>
          <w:rFonts w:ascii="Arial" w:hAnsi="Arial" w:eastAsia="Arial" w:cs="Arial"/>
        </w:rPr>
        <w:t>Manuscript 188, 1905</w:t>
      </w:r>
    </w:p>
    <w:p>
      <w:pPr>
        <w:pStyle w:val="ArticleScripture"/>
        <w:jc w:val="left"/>
      </w:pPr>
      <w:r>
        <w:rPr>
          <w:rFonts w:ascii="Times New Roman" w:hAnsi="Times New Roman" w:eastAsia="Times New Roman" w:cs="Times New Roman"/>
        </w:rPr>
        <w:t>“Toe ek in Nashville was, het ek met die mense gepraat, en in die nagtelike ure was daar ’n ontsaglike vuurbol wat reg uit die hemel gekom en hom oor Nashville neergesit het. Vlamme het soos pyle uit daardie bol uitgeskiet; huise is verteer; huise het gewankel en inmekaargestort. Sommige van ons mense het daar gestaan. ‘Dit is net soos ons verwag het,’ het hulle gesê, ‘ons het dit verwag.’ Ander het in angs hulle hande gewring en tot God om barmhartigheid geroep. ‘Julle het dit geweet,’ het hulle gesê, ‘julle het geweet dat dit kom, en nooit ’n woord gesê om ons te waarsku nie!’ Dit het gelyk asof hulle hulle byna aan stukke sou skeur by die gedagte dat hulle hulle nooit daarvan vertel of enigsins enige waarskuwing gegee het nie.” Manuscript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 Número Diez</dc:title>
  <dc:subject>កណ្តាល​ចំណុច</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