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le nombre onze</w:t>
      </w:r>
    </w:p>
    <w:p>
      <w:pPr>
        <w:pStyle w:val="ArticleSubtitle"/>
        <w:jc w:val="left"/>
      </w:pPr>
      <w:r>
        <w:rPr>
          <w:rFonts w:ascii="Leelawadee UI" w:hAnsi="Leelawadee UI" w:eastAsia="Leelawadee UI" w:cs="Leelawadee UI"/>
        </w:rPr>
        <w:t>លេខដប់មួយ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Nirmala UI" w:hAnsi="Nirmala UI" w:eastAsia="Nirmala UI" w:cs="Nirmala UI"/>
        </w:rPr>
        <w:t>बिहावल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संभवतः</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उत्तरकालीन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ऐडवेंटिस्ट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1863 </w:t>
      </w:r>
      <w:r>
        <w:rPr>
          <w:rFonts w:ascii="Nirmala UI" w:hAnsi="Nirmala UI" w:eastAsia="Nirmala UI" w:cs="Nirmala UI"/>
        </w:rPr>
        <w:t>से</w:t>
      </w:r>
      <w:r>
        <w:rPr>
          <w:rFonts w:ascii="Times New Roman" w:hAnsi="Times New Roman" w:eastAsia="Times New Roman" w:cs="Times New Roman"/>
        </w:rPr>
        <w:t xml:space="preserve"> 1888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1843 </w:t>
      </w:r>
      <w:r>
        <w:rPr>
          <w:rFonts w:ascii="Nirmala UI" w:hAnsi="Nirmala UI" w:eastAsia="Nirmala UI" w:cs="Nirmala UI"/>
        </w:rPr>
        <w:t>और</w:t>
      </w:r>
      <w:r>
        <w:rPr>
          <w:rFonts w:ascii="Times New Roman" w:hAnsi="Times New Roman" w:eastAsia="Times New Roman" w:cs="Times New Roman"/>
        </w:rPr>
        <w:t xml:space="preserve"> 1850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अग्रदूत</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पटियाओं</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1888 hingga 1919 melambangkan generasi yang menolak pengalaman pembenaran oleh iman, yang menghasilkan suatu pengalaman yang dilambangkan oleh jemaat Filadelfia. Pada generasi pertama, pemberontakan berpusat pada pekerjaan kepemimpinan yang diwakili oleh William Miller, dan pada generasi kedua, yaitu 1888, kepemimpinan Roh Nubuatlah yang dilawan. Generasi ketiga, tahun 1919, dimulai dengan buku William Warren Prescott, The Doctrine of Christ, dan berakhir dengan buku Questions on Doctrine pada tahun 1957. Generasi ketiga itu adalah generasi kompromi dengan dunia ketika Adventisme mengupayakan akreditasi bagi praktik-praktik medisnya dari American Medical Association, dan akreditasi bagi perguruan-perguruannya dari para cendekiawan akademik Protestan murtad dan Katolik Roma.</w:t>
      </w:r>
    </w:p>
    <w:p>
      <w:pPr>
        <w:pStyle w:val="ArticleBody"/>
        <w:jc w:val="left"/>
      </w:pPr>
      <w:r>
        <w:rPr>
          <w:rFonts w:ascii="Times New Roman" w:hAnsi="Times New Roman" w:eastAsia="Times New Roman" w:cs="Times New Roman"/>
        </w:rPr>
        <w:t>Sa ikatlong salinlahi, ang mga payong pang-edukasyon mula sa panulat ni Ellen White ay itinakwil at pinalitan ng huwad na mga gawaing pang-edukasyon ng sanlibutan, gaya ng kinakatawan ng pilosopiyang pang-edukasyon ng Gresya. Ang edukasyong Griyego ay kinakatawan ng diyosang si Athena, na pinararangalan sa duplikadong templong Parthenon sa Nashville, Tennessee.</w:t>
      </w:r>
    </w:p>
    <w:p>
      <w:pPr>
        <w:pStyle w:val="ArticleBody"/>
        <w:jc w:val="left"/>
      </w:pPr>
      <w:r>
        <w:rPr>
          <w:rFonts w:ascii="Times New Roman" w:hAnsi="Times New Roman" w:eastAsia="Times New Roman" w:cs="Times New Roman"/>
        </w:rPr>
        <w:t>L’éducation véritable fut illustrée dans la Bible par les écoles des prophètes associées au prophète Élisée. La révolte des Maccabées, à partir de 167 av. J.-C. jusqu’à la destruction de Jérusalem en 70 apr. J.-C., constitua en grande partie une protestation contre les empiètements de l’éducation grecque sur la culture et la nation de l’ancienne glorieuse terre littérale. La protestation des Maccabées fut une révolte contre l’influence grecque à tous les niveaux; toutefois, l’influence éducative de la Grèce était si envahissante dans l’histoire et les motivations des zélotes maccabéens qu’on ne saurait la dissocier de la réalité selon laquelle l’éducation grecque fut peut-être le facteur le plus important lié au rejet, par les Juifs, de Jésus-Christ comme leur Messie. Des ouvrages ont été écrits pour mettre en évidence l’influence néfaste de l’éducation grecque sur les Juifs et la contribution de la fausse éducation au rejet juif de Christ et à sa crucifixion.</w:t>
      </w:r>
    </w:p>
    <w:p>
      <w:pPr>
        <w:pStyle w:val="ArticleBody"/>
        <w:jc w:val="left"/>
      </w:pP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मक्काबी</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1776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4,000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पंजीकृत</w:t>
      </w:r>
      <w:r>
        <w:rPr>
          <w:rFonts w:ascii="Times New Roman" w:hAnsi="Times New Roman" w:eastAsia="Times New Roman" w:cs="Times New Roman"/>
        </w:rPr>
        <w:t xml:space="preserve"> </w:t>
      </w:r>
      <w:r>
        <w:rPr>
          <w:rFonts w:ascii="Nirmala UI" w:hAnsi="Nirmala UI" w:eastAsia="Nirmala UI" w:cs="Nirmala UI"/>
        </w:rPr>
        <w:t>विश्वविद्यालय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जेसुइट</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पद्धतियों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अराजकता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विधिहीनता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तथाकथित</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केंद्रों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विद्यार्थियों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मतान्ध</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शिक्षित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मीडिया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मनोरंजन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फ्रांसीसी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दार्शनिकताओं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वैश्विकतावादी</w:t>
      </w:r>
      <w:r>
        <w:rPr>
          <w:rFonts w:ascii="Times New Roman" w:hAnsi="Times New Roman" w:eastAsia="Times New Roman" w:cs="Times New Roman"/>
        </w:rPr>
        <w:t xml:space="preserve"> </w:t>
      </w:r>
      <w:r>
        <w:rPr>
          <w:rFonts w:ascii="Nirmala UI" w:hAnsi="Nirmala UI" w:eastAsia="Nirmala UI" w:cs="Nirmala UI"/>
        </w:rPr>
        <w:t>विचारधाराओं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विश्वविद्यालयों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विद्यार्थियों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केंद्रों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अमोरा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w:t>
      </w:r>
      <w:r>
        <w:rPr>
          <w:rFonts w:ascii="Nirmala UI" w:hAnsi="Nirmala UI" w:eastAsia="Nirmala UI" w:cs="Nirmala UI"/>
        </w:rPr>
        <w:t>शैली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केंद्र</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मसीहियों</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अभिकल्पित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निरंतर</w:t>
      </w:r>
      <w:r>
        <w:rPr>
          <w:rFonts w:ascii="Times New Roman" w:hAnsi="Times New Roman" w:eastAsia="Times New Roman" w:cs="Times New Roman"/>
        </w:rPr>
        <w:t xml:space="preserve"> </w:t>
      </w:r>
      <w:r>
        <w:rPr>
          <w:rFonts w:ascii="Nirmala UI" w:hAnsi="Nirmala UI" w:eastAsia="Nirmala UI" w:cs="Nirmala UI"/>
        </w:rPr>
        <w:t>द्विस्तरीय</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स्पिरिट</w:t>
      </w:r>
      <w:r>
        <w:rPr>
          <w:rFonts w:ascii="Times New Roman" w:hAnsi="Times New Roman" w:eastAsia="Times New Roman" w:cs="Times New Roman"/>
        </w:rPr>
        <w:t xml:space="preserve"> </w:t>
      </w:r>
      <w:r>
        <w:rPr>
          <w:rFonts w:ascii="Nirmala UI" w:hAnsi="Nirmala UI" w:eastAsia="Nirmala UI" w:cs="Nirmala UI"/>
        </w:rPr>
        <w:t>ऑफ</w:t>
      </w:r>
      <w:r>
        <w:rPr>
          <w:rFonts w:ascii="Times New Roman" w:hAnsi="Times New Roman" w:eastAsia="Times New Roman" w:cs="Times New Roman"/>
        </w:rPr>
        <w:t xml:space="preserve"> </w:t>
      </w:r>
      <w:r>
        <w:rPr>
          <w:rFonts w:ascii="Nirmala UI" w:hAnsi="Nirmala UI" w:eastAsia="Nirmala UI" w:cs="Nirmala UI"/>
        </w:rPr>
        <w:t>प्रॉफ़ेसी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निर्दिष्ट</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सड़कों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परिस्थितियाँ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सुनियोजित</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मतारोपण</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मानवजाति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अभिजात</w:t>
      </w:r>
      <w:r>
        <w:rPr>
          <w:rFonts w:ascii="Times New Roman" w:hAnsi="Times New Roman" w:eastAsia="Times New Roman" w:cs="Times New Roman"/>
        </w:rPr>
        <w:t xml:space="preserve"> </w:t>
      </w:r>
      <w:r>
        <w:rPr>
          <w:rFonts w:ascii="Nirmala UI" w:hAnsi="Nirmala UI" w:eastAsia="Nirmala UI" w:cs="Nirmala UI"/>
        </w:rPr>
        <w:t>वैश्विकतावादियों</w:t>
      </w:r>
      <w:r>
        <w:rPr>
          <w:rFonts w:ascii="Times New Roman" w:hAnsi="Times New Roman" w:eastAsia="Times New Roman" w:cs="Times New Roman"/>
        </w:rPr>
        <w:t>—</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अभिकल्पित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There are five major themes in the writings of Ellen White; education, health reform, Christian living, The Great Controversy theme and practical godliness. Education is one of five major themes in the Spirit of Prophecy, and Ellen White was as much a biblical prophet as every prophet noted in God’s Word. Among other things, this means her life is an example of and for the one hundred and forty-four thousand. Before anyone thinks that Christ alone is to be our example; Paul states:</w:t>
      </w:r>
    </w:p>
    <w:p>
      <w:pPr>
        <w:pStyle w:val="ArticleScripture"/>
        <w:jc w:val="left"/>
      </w:pPr>
      <w:r>
        <w:rPr>
          <w:rFonts w:ascii="Times New Roman" w:hAnsi="Times New Roman" w:eastAsia="Times New Roman" w:cs="Times New Roman"/>
        </w:rPr>
        <w:t>Car, quand vous auriez dix mille maîtres en Christ, vous n’avez cependant pas plusieurs pères; car c’est en Christ Jésus que je vous ai engendrés par l’Évangile. C’est pourquoi je vous en supplie: soyez mes imitateurs. 1 Corinthiens 4:15, 16.</w:t>
      </w:r>
    </w:p>
    <w:p>
      <w:pPr>
        <w:pStyle w:val="ArticleBody"/>
        <w:jc w:val="left"/>
      </w:pPr>
      <w:r>
        <w:rPr>
          <w:rFonts w:ascii="Times New Roman" w:hAnsi="Times New Roman" w:eastAsia="Times New Roman" w:cs="Times New Roman"/>
        </w:rPr>
        <w:t>Bilang isang propeta, si Ellen White ay isang huwaran. Iisa lamang ang pagkakataon na tinanggap ni Ellen White ang tungkulin bilang kasapi ng lupon, at ang pagkakataong iyon ay kaugnay ng pagtatatag ng isang kolehiyo na yumakap sa mga simulain ng tunay na edukasyon gaya ng inilalahad bilang isa sa limang pangunahing paksa ng kaniyang ministeryo. Ang kolehiyong iyon sa Madison, Tennessee ay matatagpuan sa loob ng metropolitanong distrito ng Nashville, Tennessee. Hindi lamang siya pumayag na mapabilang sa nagtatag na lupon ng Madison College mula 1904 hanggang isang taon bago ang kaniyang kamatayan noong 1915, kundi naging mahalaga rin ang kaniyang papel sa pagpili ng lupain kung saan itinatag ang kolehiyo. Ang Nashville ang sentro ng sistemang pang-edukasyong Griyego na tumulong upang hadlangan ang mga Judio sa pagtanggap sa kanilang Mesiyas sa kasaysayan ng mga Maccabeo, na sumasagisag sa tumalikod na Protestantismo ng mga panahong ating ikinabubuhay ngayon. Ang linya ng mga Maccabeo ay matibay na inilalahad sa nakatagong kasaysayan ng talatang apatnapu, na kumakatawan sa tumalikod na Protestantismo na ngayo’y lubos nang naindoktrina ng mismong gayon ding mga mapanirang bunga ng edukasyong Griyego, bagaman sa isang makabagong anyo.</w:t>
      </w:r>
    </w:p>
    <w:p>
      <w:pPr>
        <w:pStyle w:val="ArticleBody"/>
        <w:jc w:val="left"/>
      </w:pPr>
      <w:r>
        <w:rPr>
          <w:rFonts w:ascii="Times New Roman" w:hAnsi="Times New Roman" w:eastAsia="Times New Roman" w:cs="Times New Roman"/>
        </w:rPr>
        <w:t>Дар на третото поколение на адвентизма ръководството, което бе отхвърлило Духа на пророчеството през 1888 г., избра да предаде своята образователна система на акредитационната структура на света. Нашвил представлява символичния център както на истинското, така и на лъжливото образование. Пророкът избра същия град, който светът избра, за да увековечи гръцкото образование; защото, за разлика от гръцкото образование, което се основава на разчленяването на истината на изолирани предмети, за да се разруши цялото, истинското образование е основополагащата база на другите четири главни теми на сестра Уайт: здравната реформа, практическото благочестие, християнския живот и особено темата за Великата борба.</w:t>
      </w:r>
    </w:p>
    <w:p>
      <w:pPr>
        <w:pStyle w:val="ArticleBody"/>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सदैव</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दृष्टांतित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वाटिका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बदलता।</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अभाव</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हव्वा</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ईश्वरत्व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स्थायी</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p>
    <w:p>
      <w:pPr>
        <w:pStyle w:val="ArticleBody"/>
        <w:jc w:val="left"/>
      </w:pP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चेतावनीबाट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मानिसजातिको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पुग्नुभन्दा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प्रकाशमा</w:t>
      </w:r>
      <w:r>
        <w:rPr>
          <w:rFonts w:ascii="Times New Roman" w:hAnsi="Times New Roman" w:eastAsia="Times New Roman" w:cs="Times New Roman"/>
        </w:rPr>
        <w:t xml:space="preserve"> </w:t>
      </w:r>
      <w:r>
        <w:rPr>
          <w:rFonts w:ascii="Nirmala UI" w:hAnsi="Nirmala UI" w:eastAsia="Nirmala UI" w:cs="Nirmala UI"/>
        </w:rPr>
        <w:t>खोलिएको</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वृद्धिलाई</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गरियोस्।</w:t>
      </w:r>
      <w:r>
        <w:rPr>
          <w:rFonts w:ascii="Times New Roman" w:hAnsi="Times New Roman" w:eastAsia="Times New Roman" w:cs="Times New Roman"/>
        </w:rPr>
        <w:t xml:space="preserve"> </w:t>
      </w:r>
      <w:r>
        <w:rPr>
          <w:rFonts w:ascii="Nirmala UI" w:hAnsi="Nirmala UI" w:eastAsia="Nirmala UI" w:cs="Nirmala UI"/>
        </w:rPr>
        <w:t>एडभेन्टवादभित्र</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एडभेन्टवादबाहिरका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खोलिएको</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आधारमा</w:t>
      </w:r>
      <w:r>
        <w:rPr>
          <w:rFonts w:ascii="Times New Roman" w:hAnsi="Times New Roman" w:eastAsia="Times New Roman" w:cs="Times New Roman"/>
        </w:rPr>
        <w:t xml:space="preserve"> </w:t>
      </w:r>
      <w:r>
        <w:rPr>
          <w:rFonts w:ascii="Nirmala UI" w:hAnsi="Nirmala UI" w:eastAsia="Nirmala UI" w:cs="Nirmala UI"/>
        </w:rPr>
        <w:t>टेकेको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बगैंचाको</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रूखद्वारा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खराबमध्ये</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एकको</w:t>
      </w:r>
      <w:r>
        <w:rPr>
          <w:rFonts w:ascii="Times New Roman" w:hAnsi="Times New Roman" w:eastAsia="Times New Roman" w:cs="Times New Roman"/>
        </w:rPr>
        <w:t xml:space="preserve"> </w:t>
      </w:r>
      <w:r>
        <w:rPr>
          <w:rFonts w:ascii="Nirmala UI" w:hAnsi="Nirmala UI" w:eastAsia="Nirmala UI" w:cs="Nirmala UI"/>
        </w:rPr>
        <w:t>ज्ञानलाई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1904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टेनेसीको</w:t>
      </w:r>
      <w:r>
        <w:rPr>
          <w:rFonts w:ascii="Times New Roman" w:hAnsi="Times New Roman" w:eastAsia="Times New Roman" w:cs="Times New Roman"/>
        </w:rPr>
        <w:t xml:space="preserve"> </w:t>
      </w:r>
      <w:r>
        <w:rPr>
          <w:rFonts w:ascii="Nirmala UI" w:hAnsi="Nirmala UI" w:eastAsia="Nirmala UI" w:cs="Nirmala UI"/>
        </w:rPr>
        <w:t>नाशभिलमा</w:t>
      </w:r>
      <w:r>
        <w:rPr>
          <w:rFonts w:ascii="Times New Roman" w:hAnsi="Times New Roman" w:eastAsia="Times New Roman" w:cs="Times New Roman"/>
        </w:rPr>
        <w:t xml:space="preserve"> </w:t>
      </w:r>
      <w:r>
        <w:rPr>
          <w:rFonts w:ascii="Nirmala UI" w:hAnsi="Nirmala UI" w:eastAsia="Nirmala UI" w:cs="Nirmala UI"/>
        </w:rPr>
        <w:t>अवस्थित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1897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नाशभिलमा</w:t>
      </w:r>
      <w:r>
        <w:rPr>
          <w:rFonts w:ascii="Times New Roman" w:hAnsi="Times New Roman" w:eastAsia="Times New Roman" w:cs="Times New Roman"/>
        </w:rPr>
        <w:t xml:space="preserve"> </w:t>
      </w:r>
      <w:r>
        <w:rPr>
          <w:rFonts w:ascii="Nirmala UI" w:hAnsi="Nirmala UI" w:eastAsia="Nirmala UI" w:cs="Nirmala UI"/>
        </w:rPr>
        <w:t>अवस्थित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1920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स्थायी</w:t>
      </w:r>
      <w:r>
        <w:rPr>
          <w:rFonts w:ascii="Times New Roman" w:hAnsi="Times New Roman" w:eastAsia="Times New Roman" w:cs="Times New Roman"/>
        </w:rPr>
        <w:t xml:space="preserve"> </w:t>
      </w:r>
      <w:r>
        <w:rPr>
          <w:rFonts w:ascii="Nirmala UI" w:hAnsi="Nirmala UI" w:eastAsia="Nirmala UI" w:cs="Nirmala UI"/>
        </w:rPr>
        <w:t>संरचनाका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पुनर्निर्माण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भविष्यवक्त्रीको</w:t>
      </w:r>
      <w:r>
        <w:rPr>
          <w:rFonts w:ascii="Times New Roman" w:hAnsi="Times New Roman" w:eastAsia="Times New Roman" w:cs="Times New Roman"/>
        </w:rPr>
        <w:t xml:space="preserve"> </w:t>
      </w:r>
      <w:r>
        <w:rPr>
          <w:rFonts w:ascii="Nirmala UI" w:hAnsi="Nirmala UI" w:eastAsia="Nirmala UI" w:cs="Nirmala UI"/>
        </w:rPr>
        <w:t>जीवनमा</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नाशभिलमा</w:t>
      </w:r>
      <w:r>
        <w:rPr>
          <w:rFonts w:ascii="Times New Roman" w:hAnsi="Times New Roman" w:eastAsia="Times New Roman" w:cs="Times New Roman"/>
        </w:rPr>
        <w:t xml:space="preserve"> </w:t>
      </w:r>
      <w:r>
        <w:rPr>
          <w:rFonts w:ascii="Nirmala UI" w:hAnsi="Nirmala UI" w:eastAsia="Nirmala UI" w:cs="Nirmala UI"/>
        </w:rPr>
        <w:t>प्रतिष्ठित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प्रतिष्ठित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1915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भएपछि</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पार्थेनोन</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स्थायी</w:t>
      </w:r>
      <w:r>
        <w:rPr>
          <w:rFonts w:ascii="Times New Roman" w:hAnsi="Times New Roman" w:eastAsia="Times New Roman" w:cs="Times New Roman"/>
        </w:rPr>
        <w:t xml:space="preserve"> </w:t>
      </w:r>
      <w:r>
        <w:rPr>
          <w:rFonts w:ascii="Nirmala UI" w:hAnsi="Nirmala UI" w:eastAsia="Nirmala UI" w:cs="Nirmala UI"/>
        </w:rPr>
        <w:t>निर्माणमा</w:t>
      </w:r>
      <w:r>
        <w:rPr>
          <w:rFonts w:ascii="Times New Roman" w:hAnsi="Times New Roman" w:eastAsia="Times New Roman" w:cs="Times New Roman"/>
        </w:rPr>
        <w:t xml:space="preserve"> </w:t>
      </w:r>
      <w:r>
        <w:rPr>
          <w:rFonts w:ascii="Nirmala UI" w:hAnsi="Nirmala UI" w:eastAsia="Nirmala UI" w:cs="Nirmala UI"/>
        </w:rPr>
        <w:t>पुनर्स्थापित</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लाओडिकीया</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कलीसियाको</w:t>
      </w:r>
      <w:r>
        <w:rPr>
          <w:rFonts w:ascii="Times New Roman" w:hAnsi="Times New Roman" w:eastAsia="Times New Roman" w:cs="Times New Roman"/>
        </w:rPr>
        <w:t xml:space="preserve"> </w:t>
      </w:r>
      <w:r>
        <w:rPr>
          <w:rFonts w:ascii="Nirmala UI" w:hAnsi="Nirmala UI" w:eastAsia="Nirmala UI" w:cs="Nirmala UI"/>
        </w:rPr>
        <w:t>नेतृत्वद्वारा</w:t>
      </w:r>
      <w:r>
        <w:rPr>
          <w:rFonts w:ascii="Times New Roman" w:hAnsi="Times New Roman" w:eastAsia="Times New Roman" w:cs="Times New Roman"/>
        </w:rPr>
        <w:t xml:space="preserve"> </w:t>
      </w:r>
      <w:r>
        <w:rPr>
          <w:rFonts w:ascii="Nirmala UI" w:hAnsi="Nirmala UI" w:eastAsia="Nirmala UI" w:cs="Nirmala UI"/>
        </w:rPr>
        <w:t>संसारसँगको</w:t>
      </w:r>
      <w:r>
        <w:rPr>
          <w:rFonts w:ascii="Times New Roman" w:hAnsi="Times New Roman" w:eastAsia="Times New Roman" w:cs="Times New Roman"/>
        </w:rPr>
        <w:t xml:space="preserve"> </w:t>
      </w:r>
      <w:r>
        <w:rPr>
          <w:rFonts w:ascii="Nirmala UI" w:hAnsi="Nirmala UI" w:eastAsia="Nirmala UI" w:cs="Nirmala UI"/>
        </w:rPr>
        <w:t>समझौतामार्फत</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गरियो।</w:t>
      </w:r>
    </w:p>
    <w:p>
      <w:pPr>
        <w:pStyle w:val="ArticleBody"/>
        <w:jc w:val="left"/>
      </w:pPr>
      <w:r>
        <w:rPr>
          <w:rFonts w:ascii="Nirmala UI" w:hAnsi="Nirmala UI" w:eastAsia="Nirmala UI" w:cs="Nirmala UI"/>
        </w:rPr>
        <w:t>लेकीनिऐल्लि</w:t>
      </w:r>
      <w:r>
        <w:rPr>
          <w:rFonts w:ascii="Times New Roman" w:hAnsi="Times New Roman" w:eastAsia="Times New Roman" w:cs="Times New Roman"/>
        </w:rPr>
        <w:t xml:space="preserve"> </w:t>
      </w:r>
      <w:r>
        <w:rPr>
          <w:rFonts w:ascii="Nirmala UI" w:hAnsi="Nirmala UI" w:eastAsia="Nirmala UI" w:cs="Nirmala UI"/>
        </w:rPr>
        <w:t>नाशविल्लेथ</w:t>
      </w:r>
      <w:r>
        <w:rPr>
          <w:rFonts w:ascii="Times New Roman" w:hAnsi="Times New Roman" w:eastAsia="Times New Roman" w:cs="Times New Roman"/>
        </w:rPr>
        <w:t xml:space="preserve"> </w:t>
      </w:r>
      <w:r>
        <w:rPr>
          <w:rFonts w:ascii="Nirmala UI" w:hAnsi="Nirmala UI" w:eastAsia="Nirmala UI" w:cs="Nirmala UI"/>
        </w:rPr>
        <w:t>फुआम</w:t>
      </w:r>
      <w:r>
        <w:rPr>
          <w:rFonts w:ascii="Times New Roman" w:hAnsi="Times New Roman" w:eastAsia="Times New Roman" w:cs="Times New Roman"/>
        </w:rPr>
        <w:t>, “</w:t>
      </w:r>
      <w:r>
        <w:rPr>
          <w:rFonts w:ascii="Nirmala UI" w:hAnsi="Nirmala UI" w:eastAsia="Nirmala UI" w:cs="Nirmala UI"/>
        </w:rPr>
        <w:t>अथेन्स</w:t>
      </w:r>
      <w:r>
        <w:rPr>
          <w:rFonts w:ascii="Times New Roman" w:hAnsi="Times New Roman" w:eastAsia="Times New Roman" w:cs="Times New Roman"/>
        </w:rPr>
        <w:t xml:space="preserve"> </w:t>
      </w:r>
      <w:r>
        <w:rPr>
          <w:rFonts w:ascii="Nirmala UI" w:hAnsi="Nirmala UI" w:eastAsia="Nirmala UI" w:cs="Nirmala UI"/>
        </w:rPr>
        <w:t>अफ</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साउथ</w:t>
      </w:r>
      <w:r>
        <w:rPr>
          <w:rFonts w:ascii="Times New Roman" w:hAnsi="Times New Roman" w:eastAsia="Times New Roman" w:cs="Times New Roman"/>
        </w:rPr>
        <w:t xml:space="preserve">,” 1897 </w:t>
      </w:r>
      <w:r>
        <w:rPr>
          <w:rFonts w:ascii="Nirmala UI" w:hAnsi="Nirmala UI" w:eastAsia="Nirmala UI" w:cs="Nirmala UI"/>
        </w:rPr>
        <w:t>सेन्टेन्निअल</w:t>
      </w:r>
      <w:r>
        <w:rPr>
          <w:rFonts w:ascii="Times New Roman" w:hAnsi="Times New Roman" w:eastAsia="Times New Roman" w:cs="Times New Roman"/>
        </w:rPr>
        <w:t xml:space="preserve"> </w:t>
      </w:r>
      <w:r>
        <w:rPr>
          <w:rFonts w:ascii="Nirmala UI" w:hAnsi="Nirmala UI" w:eastAsia="Nirmala UI" w:cs="Nirmala UI"/>
        </w:rPr>
        <w:t>एक्सपोजिस्योन्थ</w:t>
      </w:r>
      <w:r>
        <w:rPr>
          <w:rFonts w:ascii="Times New Roman" w:hAnsi="Times New Roman" w:eastAsia="Times New Roman" w:cs="Times New Roman"/>
        </w:rPr>
        <w:t xml:space="preserve"> </w:t>
      </w:r>
      <w:r>
        <w:rPr>
          <w:rFonts w:ascii="Nirmala UI" w:hAnsi="Nirmala UI" w:eastAsia="Nirmala UI" w:cs="Nirmala UI"/>
        </w:rPr>
        <w:t>केन्द्रीय</w:t>
      </w:r>
      <w:r>
        <w:rPr>
          <w:rFonts w:ascii="Times New Roman" w:hAnsi="Times New Roman" w:eastAsia="Times New Roman" w:cs="Times New Roman"/>
        </w:rPr>
        <w:t xml:space="preserve"> </w:t>
      </w:r>
      <w:r>
        <w:rPr>
          <w:rFonts w:ascii="Nirmala UI" w:hAnsi="Nirmala UI" w:eastAsia="Nirmala UI" w:cs="Nirmala UI"/>
        </w:rPr>
        <w:t>भवनआद</w:t>
      </w:r>
      <w:r>
        <w:rPr>
          <w:rFonts w:ascii="Times New Roman" w:hAnsi="Times New Roman" w:eastAsia="Times New Roman" w:cs="Times New Roman"/>
        </w:rPr>
        <w:t xml:space="preserve"> </w:t>
      </w:r>
      <w:r>
        <w:rPr>
          <w:rFonts w:ascii="Nirmala UI" w:hAnsi="Nirmala UI" w:eastAsia="Nirmala UI" w:cs="Nirmala UI"/>
        </w:rPr>
        <w:t>ओनसोलोंनो</w:t>
      </w:r>
      <w:r>
        <w:rPr>
          <w:rFonts w:ascii="Times New Roman" w:hAnsi="Times New Roman" w:eastAsia="Times New Roman" w:cs="Times New Roman"/>
        </w:rPr>
        <w:t xml:space="preserve"> </w:t>
      </w:r>
      <w:r>
        <w:rPr>
          <w:rFonts w:ascii="Nirmala UI" w:hAnsi="Nirmala UI" w:eastAsia="Nirmala UI" w:cs="Nirmala UI"/>
        </w:rPr>
        <w:t>सायखोम</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एक्सपोजिस्योन्थनि</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जेरैबाय</w:t>
      </w:r>
      <w:r>
        <w:rPr>
          <w:rFonts w:ascii="Times New Roman" w:hAnsi="Times New Roman" w:eastAsia="Times New Roman" w:cs="Times New Roman"/>
        </w:rPr>
        <w:t xml:space="preserve"> </w:t>
      </w:r>
      <w:r>
        <w:rPr>
          <w:rFonts w:ascii="Nirmala UI" w:hAnsi="Nirmala UI" w:eastAsia="Nirmala UI" w:cs="Nirmala UI"/>
        </w:rPr>
        <w:t>गुदि</w:t>
      </w:r>
      <w:r>
        <w:rPr>
          <w:rFonts w:ascii="Times New Roman" w:hAnsi="Times New Roman" w:eastAsia="Times New Roman" w:cs="Times New Roman"/>
        </w:rPr>
        <w:t xml:space="preserve"> </w:t>
      </w:r>
      <w:r>
        <w:rPr>
          <w:rFonts w:ascii="Nirmala UI" w:hAnsi="Nirmala UI" w:eastAsia="Nirmala UI" w:cs="Nirmala UI"/>
        </w:rPr>
        <w:t>भवनफोरनि</w:t>
      </w:r>
      <w:r>
        <w:rPr>
          <w:rFonts w:ascii="Times New Roman" w:hAnsi="Times New Roman" w:eastAsia="Times New Roman" w:cs="Times New Roman"/>
        </w:rPr>
        <w:t xml:space="preserve"> </w:t>
      </w:r>
      <w:r>
        <w:rPr>
          <w:rFonts w:ascii="Nirmala UI" w:hAnsi="Nirmala UI" w:eastAsia="Nirmala UI" w:cs="Nirmala UI"/>
        </w:rPr>
        <w:t>आदिरूप</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मूलफोर</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लानाय</w:t>
      </w:r>
      <w:r>
        <w:rPr>
          <w:rFonts w:ascii="Times New Roman" w:hAnsi="Times New Roman" w:eastAsia="Times New Roman" w:cs="Times New Roman"/>
        </w:rPr>
        <w:t xml:space="preserve"> </w:t>
      </w:r>
      <w:r>
        <w:rPr>
          <w:rFonts w:ascii="Nirmala UI" w:hAnsi="Nirmala UI" w:eastAsia="Nirmala UI" w:cs="Nirmala UI"/>
        </w:rPr>
        <w:t>आसिल।</w:t>
      </w:r>
      <w:r>
        <w:rPr>
          <w:rFonts w:ascii="Times New Roman" w:hAnsi="Times New Roman" w:eastAsia="Times New Roman" w:cs="Times New Roman"/>
        </w:rPr>
        <w:t xml:space="preserve"> </w:t>
      </w:r>
      <w:r>
        <w:rPr>
          <w:rFonts w:ascii="Nirmala UI" w:hAnsi="Nirmala UI" w:eastAsia="Nirmala UI" w:cs="Nirmala UI"/>
        </w:rPr>
        <w:t>एरसेबो</w:t>
      </w:r>
      <w:r>
        <w:rPr>
          <w:rFonts w:ascii="Times New Roman" w:hAnsi="Times New Roman" w:eastAsia="Times New Roman" w:cs="Times New Roman"/>
        </w:rPr>
        <w:t xml:space="preserve">, </w:t>
      </w:r>
      <w:r>
        <w:rPr>
          <w:rFonts w:ascii="Nirmala UI" w:hAnsi="Nirmala UI" w:eastAsia="Nirmala UI" w:cs="Nirmala UI"/>
        </w:rPr>
        <w:t>पार्थेनोनखौबो</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हाबाफोरनि</w:t>
      </w:r>
      <w:r>
        <w:rPr>
          <w:rFonts w:ascii="Times New Roman" w:hAnsi="Times New Roman" w:eastAsia="Times New Roman" w:cs="Times New Roman"/>
        </w:rPr>
        <w:t xml:space="preserve"> </w:t>
      </w:r>
      <w:r>
        <w:rPr>
          <w:rFonts w:ascii="Nirmala UI" w:hAnsi="Nirmala UI" w:eastAsia="Nirmala UI" w:cs="Nirmala UI"/>
        </w:rPr>
        <w:t>सोलायनायनि</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नायबो</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सोलोंखाय</w:t>
      </w:r>
      <w:r>
        <w:rPr>
          <w:rFonts w:ascii="Times New Roman" w:hAnsi="Times New Roman" w:eastAsia="Times New Roman" w:cs="Times New Roman"/>
        </w:rPr>
        <w:t xml:space="preserve"> </w:t>
      </w:r>
      <w:r>
        <w:rPr>
          <w:rFonts w:ascii="Nirmala UI" w:hAnsi="Nirmala UI" w:eastAsia="Nirmala UI" w:cs="Nirmala UI"/>
        </w:rPr>
        <w:t>गोहोमजों</w:t>
      </w:r>
      <w:r>
        <w:rPr>
          <w:rFonts w:ascii="Times New Roman" w:hAnsi="Times New Roman" w:eastAsia="Times New Roman" w:cs="Times New Roman"/>
        </w:rPr>
        <w:t xml:space="preserve"> </w:t>
      </w:r>
      <w:r>
        <w:rPr>
          <w:rFonts w:ascii="Nirmala UI" w:hAnsi="Nirmala UI" w:eastAsia="Nirmala UI" w:cs="Nirmala UI"/>
        </w:rPr>
        <w:t>सुबुंनि</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दाहालामोन।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नाशविल्ले</w:t>
      </w:r>
      <w:r>
        <w:rPr>
          <w:rFonts w:ascii="Times New Roman" w:hAnsi="Times New Roman" w:eastAsia="Times New Roman" w:cs="Times New Roman"/>
        </w:rPr>
        <w:t xml:space="preserve">, </w:t>
      </w:r>
      <w:r>
        <w:rPr>
          <w:rFonts w:ascii="Nirmala UI" w:hAnsi="Nirmala UI" w:eastAsia="Nirmala UI" w:cs="Nirmala UI"/>
        </w:rPr>
        <w:t>टेनेसी</w:t>
      </w:r>
      <w:r>
        <w:rPr>
          <w:rFonts w:ascii="Times New Roman" w:hAnsi="Times New Roman" w:eastAsia="Times New Roman" w:cs="Times New Roman"/>
        </w:rPr>
        <w:t xml:space="preserve">, </w:t>
      </w:r>
      <w:r>
        <w:rPr>
          <w:rFonts w:ascii="Nirmala UI" w:hAnsi="Nirmala UI" w:eastAsia="Nirmala UI" w:cs="Nirmala UI"/>
        </w:rPr>
        <w:t>आथिखालामनायनि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फामोस</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Johnny Cash Museum </w:t>
      </w:r>
      <w:r>
        <w:rPr>
          <w:rFonts w:ascii="Nirmala UI" w:hAnsi="Nirmala UI" w:eastAsia="Nirmala UI" w:cs="Nirmala UI"/>
        </w:rPr>
        <w:t>दंनायनि</w:t>
      </w:r>
      <w:r>
        <w:rPr>
          <w:rFonts w:ascii="Times New Roman" w:hAnsi="Times New Roman" w:eastAsia="Times New Roman" w:cs="Times New Roman"/>
        </w:rPr>
        <w:t xml:space="preserve"> </w:t>
      </w:r>
      <w:r>
        <w:rPr>
          <w:rFonts w:ascii="Nirmala UI" w:hAnsi="Nirmala UI" w:eastAsia="Nirmala UI" w:cs="Nirmala UI"/>
        </w:rPr>
        <w:t>आगोलाव</w:t>
      </w:r>
      <w:r>
        <w:rPr>
          <w:rFonts w:ascii="Times New Roman" w:hAnsi="Times New Roman" w:eastAsia="Times New Roman" w:cs="Times New Roman"/>
        </w:rPr>
        <w:t xml:space="preserve">, </w:t>
      </w:r>
      <w:r>
        <w:rPr>
          <w:rFonts w:ascii="Nirmala UI" w:hAnsi="Nirmala UI" w:eastAsia="Nirmala UI" w:cs="Nirmala UI"/>
        </w:rPr>
        <w:t>नाशविल्ले</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गायनायनि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सोलोंनायनि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फामोस</w:t>
      </w:r>
      <w:r>
        <w:rPr>
          <w:rFonts w:ascii="Times New Roman" w:hAnsi="Times New Roman" w:eastAsia="Times New Roman" w:cs="Times New Roman"/>
        </w:rPr>
        <w:t xml:space="preserve"> </w:t>
      </w:r>
      <w:r>
        <w:rPr>
          <w:rFonts w:ascii="Nirmala UI" w:hAnsi="Nirmala UI" w:eastAsia="Nirmala UI" w:cs="Nirmala UI"/>
        </w:rPr>
        <w:t>आसिल।</w:t>
      </w:r>
    </w:p>
    <w:p>
      <w:pPr>
        <w:pStyle w:val="ArticleBody"/>
        <w:jc w:val="left"/>
      </w:pPr>
      <w:r>
        <w:rPr>
          <w:rFonts w:ascii="Times New Roman" w:hAnsi="Times New Roman" w:eastAsia="Times New Roman" w:cs="Times New Roman"/>
        </w:rPr>
        <w:t>Do thangs 1850, bha Nashville air am far-ainm “Athens a’ Chinn a Deas” a chosnadh mar-thà air sgàth gun deach iomadh ionad foghlaim àrd-ìre a stèidheachadh ann; b’ i a’ chiad bhaile ann an ceann a deas Ameireagaidh a stèidhich siostam sgoiltean poblach. Ro dheireadh na linn, chitheadh Nashville Oilthigh Fisk, Acadamaidh Naomh Cecilia, Acadamaidh Montgomery Bell, Colaiste Leigheis Meharry, Oilthigh Belmont, agus Oilthigh Vanderbilt uile a’ fosgladh an dorsan. Aig an àm sin, bha Nashville aithnichte mar aon de na bailtean a bu mhìniche agus a b’ fhòghlamaichte anns a’ cheann a deas, làn beairteis agus cultair.</w:t>
      </w:r>
    </w:p>
    <w:p>
      <w:pPr>
        <w:pStyle w:val="ArticleBody"/>
        <w:jc w:val="left"/>
      </w:pPr>
      <w:r>
        <w:rPr>
          <w:rFonts w:ascii="Times New Roman" w:hAnsi="Times New Roman" w:eastAsia="Times New Roman" w:cs="Times New Roman"/>
        </w:rPr>
        <w:t>Le mystère de l’iniquité est à la fois un nom et un verbe dans la Parole inspirée. L’Inspiration identifie Satan, ainsi que le pape, que Sœur White appelle « le bras droit de Satan », comme étant le mystère de l’iniquité. Pourtant, le « mystère de l’iniquité » décrit aussi l’amalgame de la vérité et de l’erreur. Les quatre générations d’apostasie de Joël correspondent aux quatre abominations croissantes du chapitre huit d’Ézéchiel. Ces deux témoins correspondent aux quatre premières Églises de l’Apocalypse, et la troisième Église est représentée par le compromis de Constantin, où le christianisme est combiné avec le paganisme. Ces quatre premières Églises correspondent à l’histoire de l’Israël ancien, laquelle symbolise l’histoire de l’Israël moderne.</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ꯃꯄꯨꯡꯁꯤ</w:t>
      </w:r>
      <w:r>
        <w:rPr>
          <w:rFonts w:ascii="Times New Roman" w:hAnsi="Times New Roman" w:eastAsia="Times New Roman" w:cs="Times New Roman"/>
        </w:rPr>
        <w:t xml:space="preserve"> </w:t>
      </w:r>
      <w:r>
        <w:rPr>
          <w:rFonts w:ascii="Nirmala UI" w:hAnsi="Nirmala UI" w:eastAsia="Nirmala UI" w:cs="Nirmala UI"/>
        </w:rPr>
        <w:t>ꯑꯣꯜꯗꯤ</w:t>
      </w:r>
      <w:r>
        <w:rPr>
          <w:rFonts w:ascii="Times New Roman" w:hAnsi="Times New Roman" w:eastAsia="Times New Roman" w:cs="Times New Roman"/>
        </w:rPr>
        <w:t xml:space="preserve"> </w:t>
      </w:r>
      <w:r>
        <w:rPr>
          <w:rFonts w:ascii="Nirmala UI" w:hAnsi="Nirmala UI" w:eastAsia="Nirmala UI" w:cs="Nirmala UI"/>
        </w:rPr>
        <w:t>ꯏꯁ꯭ꯔꯥꯑꯦꯜꯒꯤ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ꯏꯁ꯭ꯔꯥꯑꯦꯜꯒꯤ</w:t>
      </w:r>
      <w:r>
        <w:rPr>
          <w:rFonts w:ascii="Times New Roman" w:hAnsi="Times New Roman" w:eastAsia="Times New Roman" w:cs="Times New Roman"/>
        </w:rPr>
        <w:t xml:space="preserve"> </w:t>
      </w:r>
      <w:r>
        <w:rPr>
          <w:rFonts w:ascii="Nirmala UI" w:hAnsi="Nirmala UI" w:eastAsia="Nirmala UI" w:cs="Nirmala UI"/>
        </w:rPr>
        <w:t>ꯅꯤꯡꯊꯧꯁꯤꯡꯅ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ꯃꯤꯂꯤꯁꯤꯡꯒ</w:t>
      </w:r>
      <w:r>
        <w:rPr>
          <w:rFonts w:ascii="Times New Roman" w:hAnsi="Times New Roman" w:eastAsia="Times New Roman" w:cs="Times New Roman"/>
        </w:rPr>
        <w:t xml:space="preserve"> </w:t>
      </w:r>
      <w:r>
        <w:rPr>
          <w:rFonts w:ascii="Nirmala UI" w:hAnsi="Nirmala UI" w:eastAsia="Nirmala UI" w:cs="Nirmala UI"/>
        </w:rPr>
        <w:t>ꯂꯣꯏꯅꯕ</w:t>
      </w:r>
      <w:r>
        <w:rPr>
          <w:rFonts w:ascii="Times New Roman" w:hAnsi="Times New Roman" w:eastAsia="Times New Roman" w:cs="Times New Roman"/>
        </w:rPr>
        <w:t xml:space="preserve"> </w:t>
      </w:r>
      <w:r>
        <w:rPr>
          <w:rFonts w:ascii="Nirmala UI" w:hAnsi="Nirmala UI" w:eastAsia="Nirmala UI" w:cs="Nirmala UI"/>
        </w:rPr>
        <w:t>ꯐꯪꯈꯤ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ꯑꯦꯛꯈꯣꯏ</w:t>
      </w:r>
      <w:r>
        <w:rPr>
          <w:rFonts w:ascii="Times New Roman" w:hAnsi="Times New Roman" w:eastAsia="Times New Roman" w:cs="Times New Roman"/>
        </w:rPr>
        <w:t xml:space="preserve"> </w:t>
      </w:r>
      <w:r>
        <w:rPr>
          <w:rFonts w:ascii="Nirmala UI" w:hAnsi="Nirmala UI" w:eastAsia="Nirmala UI" w:cs="Nirmala UI"/>
        </w:rPr>
        <w:t>ꯈꯪꯍꯜꯂꯣꯅꯕ</w:t>
      </w:r>
      <w:r>
        <w:rPr>
          <w:rFonts w:ascii="Times New Roman" w:hAnsi="Times New Roman" w:eastAsia="Times New Roman" w:cs="Times New Roman"/>
        </w:rPr>
        <w:t xml:space="preserve"> </w:t>
      </w:r>
      <w:r>
        <w:rPr>
          <w:rFonts w:ascii="Nirmala UI" w:hAnsi="Nirmala UI" w:eastAsia="Nirmala UI" w:cs="Nirmala UI"/>
        </w:rPr>
        <w:t>ꯁꯤꯗ</w:t>
      </w:r>
      <w:r>
        <w:rPr>
          <w:rFonts w:ascii="Times New Roman" w:hAnsi="Times New Roman" w:eastAsia="Times New Roman" w:cs="Times New Roman"/>
        </w:rPr>
        <w:t xml:space="preserve"> </w:t>
      </w:r>
      <w:r>
        <w:rPr>
          <w:rFonts w:ascii="Nirmala UI" w:hAnsi="Nirmala UI" w:eastAsia="Nirmala UI" w:cs="Nirmala UI"/>
        </w:rPr>
        <w:t>ꯏꯕꯨꯡꯉꯣ</w:t>
      </w:r>
      <w:r>
        <w:rPr>
          <w:rFonts w:ascii="Times New Roman" w:hAnsi="Times New Roman" w:eastAsia="Times New Roman" w:cs="Times New Roman"/>
        </w:rPr>
        <w:t xml:space="preserve"> </w:t>
      </w:r>
      <w:r>
        <w:rPr>
          <w:rFonts w:ascii="Nirmala UI" w:hAnsi="Nirmala UI" w:eastAsia="Nirmala UI" w:cs="Nirmala UI"/>
        </w:rPr>
        <w:t>ꯃꯤꯌꯣꯏꯕꯁꯤꯡꯒ</w:t>
      </w:r>
      <w:r>
        <w:rPr>
          <w:rFonts w:ascii="Times New Roman" w:hAnsi="Times New Roman" w:eastAsia="Times New Roman" w:cs="Times New Roman"/>
        </w:rPr>
        <w:t xml:space="preserve"> </w:t>
      </w:r>
      <w:r>
        <w:rPr>
          <w:rFonts w:ascii="Nirmala UI" w:hAnsi="Nirmala UI" w:eastAsia="Nirmala UI" w:cs="Nirmala UI"/>
        </w:rPr>
        <w:t>ꯂꯣꯏꯅꯕ</w:t>
      </w:r>
      <w:r>
        <w:rPr>
          <w:rFonts w:ascii="Times New Roman" w:hAnsi="Times New Roman" w:eastAsia="Times New Roman" w:cs="Times New Roman"/>
        </w:rPr>
        <w:t xml:space="preserve"> </w:t>
      </w:r>
      <w:r>
        <w:rPr>
          <w:rFonts w:ascii="Nirmala UI" w:hAnsi="Nirmala UI" w:eastAsia="Nirmala UI" w:cs="Nirmala UI"/>
        </w:rPr>
        <w:t>ꯑꯥꯟꯕꯥ</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ꯑꯣꯜꯗꯤ</w:t>
      </w:r>
      <w:r>
        <w:rPr>
          <w:rFonts w:ascii="Times New Roman" w:hAnsi="Times New Roman" w:eastAsia="Times New Roman" w:cs="Times New Roman"/>
        </w:rPr>
        <w:t xml:space="preserve"> </w:t>
      </w:r>
      <w:r>
        <w:rPr>
          <w:rFonts w:ascii="Nirmala UI" w:hAnsi="Nirmala UI" w:eastAsia="Nirmala UI" w:cs="Nirmala UI"/>
        </w:rPr>
        <w:t>ꯂꯤꯇ꯭ꯔꯦꯜ</w:t>
      </w:r>
      <w:r>
        <w:rPr>
          <w:rFonts w:ascii="Times New Roman" w:hAnsi="Times New Roman" w:eastAsia="Times New Roman" w:cs="Times New Roman"/>
        </w:rPr>
        <w:t xml:space="preserve"> </w:t>
      </w:r>
      <w:r>
        <w:rPr>
          <w:rFonts w:ascii="Nirmala UI" w:hAnsi="Nirmala UI" w:eastAsia="Nirmala UI" w:cs="Nirmala UI"/>
        </w:rPr>
        <w:t>ꯏꯁ꯭ꯔꯥꯑꯦꯜ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ꯈ꯭ꯔꯤꯁꯆꯤꯌꯟ</w:t>
      </w:r>
      <w:r>
        <w:rPr>
          <w:rFonts w:ascii="Times New Roman" w:hAnsi="Times New Roman" w:eastAsia="Times New Roman" w:cs="Times New Roman"/>
        </w:rPr>
        <w:t xml:space="preserve"> </w:t>
      </w:r>
      <w:r>
        <w:rPr>
          <w:rFonts w:ascii="Nirmala UI" w:hAnsi="Nirmala UI" w:eastAsia="Nirmala UI" w:cs="Nirmala UI"/>
        </w:rPr>
        <w:t>ꯂꯩꯄꯥꯛꯀꯤ</w:t>
      </w:r>
      <w:r>
        <w:rPr>
          <w:rFonts w:ascii="Times New Roman" w:hAnsi="Times New Roman" w:eastAsia="Times New Roman" w:cs="Times New Roman"/>
        </w:rPr>
        <w:t xml:space="preserve"> </w:t>
      </w:r>
      <w:r>
        <w:rPr>
          <w:rFonts w:ascii="Nirmala UI" w:hAnsi="Nirmala UI" w:eastAsia="Nirmala UI" w:cs="Nirmala UI"/>
        </w:rPr>
        <w:t>ꯄꯥꯔꯦꯜ</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Revelation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ꯐꯣꯡꯗꯣꯛꯂꯕ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“Habakkuk’s Tables”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ꯅꯈꯨꯠꯁꯤꯕ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ꯏꯄꯣꯛ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Joel </w:t>
      </w:r>
      <w:r>
        <w:rPr>
          <w:rFonts w:ascii="Nirmala UI" w:hAnsi="Nirmala UI" w:eastAsia="Nirmala UI" w:cs="Nirmala UI"/>
        </w:rPr>
        <w:t>ꯅ</w:t>
      </w:r>
      <w:r>
        <w:rPr>
          <w:rFonts w:ascii="Times New Roman" w:hAnsi="Times New Roman" w:eastAsia="Times New Roman" w:cs="Times New Roman"/>
        </w:rPr>
        <w:t xml:space="preserve"> “cut off”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ꯏꯕꯨꯡꯉꯣꯒꯤ</w:t>
      </w:r>
      <w:r>
        <w:rPr>
          <w:rFonts w:ascii="Times New Roman" w:hAnsi="Times New Roman" w:eastAsia="Times New Roman" w:cs="Times New Roman"/>
        </w:rPr>
        <w:t xml:space="preserve"> </w:t>
      </w:r>
      <w:r>
        <w:rPr>
          <w:rFonts w:ascii="Nirmala UI" w:hAnsi="Nirmala UI" w:eastAsia="Nirmala UI" w:cs="Nirmala UI"/>
        </w:rPr>
        <w:t>ꯈꯪꯖꯔꯕ</w:t>
      </w:r>
      <w:r>
        <w:rPr>
          <w:rFonts w:ascii="Times New Roman" w:hAnsi="Times New Roman" w:eastAsia="Times New Roman" w:cs="Times New Roman"/>
        </w:rPr>
        <w:t xml:space="preserve"> covenant people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ꯃꯄꯨꯡꯁꯤꯗꯨ</w:t>
      </w:r>
      <w:r>
        <w:rPr>
          <w:rFonts w:ascii="Times New Roman" w:hAnsi="Times New Roman" w:eastAsia="Times New Roman" w:cs="Times New Roman"/>
        </w:rPr>
        <w:t xml:space="preserve"> Ezekiel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ꯑꯁꯦꯟꯕ</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ꯈꯨꯔꯨꯝꯖꯔꯤꯕ</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ꯅꯤꯐꯥꯜꯒ</w:t>
      </w:r>
      <w:r>
        <w:rPr>
          <w:rFonts w:ascii="Times New Roman" w:hAnsi="Times New Roman" w:eastAsia="Times New Roman" w:cs="Times New Roman"/>
        </w:rPr>
        <w:t xml:space="preserve"> </w:t>
      </w:r>
      <w:r>
        <w:rPr>
          <w:rFonts w:ascii="Nirmala UI" w:hAnsi="Nirmala UI" w:eastAsia="Nirmala UI" w:cs="Nirmala UI"/>
        </w:rPr>
        <w:t>ꯆꯥꯟꯅ</w:t>
      </w:r>
      <w:r>
        <w:rPr>
          <w:rFonts w:ascii="Times New Roman" w:hAnsi="Times New Roman" w:eastAsia="Times New Roman" w:cs="Times New Roman"/>
        </w:rPr>
        <w:t xml:space="preserve"> </w:t>
      </w:r>
      <w:r>
        <w:rPr>
          <w:rFonts w:ascii="Nirmala UI" w:hAnsi="Nirmala UI" w:eastAsia="Nirmala UI" w:cs="Nirmala UI"/>
        </w:rPr>
        <w:t>ꯆꯥꯎꯊꯣꯛꯄ</w:t>
      </w:r>
      <w:r>
        <w:rPr>
          <w:rFonts w:ascii="Times New Roman" w:hAnsi="Times New Roman" w:eastAsia="Times New Roman" w:cs="Times New Roman"/>
        </w:rPr>
        <w:t xml:space="preserve"> </w:t>
      </w:r>
      <w:r>
        <w:rPr>
          <w:rFonts w:ascii="Nirmala UI" w:hAnsi="Nirmala UI" w:eastAsia="Nirmala UI" w:cs="Nirmala UI"/>
        </w:rPr>
        <w:t>ꯃꯍꯩ</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ꯁꯦꯝꯂꯤ꯫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Laodicean Seventh-day Adventism </w:t>
      </w:r>
      <w:r>
        <w:rPr>
          <w:rFonts w:ascii="Nirmala UI" w:hAnsi="Nirmala UI" w:eastAsia="Nirmala UI" w:cs="Nirmala UI"/>
        </w:rPr>
        <w:t>ꯅ</w:t>
      </w:r>
      <w:r>
        <w:rPr>
          <w:rFonts w:ascii="Times New Roman" w:hAnsi="Times New Roman" w:eastAsia="Times New Roman" w:cs="Times New Roman"/>
        </w:rPr>
        <w:t xml:space="preserve"> Sunday law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ꯈꯨꯔꯨꯝꯖꯔꯕ</w:t>
      </w:r>
      <w:r>
        <w:rPr>
          <w:rFonts w:ascii="Times New Roman" w:hAnsi="Times New Roman" w:eastAsia="Times New Roman" w:cs="Times New Roman"/>
        </w:rPr>
        <w:t xml:space="preserve"> </w:t>
      </w:r>
      <w:r>
        <w:rPr>
          <w:rFonts w:ascii="Nirmala UI" w:hAnsi="Nirmala UI" w:eastAsia="Nirmala UI" w:cs="Nirmala UI"/>
        </w:rPr>
        <w:t>ꯃꯔꯝꯅ</w:t>
      </w:r>
      <w:r>
        <w:rPr>
          <w:rFonts w:ascii="Times New Roman" w:hAnsi="Times New Roman" w:eastAsia="Times New Roman" w:cs="Times New Roman"/>
        </w:rPr>
        <w:t xml:space="preserve"> </w:t>
      </w:r>
      <w:r>
        <w:rPr>
          <w:rFonts w:ascii="Nirmala UI" w:hAnsi="Nirmala UI" w:eastAsia="Nirmala UI" w:cs="Nirmala UI"/>
        </w:rPr>
        <w:t>ꯑꯈꯪꯕ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“cut off”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Thyatira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ꯃꯔꯤꯁꯨꯕ</w:t>
      </w:r>
      <w:r>
        <w:rPr>
          <w:rFonts w:ascii="Times New Roman" w:hAnsi="Times New Roman" w:eastAsia="Times New Roman" w:cs="Times New Roman"/>
        </w:rPr>
        <w:t xml:space="preserve"> </w:t>
      </w:r>
      <w:r>
        <w:rPr>
          <w:rFonts w:ascii="Nirmala UI" w:hAnsi="Nirmala UI" w:eastAsia="Nirmala UI" w:cs="Nirmala UI"/>
        </w:rPr>
        <w:t>ꯂꯩꯄꯥꯛꯁꯤꯡꯒ</w:t>
      </w:r>
      <w:r>
        <w:rPr>
          <w:rFonts w:ascii="Times New Roman" w:hAnsi="Times New Roman" w:eastAsia="Times New Roman" w:cs="Times New Roman"/>
        </w:rPr>
        <w:t xml:space="preserve"> </w:t>
      </w:r>
      <w:r>
        <w:rPr>
          <w:rFonts w:ascii="Nirmala UI" w:hAnsi="Nirmala UI" w:eastAsia="Nirmala UI" w:cs="Nirmala UI"/>
        </w:rPr>
        <w:t>ꯆꯥꯟꯅ</w:t>
      </w:r>
      <w:r>
        <w:rPr>
          <w:rFonts w:ascii="Times New Roman" w:hAnsi="Times New Roman" w:eastAsia="Times New Roman" w:cs="Times New Roman"/>
        </w:rPr>
        <w:t xml:space="preserve"> </w:t>
      </w:r>
      <w:r>
        <w:rPr>
          <w:rFonts w:ascii="Nirmala UI" w:hAnsi="Nirmala UI" w:eastAsia="Nirmala UI" w:cs="Nirmala UI"/>
        </w:rPr>
        <w:t>ꯂꯣꯏꯅꯔꯤ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538 </w:t>
      </w:r>
      <w:r>
        <w:rPr>
          <w:rFonts w:ascii="Nirmala UI" w:hAnsi="Nirmala UI" w:eastAsia="Nirmala UI" w:cs="Nirmala UI"/>
        </w:rPr>
        <w:t>ꯑꯃꯅ</w:t>
      </w:r>
      <w:r>
        <w:rPr>
          <w:rFonts w:ascii="Times New Roman" w:hAnsi="Times New Roman" w:eastAsia="Times New Roman" w:cs="Times New Roman"/>
        </w:rPr>
        <w:t xml:space="preserve"> Sunday law </w:t>
      </w:r>
      <w:r>
        <w:rPr>
          <w:rFonts w:ascii="Nirmala UI" w:hAnsi="Nirmala UI" w:eastAsia="Nirmala UI" w:cs="Nirmala UI"/>
        </w:rPr>
        <w:t>ꯂꯥꯛꯂꯛꯄ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papacy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ꯔꯦꯟ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ꯃꯥꯏꯁꯤꯟꯅ</w:t>
      </w:r>
      <w:r>
        <w:rPr>
          <w:rFonts w:ascii="Times New Roman" w:hAnsi="Times New Roman" w:eastAsia="Times New Roman" w:cs="Times New Roman"/>
        </w:rPr>
        <w:t xml:space="preserve"> </w:t>
      </w:r>
      <w:r>
        <w:rPr>
          <w:rFonts w:ascii="Nirmala UI" w:hAnsi="Nirmala UI" w:eastAsia="Nirmala UI" w:cs="Nirmala UI"/>
        </w:rPr>
        <w:t>ꯁꯤꯝꯕꯣꯜ</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Pergamos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ꯂꯩꯄꯥꯛ</w:t>
      </w:r>
      <w:r>
        <w:rPr>
          <w:rFonts w:ascii="Times New Roman" w:hAnsi="Times New Roman" w:eastAsia="Times New Roman" w:cs="Times New Roman"/>
        </w:rPr>
        <w:t xml:space="preserve"> </w:t>
      </w:r>
      <w:r>
        <w:rPr>
          <w:rFonts w:ascii="Nirmala UI" w:hAnsi="Nirmala UI" w:eastAsia="Nirmala UI" w:cs="Nirmala UI"/>
        </w:rPr>
        <w:t>ꯑꯍꯨꯝꯁꯨꯕꯅ</w:t>
      </w:r>
      <w:r>
        <w:rPr>
          <w:rFonts w:ascii="Times New Roman" w:hAnsi="Times New Roman" w:eastAsia="Times New Roman" w:cs="Times New Roman"/>
        </w:rPr>
        <w:t xml:space="preserve"> “compromise”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ꯃꯥꯏꯁꯤꯟꯅ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ꯑꯣꯜꯗꯤ</w:t>
      </w:r>
      <w:r>
        <w:rPr>
          <w:rFonts w:ascii="Times New Roman" w:hAnsi="Times New Roman" w:eastAsia="Times New Roman" w:cs="Times New Roman"/>
        </w:rPr>
        <w:t xml:space="preserve"> </w:t>
      </w:r>
      <w:r>
        <w:rPr>
          <w:rFonts w:ascii="Nirmala UI" w:hAnsi="Nirmala UI" w:eastAsia="Nirmala UI" w:cs="Nirmala UI"/>
        </w:rPr>
        <w:t>ꯏꯁ꯭ꯔꯥꯑꯦꯜꯅ</w:t>
      </w:r>
      <w:r>
        <w:rPr>
          <w:rFonts w:ascii="Times New Roman" w:hAnsi="Times New Roman" w:eastAsia="Times New Roman" w:cs="Times New Roman"/>
        </w:rPr>
        <w:t xml:space="preserve"> pagan kingdoms </w:t>
      </w: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ꯂꯣꯏꯅꯕ</w:t>
      </w:r>
      <w:r>
        <w:rPr>
          <w:rFonts w:ascii="Times New Roman" w:hAnsi="Times New Roman" w:eastAsia="Times New Roman" w:cs="Times New Roman"/>
        </w:rPr>
        <w:t xml:space="preserve"> </w:t>
      </w:r>
      <w:r>
        <w:rPr>
          <w:rFonts w:ascii="Nirmala UI" w:hAnsi="Nirmala UI" w:eastAsia="Nirmala UI" w:cs="Nirmala UI"/>
        </w:rPr>
        <w:t>ꯑꯣꯏꯔꯒ</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Constantine </w:t>
      </w:r>
      <w:r>
        <w:rPr>
          <w:rFonts w:ascii="Nirmala UI" w:hAnsi="Nirmala UI" w:eastAsia="Nirmala UI" w:cs="Nirmala UI"/>
        </w:rPr>
        <w:t>ꯅ</w:t>
      </w:r>
      <w:r>
        <w:rPr>
          <w:rFonts w:ascii="Times New Roman" w:hAnsi="Times New Roman" w:eastAsia="Times New Roman" w:cs="Times New Roman"/>
        </w:rPr>
        <w:t xml:space="preserve"> paganism </w:t>
      </w:r>
      <w:r>
        <w:rPr>
          <w:rFonts w:ascii="Nirmala UI" w:hAnsi="Nirmala UI" w:eastAsia="Nirmala UI" w:cs="Nirmala UI"/>
        </w:rPr>
        <w:t>ꯑꯃꯁꯨꯡ</w:t>
      </w:r>
      <w:r>
        <w:rPr>
          <w:rFonts w:ascii="Times New Roman" w:hAnsi="Times New Roman" w:eastAsia="Times New Roman" w:cs="Times New Roman"/>
        </w:rPr>
        <w:t xml:space="preserve"> Christianity </w:t>
      </w:r>
      <w:r>
        <w:rPr>
          <w:rFonts w:ascii="Nirmala UI" w:hAnsi="Nirmala UI" w:eastAsia="Nirmala UI" w:cs="Nirmala UI"/>
        </w:rPr>
        <w:t>ꯄꯨꯟꯁꯤꯜꯂꯕ</w:t>
      </w:r>
      <w:r>
        <w:rPr>
          <w:rFonts w:ascii="Times New Roman" w:hAnsi="Times New Roman" w:eastAsia="Times New Roman" w:cs="Times New Roman"/>
        </w:rPr>
        <w:t xml:space="preserve"> </w:t>
      </w:r>
      <w:r>
        <w:rPr>
          <w:rFonts w:ascii="Nirmala UI" w:hAnsi="Nirmala UI" w:eastAsia="Nirmala UI" w:cs="Nirmala UI"/>
        </w:rPr>
        <w:t>ꯑꯣꯏꯔꯒꯁꯨ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witnesses </w:t>
      </w:r>
      <w:r>
        <w:rPr>
          <w:rFonts w:ascii="Nirmala UI" w:hAnsi="Nirmala UI" w:eastAsia="Nirmala UI" w:cs="Nirmala UI"/>
        </w:rPr>
        <w:t>ꯑꯗꯨ</w:t>
      </w:r>
      <w:r>
        <w:rPr>
          <w:rFonts w:ascii="Times New Roman" w:hAnsi="Times New Roman" w:eastAsia="Times New Roman" w:cs="Times New Roman"/>
        </w:rPr>
        <w:t xml:space="preserve"> Revelation thirteen </w:t>
      </w:r>
      <w:r>
        <w:rPr>
          <w:rFonts w:ascii="Nirmala UI" w:hAnsi="Nirmala UI" w:eastAsia="Nirmala UI" w:cs="Nirmala UI"/>
        </w:rPr>
        <w:t>ꯒꯤ</w:t>
      </w:r>
      <w:r>
        <w:rPr>
          <w:rFonts w:ascii="Times New Roman" w:hAnsi="Times New Roman" w:eastAsia="Times New Roman" w:cs="Times New Roman"/>
        </w:rPr>
        <w:t xml:space="preserve"> earth beast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ꯑꯍꯨꯝꯁꯨꯕꯗ</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ꯄꯤꯔꯤ꯫</w:t>
      </w:r>
    </w:p>
    <w:p>
      <w:pPr>
        <w:pStyle w:val="ArticleBody"/>
        <w:jc w:val="left"/>
      </w:pPr>
      <w:r>
        <w:rPr>
          <w:rFonts w:ascii="Times New Roman" w:hAnsi="Times New Roman" w:eastAsia="Times New Roman" w:cs="Times New Roman"/>
        </w:rPr>
        <w:t>Les quatre générations des États-Unis, qui, parmi d’autres vérités, furent typifiées par l’Égypte durant l’esclavage de 400/430 ans, lequel s’acheva par la noyade de Pharaon dans les eaux de la mer Rouge. Ces eaux marquèrent la fin de la nation qui devait être jugée lorsque Dieu opéra la délivrance de l’ancien Israël par l’intermédiaire du prophète Moïse. Les États-Unis sont jugés dans la période où le jugement s’achève sur l’Église de Dieu ; il convient donc de noter que l’eau qui mit fin à la vie de Pharaon fut amenée sur Pharaon par le relâchement du vent d’est, qui retenait les eaux en place tandis que Dieu délivrait Son peuple élu. Le vent d’est est le troisième malheur qui frappe la loi du dimanche lorsque survient le tremblement de terre d’Apocalypse onze.</w:t>
      </w:r>
    </w:p>
    <w:p>
      <w:pPr>
        <w:pStyle w:val="ArticleBody"/>
        <w:jc w:val="left"/>
      </w:pPr>
      <w:r>
        <w:rPr>
          <w:rFonts w:ascii="Times New Roman" w:hAnsi="Times New Roman" w:eastAsia="Times New Roman" w:cs="Times New Roman"/>
        </w:rPr>
        <w:t>Kizazi kinachotangulia kizazi cha nne na cha mwisho cha mnyama wa nchi kinatimizwa katika pembe zote mbili, ya Kirepublican na ya Kiprotestanti. Maridhiano ya pembe ya Kirepublican yaliyotimizwa katika kizazi chake cha tatu yalitokea katika kipindi kilichozunguka vita ya kwanza ya dunia, nayo yaliashiria Marekani kuukabidhi mfumo wake wa uchumi kwa walimwengu wa Hifadhi ya Shirikisho (Federal Reserve). Katika kipindi hicho hicho, Uadventista wa Sabato wa Laodikia ulitafuta kufanya kazi yake ya tiba na ya elimu “itambuliwe rasmi” kwa viwango vya elimu na tiba ya kidunia. Kama kitenzi, “siri ya kuasi” inawakilisha maridhiano ya Konstantino na ya wafalme wa Israeli ya kale pamoja na mamlaka za ulimwengu. Neno lililotumiwa kwa uvuvio kueleza maridhiano hayo ni “muungano-mchanganyiko” (amalgamation), kama lilivyofafanuliwa katika kamusi ya wakati wa Ellen White hivi; “kuchanganya au kuunganisha katika mchanganyiko; kuchangamana.” Mti wa ujuzi wa mema na mabaya ni mti wa muungano-mchanganyiko, mti wa maridhiano. “Mapambano makuu ya mwisho” ni mgogoro wa sheria ya Jumapili, na maandalizi ya Shetani kwa ajili ya mgogoro huo ndiyo “siri ya kuasi,” inayochanganya hekima ya kibinadamu na ufunuo wa Kiungu.</w:t>
      </w:r>
    </w:p>
    <w:p>
      <w:pPr>
        <w:pStyle w:val="ArticleScripture"/>
        <w:jc w:val="left"/>
      </w:pPr>
      <w:r>
        <w:rPr>
          <w:rFonts w:ascii="Times New Roman" w:hAnsi="Times New Roman" w:eastAsia="Times New Roman" w:cs="Times New Roman"/>
        </w:rPr>
        <w:t>«Շատանը ջանադրաբար մշակում է իր ծրագրերը վերջին մեծամարտի համար, երբ բոլորը պիտի կողմ ընտրեն....»</w:t>
      </w:r>
    </w:p>
    <w:p>
      <w:pPr>
        <w:pStyle w:val="ArticleScripture"/>
        <w:jc w:val="left"/>
      </w:pPr>
      <w:r>
        <w:rPr>
          <w:rFonts w:ascii="Times New Roman" w:hAnsi="Times New Roman" w:eastAsia="Times New Roman" w:cs="Times New Roman"/>
        </w:rPr>
        <w:t>« Écoutez les voix, remarquez les puissances qui prévalent dans le monde. Y a-t-il quelque voix de prière ? Voyez-vous le moindre signe que Dieu soit reconnu ? Il y a des prêtres, en grand nombre ; mais ils foulent aux pieds la loi de Jéhovah. Leurs vêtements sont tachés du sang des âmes. Des multitudes sacrifient aux démons. Regardez, vous qui hésitez entre l’obéissance et la désobéissance. Contemplez, en imagination, les vastes multitudes qui adorent à l’autel de Satan. Écoutez la musique, écoutez le langage, que l’on appelle éducation supérieure. Mais que déclare Dieu à son sujet ? — Le mystère de l’iniquité. » Pamphlets, 004, 11.</w:t>
      </w:r>
    </w:p>
    <w:p>
      <w:pPr>
        <w:pStyle w:val="ArticleBody"/>
        <w:jc w:val="left"/>
      </w:pPr>
      <w:r>
        <w:rPr>
          <w:rFonts w:ascii="Times New Roman" w:hAnsi="Times New Roman" w:eastAsia="Times New Roman" w:cs="Times New Roman"/>
        </w:rPr>
        <w:t>No derradeiro conflito, quando “todos tomarão partido”, repete-se a prova do Jardim do Éden. A prova que, no princípio, estava circunscrita a uma árvore no meio de um jardim, repete-se no fim, em todo o mundo. A obra de Satanás em antecipação à batalha final é “o mistério da iniquidade”, que é definido como “ensino superior!” O símbolo do “ensino superior” na terra da besta que sobe da terra encontra-se em Nashville, Tennessee, a ‘Atenas do Sul’, onde se localiza o templo do Partenon, em contraste com a verdadeira educação outrora representada em Nashville pelo Madison College. A seguinte declaração da inspiração é citada na íntegra no final deste artigo, mas alguns pontos devem ser considerados neste momento.</w:t>
      </w:r>
    </w:p>
    <w:p>
      <w:pPr>
        <w:pStyle w:val="ArticleScripture"/>
        <w:jc w:val="left"/>
      </w:pPr>
      <w:r>
        <w:rPr>
          <w:rFonts w:ascii="Times New Roman" w:hAnsi="Times New Roman" w:eastAsia="Times New Roman" w:cs="Times New Roman"/>
        </w:rPr>
        <w:t>« Tous ont besoin de sagesse pour sonder avec soin le mystère de l’iniquité, qui occupe une place si considérable dans l’achèvement de l’histoire de cette terre.... »</w:t>
      </w:r>
    </w:p>
    <w:p>
      <w:pPr>
        <w:pStyle w:val="ArticleScripture"/>
        <w:jc w:val="left"/>
      </w:pPr>
      <w:r>
        <w:rPr>
          <w:rFonts w:ascii="Times New Roman" w:hAnsi="Times New Roman" w:eastAsia="Times New Roman" w:cs="Times New Roman"/>
        </w:rPr>
        <w:t>“Il n’y a pas de voie moyenne vers le Paradis restauré. Le message donné à l’homme pour ces derniers jours ne doit pas être amalgamé aux inventions humaines....”</w:t>
      </w:r>
    </w:p>
    <w:p>
      <w:pPr>
        <w:pStyle w:val="ArticleScripture"/>
        <w:jc w:val="left"/>
      </w:pPr>
      <w:r>
        <w:rPr>
          <w:rFonts w:ascii="Times New Roman" w:hAnsi="Times New Roman" w:eastAsia="Times New Roman" w:cs="Times New Roman"/>
        </w:rPr>
        <w:t>“Wɔn a Onyankopɔn ama wɔn so ama wɔn atra gyinabea a ahotosoɔ kɛseɛ wom no, wɔtumi firi ɔsoro hann no ho akɔ onipa nyansa mu.... Wɔn nyinaa a wɔpɛ sɛ wɔnya suban a ɛbɛma wɔayɛ adwumayɛfoɔ a wɔne Onyankopɔn bɔ mu ayɛ adwuma na wɔanya Onyankopɔn animuonyam no, ɛsɛ sɛ wɔtete wɔn ho firi Onyankopɔn atamfoɔ ho, na wɔkora nokorɛ a Kristo de maa Yohane sɛ ɔmfa mma wiase no so.” Manuscript Releases, volume 18, 30–36.</w:t>
      </w:r>
    </w:p>
    <w:p>
      <w:pPr>
        <w:pStyle w:val="ArticleBody"/>
        <w:jc w:val="left"/>
      </w:pPr>
      <w:r>
        <w:rPr>
          <w:rFonts w:ascii="Times New Roman" w:hAnsi="Times New Roman" w:eastAsia="Times New Roman" w:cs="Times New Roman"/>
        </w:rPr>
        <w:t>“همه” کسانی که به «حکمت» نیاز دارند، نمایانگرِ همهٔ کسانی‌اند که به فرایندی از آزمون وارد می‌شوند که در نهایت دو طبقه از پرستندگان را پدید می‌آورد. «حکیمان» کسانی هستند که «حکمت» لازم را به دست می‌آورند. فرایند آزمون از هنگامی آغاز می‌شود که مکاشفهٔ عیسی مسیح، درست پیش از بسته شدنِ مهلتِ آزمونِ انسان، گشوده می‌گردد. آن گشوده شدن، آغازِ «افزایشِ معرفت» است. آنان که با آزمونِ مرتبط با مکاشفهٔ عیسی مسیح روبه‌رو می‌شوند، «روغنِ» معرفتِ نبوی را که برای هدایت، آماده‌سازی و تقدیس پیشاپیشِ وزیدنِ بادِ شرقی در قانونِ یکشنبه مقرر شده است، به دست خواهند آورد. «درختِ معرفتِ نیک و بد» نمادِ نانِ تقلبیِ آسمان است که باید خورده شود یا رد گردد.</w:t>
      </w:r>
    </w:p>
    <w:p>
      <w:pPr>
        <w:pStyle w:val="ArticleBody"/>
        <w:jc w:val="left"/>
      </w:pPr>
      <w:r>
        <w:rPr>
          <w:rFonts w:ascii="Malgun Gothic" w:hAnsi="Malgun Gothic" w:eastAsia="Malgun Gothic" w:cs="Malgun Gothic"/>
        </w:rPr>
        <w:t>갈릴리에서</w:t>
      </w:r>
      <w:r>
        <w:rPr>
          <w:rFonts w:ascii="Times New Roman" w:hAnsi="Times New Roman" w:eastAsia="Times New Roman" w:cs="Times New Roman"/>
        </w:rPr>
        <w:t xml:space="preserve">, </w:t>
      </w:r>
      <w:r>
        <w:rPr>
          <w:rFonts w:ascii="Malgun Gothic" w:hAnsi="Malgun Gothic" w:eastAsia="Malgun Gothic" w:cs="Malgun Gothic"/>
        </w:rPr>
        <w:t>가버나움</w:t>
      </w:r>
      <w:r>
        <w:rPr>
          <w:rFonts w:ascii="Times New Roman" w:hAnsi="Times New Roman" w:eastAsia="Times New Roman" w:cs="Times New Roman"/>
        </w:rPr>
        <w:t xml:space="preserve"> </w:t>
      </w:r>
      <w:r>
        <w:rPr>
          <w:rFonts w:ascii="Malgun Gothic" w:hAnsi="Malgun Gothic" w:eastAsia="Malgun Gothic" w:cs="Malgun Gothic"/>
        </w:rPr>
        <w:t>회당에서</w:t>
      </w:r>
      <w:r>
        <w:rPr>
          <w:rFonts w:ascii="Times New Roman" w:hAnsi="Times New Roman" w:eastAsia="Times New Roman" w:cs="Times New Roman"/>
        </w:rPr>
        <w:t xml:space="preserve"> </w:t>
      </w:r>
      <w:r>
        <w:rPr>
          <w:rFonts w:ascii="Malgun Gothic" w:hAnsi="Malgun Gothic" w:eastAsia="Malgun Gothic" w:cs="Malgun Gothic"/>
        </w:rPr>
        <w:t>있었던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사건으로</w:t>
      </w:r>
      <w:r>
        <w:rPr>
          <w:rFonts w:ascii="Times New Roman" w:hAnsi="Times New Roman" w:eastAsia="Times New Roman" w:cs="Times New Roman"/>
        </w:rPr>
        <w:t xml:space="preserve"> </w:t>
      </w:r>
      <w:r>
        <w:rPr>
          <w:rFonts w:ascii="Malgun Gothic" w:hAnsi="Malgun Gothic" w:eastAsia="Malgun Gothic" w:cs="Malgun Gothic"/>
        </w:rPr>
        <w:t>인해</w:t>
      </w:r>
      <w:r>
        <w:rPr>
          <w:rFonts w:ascii="Times New Roman" w:hAnsi="Times New Roman" w:eastAsia="Times New Roman" w:cs="Times New Roman"/>
        </w:rPr>
        <w:t xml:space="preserve"> </w:t>
      </w:r>
      <w:r>
        <w:rPr>
          <w:rFonts w:ascii="Malgun Gothic" w:hAnsi="Malgun Gothic" w:eastAsia="Malgun Gothic" w:cs="Malgun Gothic"/>
        </w:rPr>
        <w:t>예수께서는</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사역</w:t>
      </w:r>
      <w:r>
        <w:rPr>
          <w:rFonts w:ascii="Times New Roman" w:hAnsi="Times New Roman" w:eastAsia="Times New Roman" w:cs="Times New Roman"/>
        </w:rPr>
        <w:t xml:space="preserve"> </w:t>
      </w:r>
      <w:r>
        <w:rPr>
          <w:rFonts w:ascii="Malgun Gothic" w:hAnsi="Malgun Gothic" w:eastAsia="Malgun Gothic" w:cs="Malgun Gothic"/>
        </w:rPr>
        <w:t>중</w:t>
      </w:r>
      <w:r>
        <w:rPr>
          <w:rFonts w:ascii="Times New Roman" w:hAnsi="Times New Roman" w:eastAsia="Times New Roman" w:cs="Times New Roman"/>
        </w:rPr>
        <w:t xml:space="preserve"> </w:t>
      </w:r>
      <w:r>
        <w:rPr>
          <w:rFonts w:ascii="Malgun Gothic" w:hAnsi="Malgun Gothic" w:eastAsia="Malgun Gothic" w:cs="Malgun Gothic"/>
        </w:rPr>
        <w:t>어느</w:t>
      </w:r>
      <w:r>
        <w:rPr>
          <w:rFonts w:ascii="Times New Roman" w:hAnsi="Times New Roman" w:eastAsia="Times New Roman" w:cs="Times New Roman"/>
        </w:rPr>
        <w:t xml:space="preserve"> </w:t>
      </w:r>
      <w:r>
        <w:rPr>
          <w:rFonts w:ascii="Malgun Gothic" w:hAnsi="Malgun Gothic" w:eastAsia="Malgun Gothic" w:cs="Malgun Gothic"/>
        </w:rPr>
        <w:t>때보다도</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추종자들을</w:t>
      </w:r>
      <w:r>
        <w:rPr>
          <w:rFonts w:ascii="Times New Roman" w:hAnsi="Times New Roman" w:eastAsia="Times New Roman" w:cs="Times New Roman"/>
        </w:rPr>
        <w:t xml:space="preserve"> </w:t>
      </w:r>
      <w:r>
        <w:rPr>
          <w:rFonts w:ascii="Malgun Gothic" w:hAnsi="Malgun Gothic" w:eastAsia="Malgun Gothic" w:cs="Malgun Gothic"/>
        </w:rPr>
        <w:t>잃으셨다</w:t>
      </w:r>
      <w:r>
        <w:rPr>
          <w:rFonts w:ascii="Times New Roman" w:hAnsi="Times New Roman" w:eastAsia="Times New Roman" w:cs="Times New Roman"/>
        </w:rPr>
        <w:t xml:space="preserve">. </w:t>
      </w:r>
      <w:r>
        <w:rPr>
          <w:rFonts w:ascii="Malgun Gothic" w:hAnsi="Malgun Gothic" w:eastAsia="Malgun Gothic" w:cs="Malgun Gothic"/>
        </w:rPr>
        <w:t>그곳에서의</w:t>
      </w:r>
      <w:r>
        <w:rPr>
          <w:rFonts w:ascii="Times New Roman" w:hAnsi="Times New Roman" w:eastAsia="Times New Roman" w:cs="Times New Roman"/>
        </w:rPr>
        <w:t xml:space="preserve"> </w:t>
      </w:r>
      <w:r>
        <w:rPr>
          <w:rFonts w:ascii="Malgun Gothic" w:hAnsi="Malgun Gothic" w:eastAsia="Malgun Gothic" w:cs="Malgun Gothic"/>
        </w:rPr>
        <w:t>시험은</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말씀이</w:t>
      </w:r>
      <w:r>
        <w:rPr>
          <w:rFonts w:ascii="Times New Roman" w:hAnsi="Times New Roman" w:eastAsia="Times New Roman" w:cs="Times New Roman"/>
        </w:rPr>
        <w:t xml:space="preserve"> </w:t>
      </w:r>
      <w:r>
        <w:rPr>
          <w:rFonts w:ascii="Malgun Gothic" w:hAnsi="Malgun Gothic" w:eastAsia="Malgun Gothic" w:cs="Malgun Gothic"/>
        </w:rPr>
        <w:t>문자적인가</w:t>
      </w:r>
      <w:r>
        <w:rPr>
          <w:rFonts w:ascii="Times New Roman" w:hAnsi="Times New Roman" w:eastAsia="Times New Roman" w:cs="Times New Roman"/>
        </w:rPr>
        <w:t xml:space="preserve"> </w:t>
      </w:r>
      <w:r>
        <w:rPr>
          <w:rFonts w:ascii="Malgun Gothic" w:hAnsi="Malgun Gothic" w:eastAsia="Malgun Gothic" w:cs="Malgun Gothic"/>
        </w:rPr>
        <w:t>영적인가</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것이었으며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시험에</w:t>
      </w:r>
      <w:r>
        <w:rPr>
          <w:rFonts w:ascii="Times New Roman" w:hAnsi="Times New Roman" w:eastAsia="Times New Roman" w:cs="Times New Roman"/>
        </w:rPr>
        <w:t xml:space="preserve"> </w:t>
      </w:r>
      <w:r>
        <w:rPr>
          <w:rFonts w:ascii="Malgun Gothic" w:hAnsi="Malgun Gothic" w:eastAsia="Malgun Gothic" w:cs="Malgun Gothic"/>
        </w:rPr>
        <w:t>실패한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실패하고</w:t>
      </w:r>
      <w:r>
        <w:rPr>
          <w:rFonts w:ascii="Times New Roman" w:hAnsi="Times New Roman" w:eastAsia="Times New Roman" w:cs="Times New Roman"/>
        </w:rPr>
        <w:t xml:space="preserve"> </w:t>
      </w:r>
      <w:r>
        <w:rPr>
          <w:rFonts w:ascii="Malgun Gothic" w:hAnsi="Malgun Gothic" w:eastAsia="Malgun Gothic" w:cs="Malgun Gothic"/>
        </w:rPr>
        <w:t>말았으니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입에서</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말씀으로</w:t>
      </w:r>
      <w:r>
        <w:rPr>
          <w:rFonts w:ascii="Times New Roman" w:hAnsi="Times New Roman" w:eastAsia="Times New Roman" w:cs="Times New Roman"/>
        </w:rPr>
        <w:t xml:space="preserve"> </w:t>
      </w:r>
      <w:r>
        <w:rPr>
          <w:rFonts w:ascii="Malgun Gothic" w:hAnsi="Malgun Gothic" w:eastAsia="Malgun Gothic" w:cs="Malgun Gothic"/>
        </w:rPr>
        <w:t>살아야</w:t>
      </w:r>
      <w:r>
        <w:rPr>
          <w:rFonts w:ascii="Times New Roman" w:hAnsi="Times New Roman" w:eastAsia="Times New Roman" w:cs="Times New Roman"/>
        </w:rPr>
        <w:t xml:space="preserve"> </w:t>
      </w:r>
      <w:r>
        <w:rPr>
          <w:rFonts w:ascii="Malgun Gothic" w:hAnsi="Malgun Gothic" w:eastAsia="Malgun Gothic" w:cs="Malgun Gothic"/>
        </w:rPr>
        <w:t>한다는</w:t>
      </w:r>
      <w:r>
        <w:rPr>
          <w:rFonts w:ascii="Times New Roman" w:hAnsi="Times New Roman" w:eastAsia="Times New Roman" w:cs="Times New Roman"/>
        </w:rPr>
        <w:t xml:space="preserve"> </w:t>
      </w:r>
      <w:r>
        <w:rPr>
          <w:rFonts w:ascii="Malgun Gothic" w:hAnsi="Malgun Gothic" w:eastAsia="Malgun Gothic" w:cs="Malgun Gothic"/>
        </w:rPr>
        <w:t>사실을</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잊었기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그리스도께서는</w:t>
      </w:r>
      <w:r>
        <w:rPr>
          <w:rFonts w:ascii="Times New Roman" w:hAnsi="Times New Roman" w:eastAsia="Times New Roman" w:cs="Times New Roman"/>
        </w:rPr>
        <w:t xml:space="preserve"> </w:t>
      </w:r>
      <w:r>
        <w:rPr>
          <w:rFonts w:ascii="Malgun Gothic" w:hAnsi="Malgun Gothic" w:eastAsia="Malgun Gothic" w:cs="Malgun Gothic"/>
        </w:rPr>
        <w:t>자신이</w:t>
      </w:r>
      <w:r>
        <w:rPr>
          <w:rFonts w:ascii="Times New Roman" w:hAnsi="Times New Roman" w:eastAsia="Times New Roman" w:cs="Times New Roman"/>
        </w:rPr>
        <w:t xml:space="preserve"> </w:t>
      </w:r>
      <w:r>
        <w:rPr>
          <w:rFonts w:ascii="Malgun Gothic" w:hAnsi="Malgun Gothic" w:eastAsia="Malgun Gothic" w:cs="Malgun Gothic"/>
        </w:rPr>
        <w:t>하늘로부터</w:t>
      </w:r>
      <w:r>
        <w:rPr>
          <w:rFonts w:ascii="Times New Roman" w:hAnsi="Times New Roman" w:eastAsia="Times New Roman" w:cs="Times New Roman"/>
        </w:rPr>
        <w:t xml:space="preserve"> </w:t>
      </w:r>
      <w:r>
        <w:rPr>
          <w:rFonts w:ascii="Malgun Gothic" w:hAnsi="Malgun Gothic" w:eastAsia="Malgun Gothic" w:cs="Malgun Gothic"/>
        </w:rPr>
        <w:t>내려온</w:t>
      </w:r>
      <w:r>
        <w:rPr>
          <w:rFonts w:ascii="Times New Roman" w:hAnsi="Times New Roman" w:eastAsia="Times New Roman" w:cs="Times New Roman"/>
        </w:rPr>
        <w:t xml:space="preserve"> </w:t>
      </w:r>
      <w:r>
        <w:rPr>
          <w:rFonts w:ascii="Malgun Gothic" w:hAnsi="Malgun Gothic" w:eastAsia="Malgun Gothic" w:cs="Malgun Gothic"/>
        </w:rPr>
        <w:t>떡이라고</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말씀하셨으나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시험에</w:t>
      </w:r>
      <w:r>
        <w:rPr>
          <w:rFonts w:ascii="Times New Roman" w:hAnsi="Times New Roman" w:eastAsia="Times New Roman" w:cs="Times New Roman"/>
        </w:rPr>
        <w:t xml:space="preserve"> </w:t>
      </w:r>
      <w:r>
        <w:rPr>
          <w:rFonts w:ascii="Malgun Gothic" w:hAnsi="Malgun Gothic" w:eastAsia="Malgun Gothic" w:cs="Malgun Gothic"/>
        </w:rPr>
        <w:t>실패한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헬라인들로</w:t>
      </w:r>
      <w:r>
        <w:rPr>
          <w:rFonts w:ascii="Times New Roman" w:hAnsi="Times New Roman" w:eastAsia="Times New Roman" w:cs="Times New Roman"/>
        </w:rPr>
        <w:t xml:space="preserve"> </w:t>
      </w:r>
      <w:r>
        <w:rPr>
          <w:rFonts w:ascii="Malgun Gothic" w:hAnsi="Malgun Gothic" w:eastAsia="Malgun Gothic" w:cs="Malgun Gothic"/>
        </w:rPr>
        <w:t>상징되는</w:t>
      </w:r>
      <w:r>
        <w:rPr>
          <w:rFonts w:ascii="Times New Roman" w:hAnsi="Times New Roman" w:eastAsia="Times New Roman" w:cs="Times New Roman"/>
        </w:rPr>
        <w:t xml:space="preserve"> </w:t>
      </w:r>
      <w:r>
        <w:rPr>
          <w:rFonts w:ascii="Malgun Gothic" w:hAnsi="Malgun Gothic" w:eastAsia="Malgun Gothic" w:cs="Malgun Gothic"/>
        </w:rPr>
        <w:t>인간의</w:t>
      </w:r>
      <w:r>
        <w:rPr>
          <w:rFonts w:ascii="Times New Roman" w:hAnsi="Times New Roman" w:eastAsia="Times New Roman" w:cs="Times New Roman"/>
        </w:rPr>
        <w:t xml:space="preserve"> </w:t>
      </w:r>
      <w:r>
        <w:rPr>
          <w:rFonts w:ascii="Malgun Gothic" w:hAnsi="Malgun Gothic" w:eastAsia="Malgun Gothic" w:cs="Malgun Gothic"/>
        </w:rPr>
        <w:t>지혜와</w:t>
      </w:r>
      <w:r>
        <w:rPr>
          <w:rFonts w:ascii="Times New Roman" w:hAnsi="Times New Roman" w:eastAsia="Times New Roman" w:cs="Times New Roman"/>
        </w:rPr>
        <w:t xml:space="preserve"> </w:t>
      </w:r>
      <w:r>
        <w:rPr>
          <w:rFonts w:ascii="Malgun Gothic" w:hAnsi="Malgun Gothic" w:eastAsia="Malgun Gothic" w:cs="Malgun Gothic"/>
        </w:rPr>
        <w:t>뒤섞어</w:t>
      </w:r>
      <w:r>
        <w:rPr>
          <w:rFonts w:ascii="Times New Roman" w:hAnsi="Times New Roman" w:eastAsia="Times New Roman" w:cs="Times New Roman"/>
        </w:rPr>
        <w:t xml:space="preserve"> </w:t>
      </w:r>
      <w:r>
        <w:rPr>
          <w:rFonts w:ascii="Malgun Gothic" w:hAnsi="Malgun Gothic" w:eastAsia="Malgun Gothic" w:cs="Malgun Gothic"/>
        </w:rPr>
        <w:t>버렸다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Avant qu’Ève ne commence la défaillance du jardin, Christ avait donné instruction à Adam et à Ève de ne pas manger du fruit de l’arbre de la connaissance du bien et du mal. La première des trois étapes de l’Évangile éternel est la crainte de Dieu.</w:t>
      </w:r>
    </w:p>
    <w:p>
      <w:pPr>
        <w:pStyle w:val="ArticleScripture"/>
        <w:jc w:val="left"/>
      </w:pPr>
      <w:r>
        <w:rPr>
          <w:rFonts w:ascii="Times New Roman" w:hAnsi="Times New Roman" w:eastAsia="Times New Roman" w:cs="Times New Roman"/>
        </w:rPr>
        <w:t>“Lassen wir den Verstand die gewaltigen Wahrheiten der Offenbarung erfassen, so wird er sich niemals damit begnügen, seine Kräfte auf nichtige Gegenstände zu verwenden; er wird sich mit Abscheu von der seichten Literatur und den müßigen Vergnügungen abwenden, die die Jugend von heute demoralisieren. Diejenigen, die mit den Dichtern und Weisen der Bibel Gemeinschaft gepflegt haben und deren Seelen von den herrlichen Taten der Glaubenshelden bewegt worden sind, werden aus diesen reichen Feldern des Denkens mit weit größerer Reinheit des Herzens und Erhabenheit des Geistes hervorgehen, als wenn sie sich mit dem Studium der gefeiertsten weltlichen Schriftsteller beschäftigt oder die Taten der Pharaonen, Herodesse und Cäsaren der Welt betrachtet und verherrlicht hätten.”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យុវជនភាគច្រើនមានកម្លាំងសមត្ថភាពនៅស្ថិតស្ងៀម</w:t>
      </w:r>
      <w:r>
        <w:rPr>
          <w:rFonts w:ascii="Times New Roman" w:hAnsi="Times New Roman" w:eastAsia="Times New Roman" w:cs="Times New Roman"/>
        </w:rPr>
        <w:t xml:space="preserve"> </w:t>
      </w:r>
      <w:r>
        <w:rPr>
          <w:rFonts w:ascii="Leelawadee UI" w:hAnsi="Leelawadee UI" w:eastAsia="Leelawadee UI" w:cs="Leelawadee UI"/>
        </w:rPr>
        <w:t>មិនទាន់ត្រូវបានប្រើប្រាស់ទេ</w:t>
      </w:r>
      <w:r>
        <w:rPr>
          <w:rFonts w:ascii="Times New Roman" w:hAnsi="Times New Roman" w:eastAsia="Times New Roman" w:cs="Times New Roman"/>
        </w:rPr>
        <w:t xml:space="preserve"> </w:t>
      </w:r>
      <w:r>
        <w:rPr>
          <w:rFonts w:ascii="Leelawadee UI" w:hAnsi="Leelawadee UI" w:eastAsia="Leelawadee UI" w:cs="Leelawadee UI"/>
        </w:rPr>
        <w:t>ពីព្រោះពួកគេមិនបានយកការកោតខ្លាចព្រះជាម្ចាស់ជាចំណុចចាប់ផ្តើមនៃប្រាជ្ញា។</w:t>
      </w:r>
      <w:r>
        <w:rPr>
          <w:rFonts w:ascii="Times New Roman" w:hAnsi="Times New Roman" w:eastAsia="Times New Roman" w:cs="Times New Roman"/>
        </w:rPr>
        <w:t xml:space="preserve"> </w:t>
      </w:r>
      <w:r>
        <w:rPr>
          <w:rFonts w:ascii="Leelawadee UI" w:hAnsi="Leelawadee UI" w:eastAsia="Leelawadee UI" w:cs="Leelawadee UI"/>
        </w:rPr>
        <w:t>ព្រះអម្ចាស់បានប្រទានប្រាជ្ញា</w:t>
      </w:r>
      <w:r>
        <w:rPr>
          <w:rFonts w:ascii="Times New Roman" w:hAnsi="Times New Roman" w:eastAsia="Times New Roman" w:cs="Times New Roman"/>
        </w:rPr>
        <w:t xml:space="preserve"> </w:t>
      </w:r>
      <w:r>
        <w:rPr>
          <w:rFonts w:ascii="Leelawadee UI" w:hAnsi="Leelawadee UI" w:eastAsia="Leelawadee UI" w:cs="Leelawadee UI"/>
        </w:rPr>
        <w:t>និងចំណេះដឹងដល់ដានីយ៉ែល</w:t>
      </w:r>
      <w:r>
        <w:rPr>
          <w:rFonts w:ascii="Times New Roman" w:hAnsi="Times New Roman" w:eastAsia="Times New Roman" w:cs="Times New Roman"/>
        </w:rPr>
        <w:t xml:space="preserve"> </w:t>
      </w:r>
      <w:r>
        <w:rPr>
          <w:rFonts w:ascii="Leelawadee UI" w:hAnsi="Leelawadee UI" w:eastAsia="Leelawadee UI" w:cs="Leelawadee UI"/>
        </w:rPr>
        <w:t>ពីព្រោះគាត់មិនព្រមឲ្យអំណាចណាមួយមានឥទ្ធិពលលើគាត់</w:t>
      </w:r>
      <w:r>
        <w:rPr>
          <w:rFonts w:ascii="Times New Roman" w:hAnsi="Times New Roman" w:eastAsia="Times New Roman" w:cs="Times New Roman"/>
        </w:rPr>
        <w:t xml:space="preserve"> </w:t>
      </w:r>
      <w:r>
        <w:rPr>
          <w:rFonts w:ascii="Leelawadee UI" w:hAnsi="Leelawadee UI" w:eastAsia="Leelawadee UI" w:cs="Leelawadee UI"/>
        </w:rPr>
        <w:t>ដែលអាចរំខានដល់គោលការណ៍សាសនារបស់គាត់បានឡើយ។</w:t>
      </w:r>
      <w:r>
        <w:rPr>
          <w:rFonts w:ascii="Times New Roman" w:hAnsi="Times New Roman" w:eastAsia="Times New Roman" w:cs="Times New Roman"/>
        </w:rPr>
        <w:t xml:space="preserve"> </w:t>
      </w:r>
      <w:r>
        <w:rPr>
          <w:rFonts w:ascii="Leelawadee UI" w:hAnsi="Leelawadee UI" w:eastAsia="Leelawadee UI" w:cs="Leelawadee UI"/>
        </w:rPr>
        <w:t>មូលហេតុដែលយើងមានមនុស្សមានបញ្ញា</w:t>
      </w:r>
      <w:r>
        <w:rPr>
          <w:rFonts w:ascii="Times New Roman" w:hAnsi="Times New Roman" w:eastAsia="Times New Roman" w:cs="Times New Roman"/>
        </w:rPr>
        <w:t xml:space="preserve"> </w:t>
      </w:r>
      <w:r>
        <w:rPr>
          <w:rFonts w:ascii="Leelawadee UI" w:hAnsi="Leelawadee UI" w:eastAsia="Leelawadee UI" w:cs="Leelawadee UI"/>
        </w:rPr>
        <w:t>មានស្ថិរភាព</w:t>
      </w:r>
      <w:r>
        <w:rPr>
          <w:rFonts w:ascii="Times New Roman" w:hAnsi="Times New Roman" w:eastAsia="Times New Roman" w:cs="Times New Roman"/>
        </w:rPr>
        <w:t xml:space="preserve"> </w:t>
      </w:r>
      <w:r>
        <w:rPr>
          <w:rFonts w:ascii="Leelawadee UI" w:hAnsi="Leelawadee UI" w:eastAsia="Leelawadee UI" w:cs="Leelawadee UI"/>
        </w:rPr>
        <w:t>និងមានតម្លៃមាំមួនតិចណាស់</w:t>
      </w:r>
      <w:r>
        <w:rPr>
          <w:rFonts w:ascii="Times New Roman" w:hAnsi="Times New Roman" w:eastAsia="Times New Roman" w:cs="Times New Roman"/>
        </w:rPr>
        <w:t xml:space="preserve"> </w:t>
      </w:r>
      <w:r>
        <w:rPr>
          <w:rFonts w:ascii="Leelawadee UI" w:hAnsi="Leelawadee UI" w:eastAsia="Leelawadee UI" w:cs="Leelawadee UI"/>
        </w:rPr>
        <w:t>គឺដោយសារពួកគេគិតថា</w:t>
      </w:r>
      <w:r>
        <w:rPr>
          <w:rFonts w:ascii="Times New Roman" w:hAnsi="Times New Roman" w:eastAsia="Times New Roman" w:cs="Times New Roman"/>
        </w:rPr>
        <w:t xml:space="preserve"> </w:t>
      </w:r>
      <w:r>
        <w:rPr>
          <w:rFonts w:ascii="Leelawadee UI" w:hAnsi="Leelawadee UI" w:eastAsia="Leelawadee UI" w:cs="Leelawadee UI"/>
        </w:rPr>
        <w:t>ខ្លួនអាចស្វែងរកភាពអស្ចារ្យបាន</w:t>
      </w:r>
      <w:r>
        <w:rPr>
          <w:rFonts w:ascii="Times New Roman" w:hAnsi="Times New Roman" w:eastAsia="Times New Roman" w:cs="Times New Roman"/>
        </w:rPr>
        <w:t xml:space="preserve"> </w:t>
      </w:r>
      <w:r>
        <w:rPr>
          <w:rFonts w:ascii="Leelawadee UI" w:hAnsi="Leelawadee UI" w:eastAsia="Leelawadee UI" w:cs="Leelawadee UI"/>
        </w:rPr>
        <w:t>ខណៈដែលកាត់ផ្តាច់ខ្លួនចេញពីស្ថានសួគ៌</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Messages to Young People, 255, 256.</w:t>
      </w:r>
    </w:p>
    <w:p>
      <w:pPr>
        <w:pStyle w:val="ArticleBody"/>
        <w:jc w:val="left"/>
      </w:pPr>
      <w:r>
        <w:rPr>
          <w:rFonts w:ascii="Times New Roman" w:hAnsi="Times New Roman" w:eastAsia="Times New Roman" w:cs="Times New Roman"/>
        </w:rPr>
        <w:t>Ève perdit sa « crainte de Dieu ». Elle aurait dû trembler aux paroles de Dieu, ce qui est un attribut des cent quarante-quatre mille. La crainte de Dieu est la première de trois épreuves, et elle commence lorsque la Parole prophétique est descellée, produisant finalement une classe de sages et une classe de folles. Le commencement, pour ceux qui sont destinés à être sages, consiste à trembler à la Parole de Dieu. Ève ne fit pas cela, et, lorsqu’elle fut confrontée à la deuxième étape du processus d’épreuve, elle fut incapable de donner gloire à Dieu, puis elle fut confrontée à l’heure du jugement, où elle manifesta la nudité de Laodicée.</w:t>
      </w:r>
    </w:p>
    <w:p>
      <w:pPr>
        <w:pStyle w:val="ArticleScripture"/>
        <w:jc w:val="left"/>
      </w:pPr>
      <w:r>
        <w:rPr>
          <w:rFonts w:ascii="Times New Roman" w:hAnsi="Times New Roman" w:eastAsia="Times New Roman" w:cs="Times New Roman"/>
        </w:rPr>
        <w:t>« Tous ceux qui veulent perfectionner un caractère chrétien doivent porter le joug du Christ. S’ils veulent être assis ensemble dans les lieux célestes en Jésus-Christ, ils doivent apprendre de Lui pendant qu’ils sont sur cette terre. Le Christ ne s’est point complu en Lui-même. Toute Sa vie fut le développement d’une bienveillance pure et désintéressée. Il a assumé la nature humaine afin de démontrer au monde déchu, à Satan et à sa synagogue, à l’univers du ciel, aux mondes non déchus, que la nature humaine, unie à Sa nature divine, pouvait devenir entièrement obéissante à la loi de Dieu. Tous ont besoin de se demander : “Que dois-je faire pour être sauvé ?” Dieu exige des cœurs humbles et contrits, qui tremblent à Sa parole. Ce n’est que de l’autel divin que nous pouvons recevoir le flambeau céleste qui, une fois reçu, nous donnera une pleine vue de notre incapacité et nous révélera la dignité et la gloire du Christ. Lorsque cela est vu, Dieu nous place sous la direction du Saint-Esprit, et Il nous conduira dans toute la vérité. » Bible Echo, 20 juillet 1896.</w:t>
      </w:r>
    </w:p>
    <w:p>
      <w:pPr>
        <w:pStyle w:val="ArticleBody"/>
        <w:jc w:val="left"/>
      </w:pPr>
      <w:r>
        <w:rPr>
          <w:rFonts w:ascii="Times New Roman" w:hAnsi="Times New Roman" w:eastAsia="Times New Roman" w:cs="Times New Roman"/>
        </w:rPr>
        <w:t>La fusion de la vérité et de l’erreur est l’œuvre de Satan, laquelle est identifiée comme le mystère de l’iniquité. Le compromis de toute l’humanité dans les derniers mouvements du jugement investigatif est consacré dans le temple du Parthénon à Nashville, Tennessee.</w:t>
      </w:r>
    </w:p>
    <w:p>
      <w:pPr>
        <w:pStyle w:val="ArticleScripture"/>
        <w:jc w:val="left"/>
      </w:pPr>
      <w:r>
        <w:rPr>
          <w:rFonts w:ascii="Times New Roman" w:hAnsi="Times New Roman" w:eastAsia="Times New Roman" w:cs="Times New Roman"/>
        </w:rPr>
        <w:t>“Không phải là khôn ngoan khi gửi thanh niên của chúng ta đến các đại học, nơi họ dành thì giờ để đạt được sự hiểu biết về tiếng Hy Lạp và tiếng La-tinh, trong khi đầu óc và lòng dạ họ đang bị nhồi đầy những tư tưởng của các tác giả vô tín mà họ nghiên cứu để làm chủ các ngôn ngữ ấy. Họ thu nhận một thứ tri thức hoàn toàn không cần thiết, cũng không hài hòa với những bài học của Đấng Giáo Sư Vĩ Đại. Nói chung, những người được giáo dục theo cách ấy thường rất tự cao. Họ tưởng rằng mình đã đạt đến tột đỉnh của nền học vấn cao cấp, và cư xử một cách kiêu ngạo, như thể họ không còn là người đang học nữa. Họ bị làm hư hỏng đối với công việc phục vụ Đức Chúa Trời. Thời gian, phương tiện và công sức học tập mà nhiều người đã bỏ ra để đạt được một nền giáo dục tương đối vô dụng lẽ ra phải được dùng để đạt được một nền giáo dục khiến họ trở thành những nam phụ lão ấu toàn diện, thích hợp cho đời sống thực tiễn. Một nền giáo dục như vậy sẽ có giá trị cao nhất đối với họ.”</w:t>
      </w:r>
    </w:p>
    <w:p>
      <w:pPr>
        <w:pStyle w:val="ArticleScripture"/>
        <w:jc w:val="left"/>
      </w:pPr>
      <w:r>
        <w:rPr>
          <w:rFonts w:ascii="Times New Roman" w:hAnsi="Times New Roman" w:eastAsia="Times New Roman" w:cs="Times New Roman"/>
        </w:rPr>
        <w:t>«وا شاگردان ما چون از مکاتب ما بیرون می‌روند، با خود چه می‌برند؟ به کجا می‌روند؟ چه خواهند کرد؟ آیا آن معرفتی را دارند که ایشان را قادر سازد دیگران را تعلیم دهند؟ آیا چنان تربیت یافته‌اند که پدران و مادرانی حکیم باشند؟ آیا می‌توانند در رأس یک خانواده همچون آموزگارانی دانا بایستند؟ آیا در زندگی خانگی خود می‌توانند فرزندان خویش را چنان تعلیم دهند که خانوادهٔ ایشان خانواده‌ای باشد که خدا آن را با خشنودی بنگرد، زیرا نمادی از خانواده در آسمان است؟ آیا یگانه تعلیمی را دریافت کرده‌اند که به‌راستی بتوان آن را «تعلیم عالی‌تر» نامید؟»</w:t>
      </w:r>
    </w:p>
    <w:p>
      <w:pPr>
        <w:pStyle w:val="ArticleScripture"/>
        <w:jc w:val="left"/>
      </w:pPr>
      <w:r>
        <w:rPr>
          <w:rFonts w:ascii="Times New Roman" w:hAnsi="Times New Roman" w:eastAsia="Times New Roman" w:cs="Times New Roman"/>
        </w:rPr>
        <w:t>« Qu’est-ce que l’instruction supérieure ? Nulle instruction ne peut être appelée supérieure, à moins qu’elle ne porte l’empreinte du ciel, à moins qu’elle ne conduise les jeunes gens et les jeunes filles à devenir semblables au Christ, et qu’elle ne les rende capables de se tenir à la tête de leurs familles à la place de Dieu. Si, au cours de sa vie scolaire, un jeune homme n’a pas réussi à acquérir la connaissance du grec et du latin, ainsi que des idées contenues dans les ouvrages d’auteurs incrédules, il n’a pas subi une grande perte. Si Jésus-Christ avait jugé ce genre d’instruction essentiel, ne l’aurait-il pas donné à ses disciples, qu’il formait pour accomplir la plus grande œuvre jamais confiée à des mortels, pour le représenter dans le monde ? Mais, au contraire, il mit entre leurs mains la vérité sacrée, afin qu’elle fût donnée au monde dans sa simplicité. »</w:t>
      </w:r>
    </w:p>
    <w:p>
      <w:pPr>
        <w:pStyle w:val="ArticleScripture"/>
        <w:jc w:val="left"/>
      </w:pPr>
      <w:r>
        <w:rPr>
          <w:rFonts w:ascii="Times New Roman" w:hAnsi="Times New Roman" w:eastAsia="Times New Roman" w:cs="Times New Roman"/>
        </w:rPr>
        <w:t>“ꞌNako tseo go hlokegago barutegi ba Segerika le Selatini. Ba bangwe ba swanetše go ithuta maleme a. Se se lokile. Eupša ga se bohle, le gona ga se ba bantši, bao ba swanetšego go a ithuta. Bao ba naganago gore tsebo ya Segerika le Selatini e bohlokwa bakeng sa thuto ya godimo, ba ka se bone kgole. Le gona tsebo ya diphiri tša seo batho ba lefase ba se bitšago saense ga se ya hlokega bakeng sa go tsena mmušong wa Modimo. Ke Sathane yo a tlatšago monagano ka bofora le setšo, tšeo di kgaoganyago thuto ya kgonthe ya godimo, le tšeo di tlago go senyega gotee le moithuti.</w:t>
      </w:r>
    </w:p>
    <w:p>
      <w:pPr>
        <w:pStyle w:val="ArticleScripture"/>
        <w:jc w:val="left"/>
      </w:pPr>
      <w:r>
        <w:rPr>
          <w:rFonts w:ascii="Times New Roman" w:hAnsi="Times New Roman" w:eastAsia="Times New Roman" w:cs="Times New Roman"/>
        </w:rPr>
        <w:t>“Ko waɗanda suka karɓi ilimi na ƙarya ba sa ɗaga idanunsu zuwa sama. Ba za su iya ganin Wanda shi ne Haske na gaskiya ba, ‘wanda ke haskaka kowane mutum mai zuwa cikin duniya.’ Suna kallon ainihin abubuwan madawwami kamar inuwa marasa tabbas, suna kiran zarra duniya, kuma duniya zarra. Game da mutane da yawa da suka karɓi abin da ake kira ilimi mafi girma, Allah yana cewa, ‘An auna ka a kan ma’aunai, an same ka da rashi,’—da rashi a sanin harkokin rayuwa na zahiri, da rashi a sanin yadda za a fi amfani da lokaci da kyau, da rashi a sanin yadda za a yi aiki domin Yesu.” Review and Herald, August 17, 1897.</w:t>
      </w:r>
    </w:p>
    <w:p>
      <w:pPr>
        <w:pStyle w:val="ArticleBody"/>
        <w:jc w:val="left"/>
      </w:pPr>
      <w:r>
        <w:rPr>
          <w:rFonts w:ascii="Times New Roman" w:hAnsi="Times New Roman" w:eastAsia="Times New Roman" w:cs="Times New Roman"/>
        </w:rPr>
        <w:t>Umuburo w’udupira tw’umuriro twa Nashville si uw’umujyi uwo ari wo wose gusa; ni urubanza rutaziguye rwazanywe ku Badiventisti b’Umunsi wa Karindwi, kuri Leta Zunze Ubumwe za Amerika, no ku isi. Udushashi tw’umuriro twa Nashville duserura imico itandukanye ku byiciro binyuranye by’Ubudiventisti, ku nyamaswa yo ku isi, no ku isi. Udushashi tw’umuriro twa Nashville ni urubanza rw’Imana ku burezi bw’ibinyoma, bushushanywa n’igiti cyo kumenya icyiza n’ikibi.</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«Посредством разнообразных образов Господь Иисус представил Иоанну нечестивый характер и обольстительное влияние тех, кто отличился преследованием народа Божия. Всем необходима мудрость, чтобы тщательно исследовать тайну беззакония, которая занимает столь значительное место в завершении истории этой земли. Божье представление о мерзких делах жителей господствующих властей мира, которые связывают себя в тайные общества и союзы, не почитая закона Божия, должно побудить народ, имеющий свет истины, держаться вдали от всех этих зол. Все более и более все ложные религиозные деятели мира будут являть свои злые дела; ибо существуют лишь две стороны: те, которые соблюдают заповеди Божии, и те, которые воюют против святого закона Божия....»</w:t>
      </w:r>
    </w:p>
    <w:p>
      <w:pPr>
        <w:pStyle w:val="ArticleScripture"/>
        <w:jc w:val="left"/>
      </w:pPr>
      <w:r>
        <w:rPr>
          <w:rFonts w:ascii="Times New Roman" w:hAnsi="Times New Roman" w:eastAsia="Times New Roman" w:cs="Times New Roman"/>
        </w:rPr>
        <w:t>Le inimicitate inter le semine del femina e le serpente es clarmente definite per le Senior. “E io ponera inimicitate inter te e le femina, e inter tu semine e su semine; illo te contunderà le capite, e tu le contunderàs le calcaneo.” “E a Adam Ille diceva: Quia tu ha ascoltate le voce de tu uxore, e ha mangiate del arbore, del qual io te commandava, dicente: Tu non mangiara de illo: maledicte es le terra propter te; in dolor tu mangiara de illo tote le dies de tu vita; spinas etiam e cardos illo producera pro te; e tu mangiara del herba del campo; in le sudor de tu facie tu mangiara pan, usque tu retorna al terra; quia ex illo tu esseva prendite: quia pulvere tu es, e al pulvere tu retornara.”</w:t>
      </w:r>
    </w:p>
    <w:p>
      <w:pPr>
        <w:pStyle w:val="ArticleScripture"/>
        <w:jc w:val="left"/>
      </w:pPr>
      <w:r>
        <w:rPr>
          <w:rFonts w:ascii="Times New Roman" w:hAnsi="Times New Roman" w:eastAsia="Times New Roman" w:cs="Times New Roman"/>
        </w:rPr>
        <w:t>«Անձնական ճանապարհով ընթանալով, Սատանայի գայթակղություններին համակերպվելով և Աստծո հայտնի կամքին հակառակ գործելով՝ մարդը իզուր փորձեց բարձրացնել ու օրհնել իրեն։ Այսպես նա փորձառությամբ ճանաչեց Աստծո պատվիրաններին անհնազանդությունը։ Այսպես նա ճանաչեց բարին և չարը. այսպես կորցրեց իր հավատարմությունն ու նվիրվածությունը Աստծուն և չարի ու տառապանքի հեղեղադռները բացեց ամբողջ մարդկային ընտանիքի վրա։ Քանի՜ շատերն են այսօր կատարում նույն փորձը։ Ե՞րբ պիտի մարդը սովորեն, որ իր անվտանգության միակ միջոցը «այսպես է ասում Տերը»-ի հանդեպ լիակատար վստահության մեջ է»։</w:t>
      </w:r>
    </w:p>
    <w:p>
      <w:pPr>
        <w:pStyle w:val="ArticleScripture"/>
        <w:jc w:val="left"/>
      </w:pPr>
      <w:r>
        <w:rPr>
          <w:rFonts w:ascii="Times New Roman" w:hAnsi="Times New Roman" w:eastAsia="Times New Roman" w:cs="Times New Roman"/>
        </w:rPr>
        <w:t>«Սատանան ձգտում է իր իսկ հնարանքները մարդկային միջոցներով պարտադրել Աստծո զավակներին։ Նա ձգտում է ընդունվել որպես Աստված, կամ նույնիսկ Աստծուց վեր դասվել»։</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主日</w:t>
      </w:r>
      <w:r>
        <w:rPr>
          <w:rFonts w:ascii="MS Gothic" w:hAnsi="MS Gothic" w:eastAsia="MS Gothic" w:cs="MS Gothic"/>
        </w:rPr>
        <w:t>を</w:t>
      </w:r>
      <w:r>
        <w:rPr>
          <w:rFonts w:ascii="Microsoft YaHei" w:hAnsi="Microsoft YaHei" w:eastAsia="Microsoft YaHei" w:cs="Microsoft YaHei"/>
        </w:rPr>
        <w:t>週</w:t>
      </w:r>
      <w:r>
        <w:rPr>
          <w:rFonts w:ascii="MS Gothic" w:hAnsi="MS Gothic" w:eastAsia="MS Gothic" w:cs="MS Gothic"/>
        </w:rPr>
        <w:t>の</w:t>
      </w:r>
      <w:r>
        <w:rPr>
          <w:rFonts w:ascii="Microsoft YaHei" w:hAnsi="Microsoft YaHei" w:eastAsia="Microsoft YaHei" w:cs="Microsoft YaHei"/>
        </w:rPr>
        <w:t>第一日</w:t>
      </w:r>
      <w:r>
        <w:rPr>
          <w:rFonts w:ascii="MS Gothic" w:hAnsi="MS Gothic" w:eastAsia="MS Gothic" w:cs="MS Gothic"/>
        </w:rPr>
        <w:t>に</w:t>
      </w:r>
      <w:r>
        <w:rPr>
          <w:rFonts w:ascii="Microsoft YaHei" w:hAnsi="Microsoft YaHei" w:eastAsia="Microsoft YaHei" w:cs="Microsoft YaHei"/>
        </w:rPr>
        <w:t>変更</w:t>
      </w:r>
      <w:r>
        <w:rPr>
          <w:rFonts w:ascii="MS Gothic" w:hAnsi="MS Gothic" w:eastAsia="MS Gothic" w:cs="MS Gothic"/>
        </w:rPr>
        <w:t>することによって</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人々</w:t>
      </w:r>
      <w:r>
        <w:rPr>
          <w:rFonts w:ascii="MS Gothic" w:hAnsi="MS Gothic" w:eastAsia="MS Gothic" w:cs="MS Gothic"/>
        </w:rPr>
        <w:t>を</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宣言</w:t>
      </w:r>
      <w:r>
        <w:rPr>
          <w:rFonts w:ascii="MS Gothic" w:hAnsi="MS Gothic" w:eastAsia="MS Gothic" w:cs="MS Gothic"/>
        </w:rPr>
        <w:t>を</w:t>
      </w:r>
      <w:r>
        <w:rPr>
          <w:rFonts w:ascii="Microsoft YaHei" w:hAnsi="Microsoft YaHei" w:eastAsia="Microsoft YaHei" w:cs="Microsoft YaHei"/>
        </w:rPr>
        <w:t>信</w:t>
      </w:r>
      <w:r>
        <w:rPr>
          <w:rFonts w:ascii="MS Gothic" w:hAnsi="MS Gothic" w:eastAsia="MS Gothic" w:cs="MS Gothic"/>
        </w:rPr>
        <w:t>じないように</w:t>
      </w:r>
      <w:r>
        <w:rPr>
          <w:rFonts w:ascii="Microsoft YaHei" w:hAnsi="Microsoft YaHei" w:eastAsia="Microsoft YaHei" w:cs="Microsoft YaHei"/>
        </w:rPr>
        <w:t>導</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結果、彼</w:t>
      </w:r>
      <w:r>
        <w:rPr>
          <w:rFonts w:ascii="MS Gothic" w:hAnsi="MS Gothic" w:eastAsia="MS Gothic" w:cs="MS Gothic"/>
        </w:rPr>
        <w:t>らが</w:t>
      </w:r>
      <w:r>
        <w:rPr>
          <w:rFonts w:ascii="Microsoft YaHei" w:hAnsi="Microsoft YaHei" w:eastAsia="Microsoft YaHei" w:cs="Microsoft YaHei"/>
        </w:rPr>
        <w:t>自分自身</w:t>
      </w:r>
      <w:r>
        <w:rPr>
          <w:rFonts w:ascii="MS Gothic" w:hAnsi="MS Gothic" w:eastAsia="MS Gothic" w:cs="MS Gothic"/>
        </w:rPr>
        <w:t>の</w:t>
      </w:r>
      <w:r>
        <w:rPr>
          <w:rFonts w:ascii="Microsoft YaHei" w:hAnsi="Microsoft YaHei" w:eastAsia="Microsoft YaHei" w:cs="Microsoft YaHei"/>
        </w:rPr>
        <w:t>道</w:t>
      </w:r>
      <w:r>
        <w:rPr>
          <w:rFonts w:ascii="MS Gothic" w:hAnsi="MS Gothic" w:eastAsia="MS Gothic" w:cs="MS Gothic"/>
        </w:rPr>
        <w:t>と</w:t>
      </w:r>
      <w:r>
        <w:rPr>
          <w:rFonts w:ascii="Microsoft YaHei" w:hAnsi="Microsoft YaHei" w:eastAsia="Microsoft YaHei" w:cs="Microsoft YaHei"/>
        </w:rPr>
        <w:t>計画</w:t>
      </w:r>
      <w:r>
        <w:rPr>
          <w:rFonts w:ascii="MS Gothic" w:hAnsi="MS Gothic" w:eastAsia="MS Gothic" w:cs="MS Gothic"/>
        </w:rPr>
        <w:t>とを</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目</w:t>
      </w:r>
      <w:r>
        <w:rPr>
          <w:rFonts w:ascii="MS Gothic" w:hAnsi="MS Gothic" w:eastAsia="MS Gothic" w:cs="MS Gothic"/>
        </w:rPr>
        <w:t>にも</w:t>
      </w:r>
      <w:r>
        <w:rPr>
          <w:rFonts w:ascii="Microsoft YaHei" w:hAnsi="Microsoft YaHei" w:eastAsia="Microsoft YaHei" w:cs="Microsoft YaHei"/>
        </w:rPr>
        <w:t>、</w:t>
      </w:r>
      <w:r>
        <w:rPr>
          <w:rFonts w:ascii="MS Gothic" w:hAnsi="MS Gothic" w:eastAsia="MS Gothic" w:cs="MS Gothic"/>
        </w:rPr>
        <w:t>またその</w:t>
      </w:r>
      <w:r>
        <w:rPr>
          <w:rFonts w:ascii="Microsoft YaHei" w:hAnsi="Microsoft YaHei" w:eastAsia="Microsoft YaHei" w:cs="Microsoft YaHei"/>
        </w:rPr>
        <w:t>倒錯</w:t>
      </w:r>
      <w:r>
        <w:rPr>
          <w:rFonts w:ascii="MS Gothic" w:hAnsi="MS Gothic" w:eastAsia="MS Gothic" w:cs="MS Gothic"/>
        </w:rPr>
        <w:t>した</w:t>
      </w:r>
      <w:r>
        <w:rPr>
          <w:rFonts w:ascii="Microsoft YaHei" w:hAnsi="Microsoft YaHei" w:eastAsia="Microsoft YaHei" w:cs="Microsoft YaHei"/>
        </w:rPr>
        <w:t>判断</w:t>
      </w:r>
      <w:r>
        <w:rPr>
          <w:rFonts w:ascii="MS Gothic" w:hAnsi="MS Gothic" w:eastAsia="MS Gothic" w:cs="MS Gothic"/>
        </w:rPr>
        <w:t>においても</w:t>
      </w:r>
      <w:r>
        <w:rPr>
          <w:rFonts w:ascii="Microsoft YaHei" w:hAnsi="Microsoft YaHei" w:eastAsia="Microsoft YaHei" w:cs="Microsoft YaHei"/>
        </w:rPr>
        <w:t>、</w:t>
      </w:r>
      <w:r>
        <w:rPr>
          <w:rFonts w:ascii="MS Gothic" w:hAnsi="MS Gothic" w:eastAsia="MS Gothic" w:cs="MS Gothic"/>
        </w:rPr>
        <w:t>きわめて</w:t>
      </w:r>
      <w:r>
        <w:rPr>
          <w:rFonts w:ascii="Microsoft YaHei" w:hAnsi="Microsoft YaHei" w:eastAsia="Microsoft YaHei" w:cs="Microsoft YaHei"/>
        </w:rPr>
        <w:t>賢明</w:t>
      </w:r>
      <w:r>
        <w:rPr>
          <w:rFonts w:ascii="MS Gothic" w:hAnsi="MS Gothic" w:eastAsia="MS Gothic" w:cs="MS Gothic"/>
        </w:rPr>
        <w:t>なものとみなすようにする</w:t>
      </w:r>
      <w:r>
        <w:rPr>
          <w:rFonts w:ascii="Times New Roman" w:hAnsi="Times New Roman" w:eastAsia="Times New Roman" w:cs="Times New Roman"/>
        </w:rPr>
        <w:t>.</w:t>
      </w:r>
      <w:r>
        <w:rPr>
          <w:rFonts w:ascii="Microsoft YaHei" w:hAnsi="Microsoft YaHei" w:eastAsia="Microsoft YaHei" w:cs="Microsoft YaHei"/>
        </w:rPr>
        <w:t>人間的</w:t>
      </w:r>
      <w:r>
        <w:rPr>
          <w:rFonts w:ascii="MS Gothic" w:hAnsi="MS Gothic" w:eastAsia="MS Gothic" w:cs="MS Gothic"/>
        </w:rPr>
        <w:t>な</w:t>
      </w:r>
      <w:r>
        <w:rPr>
          <w:rFonts w:ascii="Microsoft YaHei" w:hAnsi="Microsoft YaHei" w:eastAsia="Microsoft YaHei" w:cs="Microsoft YaHei"/>
        </w:rPr>
        <w:t>策</w:t>
      </w:r>
      <w:r>
        <w:rPr>
          <w:rFonts w:ascii="MS Gothic" w:hAnsi="MS Gothic" w:eastAsia="MS Gothic" w:cs="MS Gothic"/>
        </w:rPr>
        <w:t>によって</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人々</w:t>
      </w:r>
      <w:r>
        <w:rPr>
          <w:rFonts w:ascii="MS Gothic" w:hAnsi="MS Gothic" w:eastAsia="MS Gothic" w:cs="MS Gothic"/>
        </w:rPr>
        <w:t>に</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明示</w:t>
      </w:r>
      <w:r>
        <w:rPr>
          <w:rFonts w:ascii="MS Gothic" w:hAnsi="MS Gothic" w:eastAsia="MS Gothic" w:cs="MS Gothic"/>
        </w:rPr>
        <w:t>された</w:t>
      </w:r>
      <w:r>
        <w:rPr>
          <w:rFonts w:ascii="Microsoft YaHei" w:hAnsi="Microsoft YaHei" w:eastAsia="Microsoft YaHei" w:cs="Microsoft YaHei"/>
        </w:rPr>
        <w:t>戒</w:t>
      </w:r>
      <w:r>
        <w:rPr>
          <w:rFonts w:ascii="MS Gothic" w:hAnsi="MS Gothic" w:eastAsia="MS Gothic" w:cs="MS Gothic"/>
        </w:rPr>
        <w:t>めを</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伝承</w:t>
      </w:r>
      <w:r>
        <w:rPr>
          <w:rFonts w:ascii="MS Gothic" w:hAnsi="MS Gothic" w:eastAsia="MS Gothic" w:cs="MS Gothic"/>
        </w:rPr>
        <w:t>よりも</w:t>
      </w:r>
      <w:r>
        <w:rPr>
          <w:rFonts w:ascii="Microsoft YaHei" w:hAnsi="Microsoft YaHei" w:eastAsia="Microsoft YaHei" w:cs="Microsoft YaHei"/>
        </w:rPr>
        <w:t>効力</w:t>
      </w:r>
      <w:r>
        <w:rPr>
          <w:rFonts w:ascii="MS Gothic" w:hAnsi="MS Gothic" w:eastAsia="MS Gothic" w:cs="MS Gothic"/>
        </w:rPr>
        <w:t>の</w:t>
      </w:r>
      <w:r>
        <w:rPr>
          <w:rFonts w:ascii="Microsoft YaHei" w:hAnsi="Microsoft YaHei" w:eastAsia="Microsoft YaHei" w:cs="Microsoft YaHei"/>
        </w:rPr>
        <w:t>劣</w:t>
      </w:r>
      <w:r>
        <w:rPr>
          <w:rFonts w:ascii="MS Gothic" w:hAnsi="MS Gothic" w:eastAsia="MS Gothic" w:cs="MS Gothic"/>
        </w:rPr>
        <w:t>るものとみなさせ</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、常</w:t>
      </w:r>
      <w:r>
        <w:rPr>
          <w:rFonts w:ascii="MS Gothic" w:hAnsi="MS Gothic" w:eastAsia="MS Gothic" w:cs="MS Gothic"/>
        </w:rPr>
        <w:t>に</w:t>
      </w:r>
      <w:r>
        <w:rPr>
          <w:rFonts w:ascii="Microsoft YaHei" w:hAnsi="Microsoft YaHei" w:eastAsia="Microsoft YaHei" w:cs="Microsoft YaHei"/>
        </w:rPr>
        <w:t>聖</w:t>
      </w:r>
      <w:r>
        <w:rPr>
          <w:rFonts w:ascii="MS Gothic" w:hAnsi="MS Gothic" w:eastAsia="MS Gothic" w:cs="MS Gothic"/>
        </w:rPr>
        <w:t>にして</w:t>
      </w:r>
      <w:r>
        <w:rPr>
          <w:rFonts w:ascii="Microsoft YaHei" w:hAnsi="Microsoft YaHei" w:eastAsia="Microsoft YaHei" w:cs="Microsoft YaHei"/>
        </w:rPr>
        <w:t>正</w:t>
      </w:r>
      <w:r>
        <w:rPr>
          <w:rFonts w:ascii="MS Gothic" w:hAnsi="MS Gothic" w:eastAsia="MS Gothic" w:cs="MS Gothic"/>
        </w:rPr>
        <w:t>しく</w:t>
      </w:r>
      <w:r>
        <w:rPr>
          <w:rFonts w:ascii="Microsoft YaHei" w:hAnsi="Microsoft YaHei" w:eastAsia="Microsoft YaHei" w:cs="Microsoft YaHei"/>
        </w:rPr>
        <w:t>、善</w:t>
      </w:r>
      <w:r>
        <w:rPr>
          <w:rFonts w:ascii="MS Gothic" w:hAnsi="MS Gothic" w:eastAsia="MS Gothic" w:cs="MS Gothic"/>
        </w:rPr>
        <w:t>であるその</w:t>
      </w:r>
      <w:r>
        <w:rPr>
          <w:rFonts w:ascii="Microsoft YaHei" w:hAnsi="Microsoft YaHei" w:eastAsia="Microsoft YaHei" w:cs="Microsoft YaHei"/>
        </w:rPr>
        <w:t>律法</w:t>
      </w:r>
      <w:r>
        <w:rPr>
          <w:rFonts w:ascii="MS Gothic" w:hAnsi="MS Gothic" w:eastAsia="MS Gothic" w:cs="MS Gothic"/>
        </w:rPr>
        <w:t>から</w:t>
      </w:r>
      <w:r>
        <w:rPr>
          <w:rFonts w:ascii="Microsoft YaHei" w:hAnsi="Microsoft YaHei" w:eastAsia="Microsoft YaHei" w:cs="Microsoft YaHei"/>
        </w:rPr>
        <w:t>逸脱</w:t>
      </w:r>
      <w:r>
        <w:rPr>
          <w:rFonts w:ascii="MS Gothic" w:hAnsi="MS Gothic" w:eastAsia="MS Gothic" w:cs="MS Gothic"/>
        </w:rPr>
        <w:t>することを</w:t>
      </w:r>
      <w:r>
        <w:rPr>
          <w:rFonts w:ascii="Microsoft YaHei" w:hAnsi="Microsoft YaHei" w:eastAsia="Microsoft YaHei" w:cs="Microsoft YaHei"/>
        </w:rPr>
        <w:t>、取</w:t>
      </w:r>
      <w:r>
        <w:rPr>
          <w:rFonts w:ascii="MS Gothic" w:hAnsi="MS Gothic" w:eastAsia="MS Gothic" w:cs="MS Gothic"/>
        </w:rPr>
        <w:t>るに</w:t>
      </w:r>
      <w:r>
        <w:rPr>
          <w:rFonts w:ascii="Microsoft YaHei" w:hAnsi="Microsoft YaHei" w:eastAsia="Microsoft YaHei" w:cs="Microsoft YaHei"/>
        </w:rPr>
        <w:t>足</w:t>
      </w:r>
      <w:r>
        <w:rPr>
          <w:rFonts w:ascii="MS Gothic" w:hAnsi="MS Gothic" w:eastAsia="MS Gothic" w:cs="MS Gothic"/>
        </w:rPr>
        <w:t>りないこととみなさせる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このようにして</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w:t>
      </w:r>
      <w:r>
        <w:rPr>
          <w:rFonts w:ascii="Microsoft YaHei" w:hAnsi="Microsoft YaHei" w:eastAsia="Microsoft YaHei" w:cs="Microsoft YaHei"/>
        </w:rPr>
        <w:t>手</w:t>
      </w:r>
      <w:r>
        <w:rPr>
          <w:rFonts w:ascii="MS Gothic" w:hAnsi="MS Gothic" w:eastAsia="MS Gothic" w:cs="MS Gothic"/>
        </w:rPr>
        <w:t>たちが</w:t>
      </w:r>
      <w:r>
        <w:rPr>
          <w:rFonts w:ascii="Microsoft YaHei" w:hAnsi="Microsoft YaHei" w:eastAsia="Microsoft YaHei" w:cs="Microsoft YaHei"/>
        </w:rPr>
        <w:t>従順</w:t>
      </w:r>
      <w:r>
        <w:rPr>
          <w:rFonts w:ascii="MS Gothic" w:hAnsi="MS Gothic" w:eastAsia="MS Gothic" w:cs="MS Gothic"/>
        </w:rPr>
        <w:t>な</w:t>
      </w:r>
      <w:r>
        <w:rPr>
          <w:rFonts w:ascii="Microsoft YaHei" w:hAnsi="Microsoft YaHei" w:eastAsia="Microsoft YaHei" w:cs="Microsoft YaHei"/>
        </w:rPr>
        <w:t>子</w:t>
      </w:r>
      <w:r>
        <w:rPr>
          <w:rFonts w:ascii="MS Gothic" w:hAnsi="MS Gothic" w:eastAsia="MS Gothic" w:cs="MS Gothic"/>
        </w:rPr>
        <w:t>らとして</w:t>
      </w:r>
      <w:r>
        <w:rPr>
          <w:rFonts w:ascii="Microsoft YaHei" w:hAnsi="Microsoft YaHei" w:eastAsia="Microsoft YaHei" w:cs="Microsoft YaHei"/>
        </w:rPr>
        <w:t>神</w:t>
      </w:r>
      <w:r>
        <w:rPr>
          <w:rFonts w:ascii="MS Gothic" w:hAnsi="MS Gothic" w:eastAsia="MS Gothic" w:cs="MS Gothic"/>
        </w:rPr>
        <w:t>と</w:t>
      </w:r>
      <w:r>
        <w:rPr>
          <w:rFonts w:ascii="Microsoft YaHei" w:hAnsi="Microsoft YaHei" w:eastAsia="Microsoft YaHei" w:cs="Microsoft YaHei"/>
        </w:rPr>
        <w:t>調和</w:t>
      </w:r>
      <w:r>
        <w:rPr>
          <w:rFonts w:ascii="MS Gothic" w:hAnsi="MS Gothic" w:eastAsia="MS Gothic" w:cs="MS Gothic"/>
        </w:rPr>
        <w:t>して</w:t>
      </w:r>
      <w:r>
        <w:rPr>
          <w:rFonts w:ascii="Microsoft YaHei" w:hAnsi="Microsoft YaHei" w:eastAsia="Microsoft YaHei" w:cs="Microsoft YaHei"/>
        </w:rPr>
        <w:t>歩</w:t>
      </w:r>
      <w:r>
        <w:rPr>
          <w:rFonts w:ascii="MS Gothic" w:hAnsi="MS Gothic" w:eastAsia="MS Gothic" w:cs="MS Gothic"/>
        </w:rPr>
        <w:t>むことを</w:t>
      </w:r>
      <w:r>
        <w:rPr>
          <w:rFonts w:ascii="Microsoft YaHei" w:hAnsi="Microsoft YaHei" w:eastAsia="Microsoft YaHei" w:cs="Microsoft YaHei"/>
        </w:rPr>
        <w:t>妨</w:t>
      </w:r>
      <w:r>
        <w:rPr>
          <w:rFonts w:ascii="MS Gothic" w:hAnsi="MS Gothic" w:eastAsia="MS Gothic" w:cs="MS Gothic"/>
        </w:rPr>
        <w:t>げるならば</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世</w:t>
      </w:r>
      <w:r>
        <w:rPr>
          <w:rFonts w:ascii="MS Gothic" w:hAnsi="MS Gothic" w:eastAsia="MS Gothic" w:cs="MS Gothic"/>
        </w:rPr>
        <w:t>における</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きの</w:t>
      </w:r>
      <w:r>
        <w:rPr>
          <w:rFonts w:ascii="Microsoft YaHei" w:hAnsi="Microsoft YaHei" w:eastAsia="Microsoft YaHei" w:cs="Microsoft YaHei"/>
        </w:rPr>
        <w:t>成就</w:t>
      </w:r>
      <w:r>
        <w:rPr>
          <w:rFonts w:ascii="MS Gothic" w:hAnsi="MS Gothic" w:eastAsia="MS Gothic" w:cs="MS Gothic"/>
        </w:rPr>
        <w:t>を</w:t>
      </w:r>
      <w:r>
        <w:rPr>
          <w:rFonts w:ascii="Microsoft YaHei" w:hAnsi="Microsoft YaHei" w:eastAsia="Microsoft YaHei" w:cs="Microsoft YaHei"/>
        </w:rPr>
        <w:t>阻止</w:t>
      </w:r>
      <w:r>
        <w:rPr>
          <w:rFonts w:ascii="MS Gothic" w:hAnsi="MS Gothic" w:eastAsia="MS Gothic" w:cs="MS Gothic"/>
        </w:rPr>
        <w:t>し</w:t>
      </w:r>
      <w:r>
        <w:rPr>
          <w:rFonts w:ascii="Microsoft YaHei" w:hAnsi="Microsoft YaHei" w:eastAsia="Microsoft YaHei" w:cs="Microsoft YaHei"/>
        </w:rPr>
        <w:t>得</w:t>
      </w:r>
      <w:r>
        <w:rPr>
          <w:rFonts w:ascii="MS Gothic" w:hAnsi="MS Gothic" w:eastAsia="MS Gothic" w:cs="MS Gothic"/>
        </w:rPr>
        <w:t>ることを</w:t>
      </w:r>
      <w:r>
        <w:rPr>
          <w:rFonts w:ascii="Microsoft YaHei" w:hAnsi="Microsoft YaHei" w:eastAsia="Microsoft YaHei" w:cs="Microsoft YaHei"/>
        </w:rPr>
        <w:t>知</w:t>
      </w:r>
      <w:r>
        <w:rPr>
          <w:rFonts w:ascii="MS Gothic" w:hAnsi="MS Gothic" w:eastAsia="MS Gothic" w:cs="MS Gothic"/>
        </w:rPr>
        <w:t>っている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တာဝန်ရှိသောရာထူးများ၌</w:t>
      </w:r>
      <w:r>
        <w:rPr>
          <w:rFonts w:ascii="Times New Roman" w:hAnsi="Times New Roman" w:eastAsia="Times New Roman" w:cs="Times New Roman"/>
        </w:rPr>
        <w:t xml:space="preserve"> </w:t>
      </w:r>
      <w:r>
        <w:rPr>
          <w:rFonts w:ascii="Myanmar Text" w:hAnsi="Myanmar Text" w:eastAsia="Myanmar Text" w:cs="Myanmar Text"/>
        </w:rPr>
        <w:t>ရပ်တည်နေသော</w:t>
      </w:r>
      <w:r>
        <w:rPr>
          <w:rFonts w:ascii="Times New Roman" w:hAnsi="Times New Roman" w:eastAsia="Times New Roman" w:cs="Times New Roman"/>
        </w:rPr>
        <w:t xml:space="preserve"> </w:t>
      </w:r>
      <w:r>
        <w:rPr>
          <w:rFonts w:ascii="Myanmar Text" w:hAnsi="Myanmar Text" w:eastAsia="Myanmar Text" w:cs="Myanmar Text"/>
        </w:rPr>
        <w:t>လူ့ကိုယ်စားလှယ်များနှင့်</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လျှို့ဝှက်ပူးပေါင်းကြံစည်မှုများကို</w:t>
      </w:r>
      <w:r>
        <w:rPr>
          <w:rFonts w:ascii="Times New Roman" w:hAnsi="Times New Roman" w:eastAsia="Times New Roman" w:cs="Times New Roman"/>
        </w:rPr>
        <w:t xml:space="preserve"> </w:t>
      </w:r>
      <w:r>
        <w:rPr>
          <w:rFonts w:ascii="Myanmar Text" w:hAnsi="Myanmar Text" w:eastAsia="Myanmar Text" w:cs="Myanmar Text"/>
        </w:rPr>
        <w:t>ကြောက်ရွံ့၍</w:t>
      </w:r>
      <w:r>
        <w:rPr>
          <w:rFonts w:ascii="Times New Roman" w:hAnsi="Times New Roman" w:eastAsia="Times New Roman" w:cs="Times New Roman"/>
        </w:rPr>
        <w:t xml:space="preserve"> </w:t>
      </w:r>
      <w:r>
        <w:rPr>
          <w:rFonts w:ascii="Myanmar Text" w:hAnsi="Myanmar Text" w:eastAsia="Myanmar Text" w:cs="Myanmar Text"/>
        </w:rPr>
        <w:t>ရှောင်ကြဉ်ရမည်မှာ၊</w:t>
      </w:r>
      <w:r>
        <w:rPr>
          <w:rFonts w:ascii="Times New Roman" w:hAnsi="Times New Roman" w:eastAsia="Times New Roman" w:cs="Times New Roman"/>
        </w:rPr>
        <w:t xml:space="preserve"> </w:t>
      </w:r>
      <w:r>
        <w:rPr>
          <w:rFonts w:ascii="Myanmar Text" w:hAnsi="Myanmar Text" w:eastAsia="Myanmar Text" w:cs="Myanmar Text"/>
        </w:rPr>
        <w:t>အပြစ်၏</w:t>
      </w:r>
      <w:r>
        <w:rPr>
          <w:rFonts w:ascii="Times New Roman" w:hAnsi="Times New Roman" w:eastAsia="Times New Roman" w:cs="Times New Roman"/>
        </w:rPr>
        <w:t xml:space="preserve"> </w:t>
      </w:r>
      <w:r>
        <w:rPr>
          <w:rFonts w:ascii="Myanmar Text" w:hAnsi="Myanmar Text" w:eastAsia="Myanmar Text" w:cs="Myanmar Text"/>
        </w:rPr>
        <w:t>စမ်းသပ်ချက်ကို</w:t>
      </w:r>
      <w:r>
        <w:rPr>
          <w:rFonts w:ascii="Times New Roman" w:hAnsi="Times New Roman" w:eastAsia="Times New Roman" w:cs="Times New Roman"/>
        </w:rPr>
        <w:t xml:space="preserve"> </w:t>
      </w:r>
      <w:r>
        <w:rPr>
          <w:rFonts w:ascii="Myanmar Text" w:hAnsi="Myanmar Text" w:eastAsia="Myanmar Text" w:cs="Myanmar Text"/>
        </w:rPr>
        <w:t>ကြုံတွေ့ပြီးနောက်</w:t>
      </w:r>
      <w:r>
        <w:rPr>
          <w:rFonts w:ascii="Times New Roman" w:hAnsi="Times New Roman" w:eastAsia="Times New Roman" w:cs="Times New Roman"/>
        </w:rPr>
        <w:t xml:space="preserve"> </w:t>
      </w:r>
      <w:r>
        <w:rPr>
          <w:rFonts w:ascii="Myanmar Text" w:hAnsi="Myanmar Text" w:eastAsia="Myanmar Text" w:cs="Myanmar Text"/>
        </w:rPr>
        <w:t>ယခုအချိန်၌လည်း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မူလမိဘများ၏</w:t>
      </w:r>
      <w:r>
        <w:rPr>
          <w:rFonts w:ascii="Times New Roman" w:hAnsi="Times New Roman" w:eastAsia="Times New Roman" w:cs="Times New Roman"/>
        </w:rPr>
        <w:t xml:space="preserve"> </w:t>
      </w:r>
      <w:r>
        <w:rPr>
          <w:rFonts w:ascii="Myanmar Text" w:hAnsi="Myanmar Text" w:eastAsia="Myanmar Text" w:cs="Myanmar Text"/>
        </w:rPr>
        <w:t>အမှု၌</w:t>
      </w:r>
      <w:r>
        <w:rPr>
          <w:rFonts w:ascii="Times New Roman" w:hAnsi="Times New Roman" w:eastAsia="Times New Roman" w:cs="Times New Roman"/>
        </w:rPr>
        <w:t xml:space="preserve"> </w:t>
      </w:r>
      <w:r>
        <w:rPr>
          <w:rFonts w:ascii="Myanmar Text" w:hAnsi="Myanmar Text" w:eastAsia="Myanmar Text" w:cs="Myanmar Text"/>
        </w:rPr>
        <w:t>ဖြစ်ခဲ့သကဲ့သို့ပင်</w:t>
      </w:r>
      <w:r>
        <w:rPr>
          <w:rFonts w:ascii="Times New Roman" w:hAnsi="Times New Roman" w:eastAsia="Times New Roman" w:cs="Times New Roman"/>
        </w:rPr>
        <w:t xml:space="preserve"> </w:t>
      </w:r>
      <w:r>
        <w:rPr>
          <w:rFonts w:ascii="Myanmar Text" w:hAnsi="Myanmar Text" w:eastAsia="Myanmar Text" w:cs="Myanmar Text"/>
        </w:rPr>
        <w:t>တူညီစွာ</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တာဝန်ရှိသောရာထူးများ၌</w:t>
      </w:r>
      <w:r>
        <w:rPr>
          <w:rFonts w:ascii="Times New Roman" w:hAnsi="Times New Roman" w:eastAsia="Times New Roman" w:cs="Times New Roman"/>
        </w:rPr>
        <w:t xml:space="preserve"> </w:t>
      </w:r>
      <w:r>
        <w:rPr>
          <w:rFonts w:ascii="Myanmar Text" w:hAnsi="Myanmar Text" w:eastAsia="Myanmar Text" w:cs="Myanmar Text"/>
        </w:rPr>
        <w:t>ခန့်အပ်ထားသော</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အခြားသူများကို</w:t>
      </w:r>
      <w:r>
        <w:rPr>
          <w:rFonts w:ascii="Times New Roman" w:hAnsi="Times New Roman" w:eastAsia="Times New Roman" w:cs="Times New Roman"/>
        </w:rPr>
        <w:t xml:space="preserve"> </w:t>
      </w:r>
      <w:r>
        <w:rPr>
          <w:rFonts w:ascii="Myanmar Text" w:hAnsi="Myanmar Text" w:eastAsia="Myanmar Text" w:cs="Myanmar Text"/>
        </w:rPr>
        <w:t>ထိန်းချုပ်ရန်</w:t>
      </w:r>
      <w:r>
        <w:rPr>
          <w:rFonts w:ascii="Times New Roman" w:hAnsi="Times New Roman" w:eastAsia="Times New Roman" w:cs="Times New Roman"/>
        </w:rPr>
        <w:t xml:space="preserve"> </w:t>
      </w:r>
      <w:r>
        <w:rPr>
          <w:rFonts w:ascii="Myanmar Text" w:hAnsi="Myanmar Text" w:eastAsia="Myanmar Text" w:cs="Myanmar Text"/>
        </w:rPr>
        <w:t>မိမိတို့၌ရှိသော</w:t>
      </w:r>
      <w:r>
        <w:rPr>
          <w:rFonts w:ascii="Times New Roman" w:hAnsi="Times New Roman" w:eastAsia="Times New Roman" w:cs="Times New Roman"/>
        </w:rPr>
        <w:t xml:space="preserve"> </w:t>
      </w:r>
      <w:r>
        <w:rPr>
          <w:rFonts w:ascii="Myanmar Text" w:hAnsi="Myanmar Text" w:eastAsia="Myanmar Text" w:cs="Myanmar Text"/>
        </w:rPr>
        <w:t>အခွင့်အာဏာကို</w:t>
      </w:r>
      <w:r>
        <w:rPr>
          <w:rFonts w:ascii="Times New Roman" w:hAnsi="Times New Roman" w:eastAsia="Times New Roman" w:cs="Times New Roman"/>
        </w:rPr>
        <w:t xml:space="preserve"> </w:t>
      </w:r>
      <w:r>
        <w:rPr>
          <w:rFonts w:ascii="Myanmar Text" w:hAnsi="Myanmar Text" w:eastAsia="Myanmar Text" w:cs="Myanmar Text"/>
        </w:rPr>
        <w:t>အလွန်အကျွံ</w:t>
      </w:r>
      <w:r>
        <w:rPr>
          <w:rFonts w:ascii="Times New Roman" w:hAnsi="Times New Roman" w:eastAsia="Times New Roman" w:cs="Times New Roman"/>
        </w:rPr>
        <w:t xml:space="preserve"> </w:t>
      </w:r>
      <w:r>
        <w:rPr>
          <w:rFonts w:ascii="Myanmar Text" w:hAnsi="Myanmar Text" w:eastAsia="Myanmar Text" w:cs="Myanmar Text"/>
        </w:rPr>
        <w:t>ခန့်မှန်းထားကြောင်းကို</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ပြောဆိုစေဖို့</w:t>
      </w:r>
      <w:r>
        <w:rPr>
          <w:rFonts w:ascii="Times New Roman" w:hAnsi="Times New Roman" w:eastAsia="Times New Roman" w:cs="Times New Roman"/>
        </w:rPr>
        <w:t xml:space="preserve"> </w:t>
      </w:r>
      <w:r>
        <w:rPr>
          <w:rFonts w:ascii="Myanmar Text" w:hAnsi="Myanmar Text" w:eastAsia="Myanmar Text" w:cs="Myanmar Text"/>
        </w:rPr>
        <w:t>ညွှန်ကြားခြင်း</w:t>
      </w:r>
      <w:r>
        <w:rPr>
          <w:rFonts w:ascii="Times New Roman" w:hAnsi="Times New Roman" w:eastAsia="Times New Roman" w:cs="Times New Roman"/>
        </w:rPr>
        <w:t xml:space="preserve"> </w:t>
      </w:r>
      <w:r>
        <w:rPr>
          <w:rFonts w:ascii="Myanmar Text" w:hAnsi="Myanmar Text" w:eastAsia="Myanmar Text" w:cs="Myanmar Text"/>
        </w:rPr>
        <w:t>ခံရ၏။</w:t>
      </w:r>
      <w:r>
        <w:rPr>
          <w:rFonts w:ascii="Times New Roman" w:hAnsi="Times New Roman" w:eastAsia="Times New Roman" w:cs="Times New Roman"/>
        </w:rPr>
        <w:t xml:space="preserve"> </w:t>
      </w:r>
      <w:r>
        <w:rPr>
          <w:rFonts w:ascii="Myanmar Text" w:hAnsi="Myanmar Text" w:eastAsia="Myanmar Text" w:cs="Myanmar Text"/>
        </w:rPr>
        <w:t>လူတစ်ဦးသည်</w:t>
      </w:r>
      <w:r>
        <w:rPr>
          <w:rFonts w:ascii="Times New Roman" w:hAnsi="Times New Roman" w:eastAsia="Times New Roman" w:cs="Times New Roman"/>
        </w:rPr>
        <w:t xml:space="preserve"> </w:t>
      </w:r>
      <w:r>
        <w:rPr>
          <w:rFonts w:ascii="Myanmar Text" w:hAnsi="Myanmar Text" w:eastAsia="Myanmar Text" w:cs="Myanmar Text"/>
        </w:rPr>
        <w:t>မည်သည့်ရာထူး၌</w:t>
      </w:r>
      <w:r>
        <w:rPr>
          <w:rFonts w:ascii="Times New Roman" w:hAnsi="Times New Roman" w:eastAsia="Times New Roman" w:cs="Times New Roman"/>
        </w:rPr>
        <w:t xml:space="preserve"> </w:t>
      </w:r>
      <w:r>
        <w:rPr>
          <w:rFonts w:ascii="Myanmar Text" w:hAnsi="Myanmar Text" w:eastAsia="Myanmar Text" w:cs="Myanmar Text"/>
        </w:rPr>
        <w:t>ရှိနေသည်ဖြစ်စေ၊</w:t>
      </w:r>
      <w:r>
        <w:rPr>
          <w:rFonts w:ascii="Times New Roman" w:hAnsi="Times New Roman" w:eastAsia="Times New Roman" w:cs="Times New Roman"/>
        </w:rPr>
        <w:t xml:space="preserve"> </w:t>
      </w:r>
      <w:r>
        <w:rPr>
          <w:rFonts w:ascii="Myanmar Text" w:hAnsi="Myanmar Text" w:eastAsia="Myanmar Text" w:cs="Myanmar Text"/>
        </w:rPr>
        <w:t>ထိုရာထူးက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စရိုက်လက္ခဏာကို</w:t>
      </w:r>
      <w:r>
        <w:rPr>
          <w:rFonts w:ascii="Times New Roman" w:hAnsi="Times New Roman" w:eastAsia="Times New Roman" w:cs="Times New Roman"/>
        </w:rPr>
        <w:t xml:space="preserve"> </w:t>
      </w:r>
      <w:r>
        <w:rPr>
          <w:rFonts w:ascii="Myanmar Text" w:hAnsi="Myanmar Text" w:eastAsia="Myanmar Text" w:cs="Myanmar Text"/>
        </w:rPr>
        <w:t>မပြောင်းလဲစေ။</w:t>
      </w:r>
      <w:r>
        <w:rPr>
          <w:rFonts w:ascii="Times New Roman" w:hAnsi="Times New Roman" w:eastAsia="Times New Roman" w:cs="Times New Roman"/>
        </w:rPr>
        <w:t xml:space="preserve"> </w:t>
      </w:r>
      <w:r>
        <w:rPr>
          <w:rFonts w:ascii="Myanmar Text" w:hAnsi="Myanmar Text" w:eastAsia="Myanmar Text" w:cs="Myanmar Text"/>
        </w:rPr>
        <w:t>အချို့တို့သည်</w:t>
      </w:r>
      <w:r>
        <w:rPr>
          <w:rFonts w:ascii="Times New Roman" w:hAnsi="Times New Roman" w:eastAsia="Times New Roman" w:cs="Times New Roman"/>
        </w:rPr>
        <w:t xml:space="preserve"> </w:t>
      </w:r>
      <w:r>
        <w:rPr>
          <w:rFonts w:ascii="Myanmar Text" w:hAnsi="Myanmar Text" w:eastAsia="Myanmar Text" w:cs="Myanmar Text"/>
        </w:rPr>
        <w:t>အသင်းတော်များနှင့်</w:t>
      </w:r>
      <w:r>
        <w:rPr>
          <w:rFonts w:ascii="Times New Roman" w:hAnsi="Times New Roman" w:eastAsia="Times New Roman" w:cs="Times New Roman"/>
        </w:rPr>
        <w:t xml:space="preserve"> </w:t>
      </w:r>
      <w:r>
        <w:rPr>
          <w:rFonts w:ascii="Myanmar Text" w:hAnsi="Myanmar Text" w:eastAsia="Myanmar Text" w:cs="Myanmar Text"/>
        </w:rPr>
        <w:t>ဆေးကုသရေးဌာနများအတွက်</w:t>
      </w:r>
      <w:r>
        <w:rPr>
          <w:rFonts w:ascii="Times New Roman" w:hAnsi="Times New Roman" w:eastAsia="Times New Roman" w:cs="Times New Roman"/>
        </w:rPr>
        <w:t xml:space="preserve"> </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စီမံဆုံးဖြတ်ရမည်ဖြစ်၍</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အကဲဖြတ်ချက်ကို</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မေးခွန်းမထုတ်ရဟု</w:t>
      </w:r>
      <w:r>
        <w:rPr>
          <w:rFonts w:ascii="Times New Roman" w:hAnsi="Times New Roman" w:eastAsia="Times New Roman" w:cs="Times New Roman"/>
        </w:rPr>
        <w:t xml:space="preserve"> </w:t>
      </w:r>
      <w:r>
        <w:rPr>
          <w:rFonts w:ascii="Myanmar Text" w:hAnsi="Myanmar Text" w:eastAsia="Myanmar Text" w:cs="Myanmar Text"/>
        </w:rPr>
        <w:t>ခံစားသကဲ့သို့</w:t>
      </w:r>
      <w:r>
        <w:rPr>
          <w:rFonts w:ascii="Times New Roman" w:hAnsi="Times New Roman" w:eastAsia="Times New Roman" w:cs="Times New Roman"/>
        </w:rPr>
        <w:t xml:space="preserve"> </w:t>
      </w:r>
      <w:r>
        <w:rPr>
          <w:rFonts w:ascii="Myanmar Text" w:hAnsi="Myanmar Text" w:eastAsia="Myanmar Text" w:cs="Myanmar Text"/>
        </w:rPr>
        <w:t>ထင်ရှားလာခဲ့ကြသည်။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အဆင့်တိုင်း၌</w:t>
      </w:r>
      <w:r>
        <w:rPr>
          <w:rFonts w:ascii="Times New Roman" w:hAnsi="Times New Roman" w:eastAsia="Times New Roman" w:cs="Times New Roman"/>
        </w:rPr>
        <w:t xml:space="preserve"> </w:t>
      </w:r>
      <w:r>
        <w:rPr>
          <w:rFonts w:ascii="Myanmar Text" w:hAnsi="Myanmar Text" w:eastAsia="Myanmar Text" w:cs="Myanmar Text"/>
        </w:rPr>
        <w:t>ယေရှုထံမှ</w:t>
      </w:r>
      <w:r>
        <w:rPr>
          <w:rFonts w:ascii="Times New Roman" w:hAnsi="Times New Roman" w:eastAsia="Times New Roman" w:cs="Times New Roman"/>
        </w:rPr>
        <w:t xml:space="preserve"> </w:t>
      </w:r>
      <w:r>
        <w:rPr>
          <w:rFonts w:ascii="Myanmar Text" w:hAnsi="Myanmar Text" w:eastAsia="Myanmar Text" w:cs="Myanmar Text"/>
        </w:rPr>
        <w:t>သင်ယူကြစေ။</w:t>
      </w:r>
      <w:r>
        <w:rPr>
          <w:rFonts w:ascii="Times New Roman" w:hAnsi="Times New Roman" w:eastAsia="Times New Roman" w:cs="Times New Roman"/>
        </w:rPr>
        <w:t xml:space="preserve"> </w:t>
      </w:r>
      <w:r>
        <w:rPr>
          <w:rFonts w:ascii="Myanmar Text" w:hAnsi="Myanmar Text" w:eastAsia="Myanmar Text" w:cs="Myanmar Text"/>
        </w:rPr>
        <w:t>လူတစ်ဦးစီအတွက်</w:t>
      </w:r>
      <w:r>
        <w:rPr>
          <w:rFonts w:ascii="Times New Roman" w:hAnsi="Times New Roman" w:eastAsia="Times New Roman" w:cs="Times New Roman"/>
        </w:rPr>
        <w:t xml:space="preserve"> </w:t>
      </w:r>
      <w:r>
        <w:rPr>
          <w:rFonts w:ascii="Myanmar Text" w:hAnsi="Myanmar Text" w:eastAsia="Myanmar Text" w:cs="Myanmar Text"/>
        </w:rPr>
        <w:t>အကြီးဆုံးသော</w:t>
      </w:r>
      <w:r>
        <w:rPr>
          <w:rFonts w:ascii="Times New Roman" w:hAnsi="Times New Roman" w:eastAsia="Times New Roman" w:cs="Times New Roman"/>
        </w:rPr>
        <w:t xml:space="preserve"> </w:t>
      </w:r>
      <w:r>
        <w:rPr>
          <w:rFonts w:ascii="Myanmar Text" w:hAnsi="Myanmar Text" w:eastAsia="Myanmar Text" w:cs="Myanmar Text"/>
        </w:rPr>
        <w:t>အာဏာပိုင်မှာ</w:t>
      </w:r>
      <w:r>
        <w:rPr>
          <w:rFonts w:ascii="Times New Roman" w:hAnsi="Times New Roman" w:eastAsia="Times New Roman" w:cs="Times New Roman"/>
        </w:rPr>
        <w:t xml:space="preserve"> </w:t>
      </w:r>
      <w:r>
        <w:rPr>
          <w:rFonts w:ascii="Myanmar Text" w:hAnsi="Myanmar Text" w:eastAsia="Myanmar Text" w:cs="Myanmar Text"/>
        </w:rPr>
        <w:t>ကိုယ်တော်ပင်</w:t>
      </w:r>
      <w:r>
        <w:rPr>
          <w:rFonts w:ascii="Times New Roman" w:hAnsi="Times New Roman" w:eastAsia="Times New Roman" w:cs="Times New Roman"/>
        </w:rPr>
        <w:t xml:space="preserve"> </w:t>
      </w:r>
      <w:r>
        <w:rPr>
          <w:rFonts w:ascii="Myanmar Text" w:hAnsi="Myanmar Text" w:eastAsia="Myanmar Text" w:cs="Myanmar Text"/>
        </w:rPr>
        <w:t>ဖြစ်ရမည်။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Celui qui a souvent été notre Instructeur dit : “Qu’il est difficile pour l’homme de marcher humblement avec son Dieu, dans un esprit contrit, en prenant la voie de Dieu et en rejetant les propositions de Satan qui semblent offrir de grands avantages mondains.” L’influence de la volonté propre de l’homme, substituée à une ferme position sur le solide fondement que Dieu seul a posé, s’est répétée maintes et maintes fois. Refuser de marcher dans les sentiers droits que Dieu a indiqués les conduira à la confusion et n’enseignera pas la sagesse à d’autres qui subissent la même épreuve et le même test. Quand l’homme apprendra-t-il que Dieu est Dieu, et non un homme pour changer ? »</w:t>
      </w:r>
    </w:p>
    <w:p>
      <w:pPr>
        <w:pStyle w:val="ArticleScripture"/>
        <w:jc w:val="left"/>
      </w:pPr>
      <w:r>
        <w:rPr>
          <w:rFonts w:ascii="Times New Roman" w:hAnsi="Times New Roman" w:eastAsia="Times New Roman" w:cs="Times New Roman"/>
        </w:rPr>
        <w:t>„A zirtirtir kan sirrii irraa goraniiru; isaan itti fufiinsaan qaccee ta’uun itti gaafatamummaa Waaqayyo isaan irratti hin fe’amne qabachuuf yaalaniiru. Waaqayyo tajaajilaa hundumaa fi ogeessa fayyaa hundumaa dhugaa sanaa salphina isaa eeguuf waama. Ilmi Waaqayyoo inni Kakuu Moofaa fi Kakuu Haaraa keessatti mul’atu, har’as Fayyisaa biyya lafaa keenyaa dha. Inni irraa hojii ergamummaa fayyaa hundi leenjii isaa fudhachuu qaba. Inni aangoo qilleensaa sanaa bulchu irraa of hin baasin yoo ta’e, lubbuuwwan isa amanatan ni dogoggorsa. Namoonni akkasitti baratanii ol kaafaman, karoora isaanii ummanni idilee hubachuu hin dandeenye irraa namni hundi haa of eegu.“</w:t>
      </w:r>
    </w:p>
    <w:p>
      <w:pPr>
        <w:pStyle w:val="ArticleScripture"/>
        <w:jc w:val="left"/>
      </w:pPr>
      <w:r>
        <w:rPr>
          <w:rFonts w:ascii="Times New Roman" w:hAnsi="Times New Roman" w:eastAsia="Times New Roman" w:cs="Times New Roman"/>
        </w:rPr>
        <w:t>«Падманлівасці граху пераўзыходзяць усялякае бясконцае ўяўленне. Кожнае бедства, кожнае пакутаванне і смерць ёсць сведчаннем не толькі сілы зла, але і праўдзівасці жывога Бога. Пазнаўшы праўду, слова жывога Бога, якое прабывае навекі і якое праз паслух дае жыццё, чалавек выяўляе дзіўную, незвычайную слабасць, калі паддаецца хітрасці сатаны. Усе, каго навучае Бог, прызнаюць Хрыста Ягоным Сынам. Усе, хто не верыць вядомым абвяшчэнням Бога, паказваюць, наколькі папулярны грэх, і не працуюць на баку жыцця і неўміручасці, якія адкрываюцца праз дасканалае асвячэнне праўдай. Калі яны не зменяць свайго характару, сваіх слоў і свайго духу, душы будуць страчаны.»</w:t>
      </w:r>
    </w:p>
    <w:p>
      <w:pPr>
        <w:pStyle w:val="ArticleScripture"/>
        <w:jc w:val="left"/>
      </w:pPr>
      <w:r>
        <w:rPr>
          <w:rFonts w:ascii="Times New Roman" w:hAnsi="Times New Roman" w:eastAsia="Times New Roman" w:cs="Times New Roman"/>
        </w:rPr>
        <w:t>“</w:t>
      </w:r>
      <w:r>
        <w:rPr>
          <w:rFonts w:ascii="Nirmala UI" w:hAnsi="Nirmala UI" w:eastAsia="Nirmala UI" w:cs="Nirmala UI"/>
        </w:rPr>
        <w:t>तारण</w:t>
      </w:r>
      <w:r>
        <w:rPr>
          <w:rFonts w:ascii="Times New Roman" w:hAnsi="Times New Roman" w:eastAsia="Times New Roman" w:cs="Times New Roman"/>
        </w:rPr>
        <w:t>-</w:t>
      </w:r>
      <w:r>
        <w:rPr>
          <w:rFonts w:ascii="Nirmala UI" w:hAnsi="Nirmala UI" w:eastAsia="Nirmala UI" w:cs="Nirmala UI"/>
        </w:rPr>
        <w:t>पुनर्स्थापित</w:t>
      </w:r>
      <w:r>
        <w:rPr>
          <w:rFonts w:ascii="Times New Roman" w:hAnsi="Times New Roman" w:eastAsia="Times New Roman" w:cs="Times New Roman"/>
        </w:rPr>
        <w:t xml:space="preserve"> </w:t>
      </w:r>
      <w:r>
        <w:rPr>
          <w:rFonts w:ascii="Nirmala UI" w:hAnsi="Nirmala UI" w:eastAsia="Nirmala UI" w:cs="Nirmala UI"/>
        </w:rPr>
        <w:t>स्वर्गाकडे</w:t>
      </w:r>
      <w:r>
        <w:rPr>
          <w:rFonts w:ascii="Times New Roman" w:hAnsi="Times New Roman" w:eastAsia="Times New Roman" w:cs="Times New Roman"/>
        </w:rPr>
        <w:t xml:space="preserve"> </w:t>
      </w:r>
      <w:r>
        <w:rPr>
          <w:rFonts w:ascii="Nirmala UI" w:hAnsi="Nirmala UI" w:eastAsia="Nirmala UI" w:cs="Nirmala UI"/>
        </w:rPr>
        <w:t>जाण्यास</w:t>
      </w:r>
      <w:r>
        <w:rPr>
          <w:rFonts w:ascii="Times New Roman" w:hAnsi="Times New Roman" w:eastAsia="Times New Roman" w:cs="Times New Roman"/>
        </w:rPr>
        <w:t xml:space="preserve"> </w:t>
      </w:r>
      <w:r>
        <w:rPr>
          <w:rFonts w:ascii="Nirmala UI" w:hAnsi="Nirmala UI" w:eastAsia="Nirmala UI" w:cs="Nirmala UI"/>
        </w:rPr>
        <w:t>कोणताही</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दिवसांसाठी</w:t>
      </w:r>
      <w:r>
        <w:rPr>
          <w:rFonts w:ascii="Times New Roman" w:hAnsi="Times New Roman" w:eastAsia="Times New Roman" w:cs="Times New Roman"/>
        </w:rPr>
        <w:t xml:space="preserve"> </w:t>
      </w:r>
      <w:r>
        <w:rPr>
          <w:rFonts w:ascii="Nirmala UI" w:hAnsi="Nirmala UI" w:eastAsia="Nirmala UI" w:cs="Nirmala UI"/>
        </w:rPr>
        <w:t>मनुष्याला</w:t>
      </w:r>
      <w:r>
        <w:rPr>
          <w:rFonts w:ascii="Times New Roman" w:hAnsi="Times New Roman" w:eastAsia="Times New Roman" w:cs="Times New Roman"/>
        </w:rPr>
        <w:t xml:space="preserve"> </w:t>
      </w:r>
      <w:r>
        <w:rPr>
          <w:rFonts w:ascii="Nirmala UI" w:hAnsi="Nirmala UI" w:eastAsia="Nirmala UI" w:cs="Nirmala UI"/>
        </w:rPr>
        <w:t>दिलेला</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युक्तीशी</w:t>
      </w:r>
      <w:r>
        <w:rPr>
          <w:rFonts w:ascii="Times New Roman" w:hAnsi="Times New Roman" w:eastAsia="Times New Roman" w:cs="Times New Roman"/>
        </w:rPr>
        <w:t xml:space="preserve"> </w:t>
      </w:r>
      <w:r>
        <w:rPr>
          <w:rFonts w:ascii="Nirmala UI" w:hAnsi="Nirmala UI" w:eastAsia="Nirmala UI" w:cs="Nirmala UI"/>
        </w:rPr>
        <w:t>मिसळला</w:t>
      </w:r>
      <w:r>
        <w:rPr>
          <w:rFonts w:ascii="Times New Roman" w:hAnsi="Times New Roman" w:eastAsia="Times New Roman" w:cs="Times New Roman"/>
        </w:rPr>
        <w:t xml:space="preserve"> </w:t>
      </w:r>
      <w:r>
        <w:rPr>
          <w:rFonts w:ascii="Nirmala UI" w:hAnsi="Nirmala UI" w:eastAsia="Nirmala UI" w:cs="Nirmala UI"/>
        </w:rPr>
        <w:t>जाऊ</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वकिलांच्या</w:t>
      </w:r>
      <w:r>
        <w:rPr>
          <w:rFonts w:ascii="Times New Roman" w:hAnsi="Times New Roman" w:eastAsia="Times New Roman" w:cs="Times New Roman"/>
        </w:rPr>
        <w:t xml:space="preserve"> </w:t>
      </w:r>
      <w:r>
        <w:rPr>
          <w:rFonts w:ascii="Nirmala UI" w:hAnsi="Nirmala UI" w:eastAsia="Nirmala UI" w:cs="Nirmala UI"/>
        </w:rPr>
        <w:t>धोरणावर</w:t>
      </w:r>
      <w:r>
        <w:rPr>
          <w:rFonts w:ascii="Times New Roman" w:hAnsi="Times New Roman" w:eastAsia="Times New Roman" w:cs="Times New Roman"/>
        </w:rPr>
        <w:t xml:space="preserve"> </w:t>
      </w:r>
      <w:r>
        <w:rPr>
          <w:rFonts w:ascii="Nirmala UI" w:hAnsi="Nirmala UI" w:eastAsia="Nirmala UI" w:cs="Nirmala UI"/>
        </w:rPr>
        <w:t>अवलंबून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प्रार्थनाशील</w:t>
      </w:r>
      <w:r>
        <w:rPr>
          <w:rFonts w:ascii="Times New Roman" w:hAnsi="Times New Roman" w:eastAsia="Times New Roman" w:cs="Times New Roman"/>
        </w:rPr>
        <w:t xml:space="preserve">, </w:t>
      </w:r>
      <w:r>
        <w:rPr>
          <w:rFonts w:ascii="Nirmala UI" w:hAnsi="Nirmala UI" w:eastAsia="Nirmala UI" w:cs="Nirmala UI"/>
        </w:rPr>
        <w:t>नम्र</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पाहिजे</w:t>
      </w:r>
      <w:r>
        <w:rPr>
          <w:rFonts w:ascii="Times New Roman" w:hAnsi="Times New Roman" w:eastAsia="Times New Roman" w:cs="Times New Roman"/>
        </w:rPr>
        <w:t xml:space="preserve">, </w:t>
      </w:r>
      <w:r>
        <w:rPr>
          <w:rFonts w:ascii="Nirmala UI" w:hAnsi="Nirmala UI" w:eastAsia="Nirmala UI" w:cs="Nirmala UI"/>
        </w:rPr>
        <w:t>सैतानाच्या</w:t>
      </w:r>
      <w:r>
        <w:rPr>
          <w:rFonts w:ascii="Times New Roman" w:hAnsi="Times New Roman" w:eastAsia="Times New Roman" w:cs="Times New Roman"/>
        </w:rPr>
        <w:t xml:space="preserve"> </w:t>
      </w:r>
      <w:r>
        <w:rPr>
          <w:rFonts w:ascii="Nirmala UI" w:hAnsi="Nirmala UI" w:eastAsia="Nirmala UI" w:cs="Nirmala UI"/>
        </w:rPr>
        <w:t>साधनांनी</w:t>
      </w:r>
      <w:r>
        <w:rPr>
          <w:rFonts w:ascii="Times New Roman" w:hAnsi="Times New Roman" w:eastAsia="Times New Roman" w:cs="Times New Roman"/>
        </w:rPr>
        <w:t xml:space="preserve"> </w:t>
      </w:r>
      <w:r>
        <w:rPr>
          <w:rFonts w:ascii="Nirmala UI" w:hAnsi="Nirmala UI" w:eastAsia="Nirmala UI" w:cs="Nirmala UI"/>
        </w:rPr>
        <w:t>आंधळे</w:t>
      </w:r>
      <w:r>
        <w:rPr>
          <w:rFonts w:ascii="Times New Roman" w:hAnsi="Times New Roman" w:eastAsia="Times New Roman" w:cs="Times New Roman"/>
        </w:rPr>
        <w:t xml:space="preserve"> </w:t>
      </w:r>
      <w:r>
        <w:rPr>
          <w:rFonts w:ascii="Nirmala UI" w:hAnsi="Nirmala UI" w:eastAsia="Nirmala UI" w:cs="Nirmala UI"/>
        </w:rPr>
        <w:t>झालेल्यांप्रमाणे</w:t>
      </w:r>
      <w:r>
        <w:rPr>
          <w:rFonts w:ascii="Times New Roman" w:hAnsi="Times New Roman" w:eastAsia="Times New Roman" w:cs="Times New Roman"/>
        </w:rPr>
        <w:t xml:space="preserve"> </w:t>
      </w:r>
      <w:r>
        <w:rPr>
          <w:rFonts w:ascii="Nirmala UI" w:hAnsi="Nirmala UI" w:eastAsia="Nirmala UI" w:cs="Nirmala UI"/>
        </w:rPr>
        <w:t>वागत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Beaucoup ont une foi, mais non une foi qui agit par l’amour et purifie l’âme. La foi salvatrice n’est pas simplement une simple adhésion à la vérité. “Les démons aussi croient, et ils tremblent.” L’inspiration de l’Esprit de Dieu donne aux hommes une foi qui est une puissance agissante, qui façonne le caractère et élève les hommes au-dessus des actes purement formels. Les paroles, les actions et l’esprit doivent rendre témoignage au fait que nous sommes des disciples du Christ. »</w:t>
      </w:r>
    </w:p>
    <w:p>
      <w:pPr>
        <w:pStyle w:val="ArticleScripture"/>
        <w:jc w:val="left"/>
      </w:pPr>
      <w:r>
        <w:rPr>
          <w:rFonts w:ascii="Times New Roman" w:hAnsi="Times New Roman" w:eastAsia="Times New Roman" w:cs="Times New Roman"/>
        </w:rPr>
        <w:t>« Bondye te bay, se pa yon garanti kont transgresyon ak apostazi nan dènye jou sa yo. Moun Bondye leve mete nan gwo pozisyon konfyans yo ka vire do bay limyè syèl la pou yo pran sajès lèzòm. Lè sa a, limyè yo ap tounen fènwa, kapasite Bondye te konfye yo ap tounen yon pèlen, karaktè yo ap tounen yon ofans devan Bondye. Yo pa ka pase Bondye nan betiz. Lè yon moun vire do bay Li, sa toujou te genyen e sa toujou ap genyen konsekans ki sèten. Lè yo fè zak ki pa fè Bondye plezi, si yo pa repanti klèman pou yo epi abandone yo, olye pou yo chèche jistifye zak sa yo, sa ap mennen moun k ap fè sa ki mal la etap pa etap nan twonpri jiskaske anpil peche fèt san pinisyon. Tout moun ki ta vle genyen yon karaktè ki ta fè yo ouvriye ansanm ak Bondye epi resevwa louwanj Bondye, yo dwe separe tèt yo ak lènmi Bondye yo, epi kenbe laverite Kris la te bay Jan pou l te bay mond lan. » Manuscript Releases, volim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le nombre onze</dc:title>
  <dc:subject>លេខដប់មួយ</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