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le nombre douze</w:t>
      </w:r>
    </w:p>
    <w:p>
      <w:pPr>
        <w:pStyle w:val="ArticleSubtitle"/>
        <w:jc w:val="left"/>
      </w:pPr>
      <w:r>
        <w:rPr>
          <w:rFonts w:ascii="Arial" w:hAnsi="Arial" w:eastAsia="Arial" w:cs="Arial"/>
        </w:rPr>
        <w:t>Namba Kumi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Nirmala UI" w:hAnsi="Nirmala UI" w:eastAsia="Nirmala UI" w:cs="Nirmala UI"/>
        </w:rPr>
        <w:t>ভওঁতেব</w:t>
      </w:r>
      <w:r>
        <w:rPr>
          <w:rFonts w:ascii="Times New Roman" w:hAnsi="Times New Roman" w:eastAsia="Times New Roman" w:cs="Times New Roman"/>
        </w:rPr>
        <w:t xml:space="preserve"> </w:t>
      </w:r>
      <w:r>
        <w:rPr>
          <w:rFonts w:ascii="Nirmala UI" w:hAnsi="Nirmala UI" w:eastAsia="Nirmala UI" w:cs="Nirmala UI"/>
        </w:rPr>
        <w:t>কোৱা</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পাঁচজন</w:t>
      </w:r>
      <w:r>
        <w:rPr>
          <w:rFonts w:ascii="Times New Roman" w:hAnsi="Times New Roman" w:eastAsia="Times New Roman" w:cs="Times New Roman"/>
        </w:rPr>
        <w:t xml:space="preserve"> </w:t>
      </w:r>
      <w:r>
        <w:rPr>
          <w:rFonts w:ascii="Nirmala UI" w:hAnsi="Nirmala UI" w:eastAsia="Nirmala UI" w:cs="Nirmala UI"/>
        </w:rPr>
        <w:t>মানুহে</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গাড়ী</w:t>
      </w:r>
      <w:r>
        <w:rPr>
          <w:rFonts w:ascii="Times New Roman" w:hAnsi="Times New Roman" w:eastAsia="Times New Roman" w:cs="Times New Roman"/>
        </w:rPr>
        <w:t>-</w:t>
      </w:r>
      <w:r>
        <w:rPr>
          <w:rFonts w:ascii="Nirmala UI" w:hAnsi="Nirmala UI" w:eastAsia="Nirmala UI" w:cs="Nirmala UI"/>
        </w:rPr>
        <w:t>দুৰ্ঘটনা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পাঁচজন</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ধৰণৰ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ধ্বংসৰ</w:t>
      </w:r>
      <w:r>
        <w:rPr>
          <w:rFonts w:ascii="Times New Roman" w:hAnsi="Times New Roman" w:eastAsia="Times New Roman" w:cs="Times New Roman"/>
        </w:rPr>
        <w:t xml:space="preserve"> </w:t>
      </w:r>
      <w:r>
        <w:rPr>
          <w:rFonts w:ascii="Nirmala UI" w:hAnsi="Nirmala UI" w:eastAsia="Nirmala UI" w:cs="Nirmala UI"/>
        </w:rPr>
        <w:t>পাঁচটা</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বিৱৰণ</w:t>
      </w:r>
      <w:r>
        <w:rPr>
          <w:rFonts w:ascii="Times New Roman" w:hAnsi="Times New Roman" w:eastAsia="Times New Roman" w:cs="Times New Roman"/>
        </w:rPr>
        <w:t xml:space="preserve"> </w:t>
      </w:r>
      <w:r>
        <w:rPr>
          <w:rFonts w:ascii="Nirmala UI" w:hAnsi="Nirmala UI" w:eastAsia="Nirmala UI" w:cs="Nirmala UI"/>
        </w:rPr>
        <w:t>চিনাক্ত</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আজি</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সময়ছোৱাত</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পবিত্ৰ</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মানৱজাতিৰ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আঁতৰাই</w:t>
      </w:r>
      <w:r>
        <w:rPr>
          <w:rFonts w:ascii="Times New Roman" w:hAnsi="Times New Roman" w:eastAsia="Times New Roman" w:cs="Times New Roman"/>
        </w:rPr>
        <w:t xml:space="preserve"> </w:t>
      </w:r>
      <w:r>
        <w:rPr>
          <w:rFonts w:ascii="Nirmala UI" w:hAnsi="Nirmala UI" w:eastAsia="Nirmala UI" w:cs="Nirmala UI"/>
        </w:rPr>
        <w:t>লোৱা</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নিঃসন্দেহে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সাক্ষীসকলৰ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ব্যক্তিগত</w:t>
      </w:r>
      <w:r>
        <w:rPr>
          <w:rFonts w:ascii="Times New Roman" w:hAnsi="Times New Roman" w:eastAsia="Times New Roman" w:cs="Times New Roman"/>
        </w:rPr>
        <w:t xml:space="preserve"> </w:t>
      </w:r>
      <w:r>
        <w:rPr>
          <w:rFonts w:ascii="Nirmala UI" w:hAnsi="Nirmala UI" w:eastAsia="Nirmala UI" w:cs="Nirmala UI"/>
        </w:rPr>
        <w:t>বিশ্বদৃষ্টিভংগী</w:t>
      </w:r>
      <w:r>
        <w:rPr>
          <w:rFonts w:ascii="Times New Roman" w:hAnsi="Times New Roman" w:eastAsia="Times New Roman" w:cs="Times New Roman"/>
        </w:rPr>
        <w:t xml:space="preserve"> </w:t>
      </w:r>
      <w:r>
        <w:rPr>
          <w:rFonts w:ascii="Nirmala UI" w:hAnsi="Nirmala UI" w:eastAsia="Nirmala UI" w:cs="Nirmala UI"/>
        </w:rPr>
        <w:t>সমৰ্থন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দেখিছিল</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কল্পনা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মিছা</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সৎ</w:t>
      </w:r>
      <w:r>
        <w:rPr>
          <w:rFonts w:ascii="Times New Roman" w:hAnsi="Times New Roman" w:eastAsia="Times New Roman" w:cs="Times New Roman"/>
        </w:rPr>
        <w:t xml:space="preserve"> </w:t>
      </w:r>
      <w:r>
        <w:rPr>
          <w:rFonts w:ascii="Nirmala UI" w:hAnsi="Nirmala UI" w:eastAsia="Nirmala UI" w:cs="Nirmala UI"/>
        </w:rPr>
        <w:t>কৰ্মই</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ইতিহাসত</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কেইবাটাও</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ঘটনাৰ</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সাক্ষীক</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অসত্য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ঘটনাবোৰ</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মানুহৰ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ত্ৰুটিপূৰ্ণ</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ইতিহাসৰ</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সাক্ষীবোৰ</w:t>
      </w:r>
      <w:r>
        <w:rPr>
          <w:rFonts w:ascii="Times New Roman" w:hAnsi="Times New Roman" w:eastAsia="Times New Roman" w:cs="Times New Roman"/>
        </w:rPr>
        <w:t xml:space="preserve">, </w:t>
      </w:r>
      <w:r>
        <w:rPr>
          <w:rFonts w:ascii="Nirmala UI" w:hAnsi="Nirmala UI" w:eastAsia="Nirmala UI" w:cs="Nirmala UI"/>
        </w:rPr>
        <w:t>যথাযথভাৱে</w:t>
      </w:r>
      <w:r>
        <w:rPr>
          <w:rFonts w:ascii="Times New Roman" w:hAnsi="Times New Roman" w:eastAsia="Times New Roman" w:cs="Times New Roman"/>
        </w:rPr>
        <w:t xml:space="preserve"> </w:t>
      </w:r>
      <w:r>
        <w:rPr>
          <w:rFonts w:ascii="Nirmala UI" w:hAnsi="Nirmala UI" w:eastAsia="Nirmala UI" w:cs="Nirmala UI"/>
        </w:rPr>
        <w:t>বিভক্ত</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সকলোয়ে</w:t>
      </w:r>
      <w:r>
        <w:rPr>
          <w:rFonts w:ascii="Times New Roman" w:hAnsi="Times New Roman" w:eastAsia="Times New Roman" w:cs="Times New Roman"/>
        </w:rPr>
        <w:t xml:space="preserve"> </w:t>
      </w:r>
      <w:r>
        <w:rPr>
          <w:rFonts w:ascii="Nirmala UI" w:hAnsi="Nirmala UI" w:eastAsia="Nirmala UI" w:cs="Nirmala UI"/>
        </w:rPr>
        <w:t>ইজনে</w:t>
      </w:r>
      <w:r>
        <w:rPr>
          <w:rFonts w:ascii="Times New Roman" w:hAnsi="Times New Roman" w:eastAsia="Times New Roman" w:cs="Times New Roman"/>
        </w:rPr>
        <w:t xml:space="preserve"> </w:t>
      </w:r>
      <w:r>
        <w:rPr>
          <w:rFonts w:ascii="Nirmala UI" w:hAnsi="Nirmala UI" w:eastAsia="Nirmala UI" w:cs="Nirmala UI"/>
        </w:rPr>
        <w:t>সিজনৰ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একমত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Petru është një simbol i njëqind e dyzet e katër mijëve në këtë histori, dhe dëshmia e tij përfaqëson një histori përparimtare që nga zhgënjimi i 18 korrikut 2020 deri te zgjimi i 31 dhjetorit 2023, pastaj si një i përfshirë në provën e parë të vegimit të jashtëm, mandej provën e dytë të vegimit të brendshëm, për t’u pasuar nga prova vendimtare e topave të zjarrit të Nashville-it, deri te ngritja e flamurit për kombet.</w:t>
      </w:r>
    </w:p>
    <w:p>
      <w:pPr>
        <w:pStyle w:val="ArticleBody"/>
        <w:jc w:val="left"/>
      </w:pPr>
      <w:r>
        <w:rPr>
          <w:rFonts w:ascii="Times New Roman" w:hAnsi="Times New Roman" w:eastAsia="Times New Roman" w:cs="Times New Roman"/>
        </w:rPr>
        <w:t>Donald Trump est présent dans cette histoire cachée comme celui qui soulève tous les mondialistes, composés des mondialistes du monde, du parti démocrate et des RINO du parti républicain. Il accomplit les caractéristiques prophétiques associées à l’image de la bête, étant ressuscité de la mort politique comme le huitième qui est d’entre les sept. Il se trouve tout au long de l’histoire cachée, destiné à régner lorsque le « despotisme actif » sera d’abord imposé aux États-Unis, puis au monde. Le protestantisme apostat, en tant que pendant de Trump dans les deux cornes de la bête de la terre, est présent là dans l’histoire des Maccabées. Les diverses manifestations de la puissance du dragon dans les Nations Unies et la Russie rendent témoignage dans l’histoire. La papauté, en tant que brigands de ton peuple, est là pour tout lier ensemble et établir la vision.</w:t>
      </w:r>
    </w:p>
    <w:p>
      <w:pPr>
        <w:pStyle w:val="ArticleBody"/>
        <w:jc w:val="left"/>
      </w:pPr>
      <w:r>
        <w:rPr>
          <w:rFonts w:ascii="Times New Roman" w:hAnsi="Times New Roman" w:eastAsia="Times New Roman" w:cs="Times New Roman"/>
        </w:rPr>
        <w:t>Pierre, c’est vous, cher lecteur. Pierre est candidat à faire partie de l’étendard des cent quarante-quatre mille. Pierre se tient au milieu, au point médian de plusieurs lignes prophétiques, entrant par la foi dans le Lieu très saint et recevant la transformation qui s’accomplit par la vision du Christ. Pierre est sur la montagne de la Transfiguration, où il doit être transformé à l’image du Christ, tandis que les États-Unis forment l’image de la bête.</w:t>
      </w:r>
    </w:p>
    <w:p>
      <w:pPr>
        <w:pStyle w:val="ArticleScripture"/>
        <w:jc w:val="left"/>
      </w:pPr>
      <w:r>
        <w:rPr>
          <w:rFonts w:ascii="Times New Roman" w:hAnsi="Times New Roman" w:eastAsia="Times New Roman" w:cs="Times New Roman"/>
        </w:rPr>
        <w:t>“Bandhuo, hamein apne aap ka kam aur Parmeshwar ka zyada hona chahiye. Vah Kalīsiyā ki sabhī shaktiyon par apnā adhikār jatātā hai; lekin bahut baṛī mātrā mein hamāre logon kī kṣamatā ayogya viṣayon mein khap jātī hai. Bahut adhik samay tucchh vichāron aur dāvon par lagāyā jātā hai. Parmeshwar chāhtā hai ki ham parvat par chaṛhkar, aur adhik pratyakṣ rūp se, us kī upasthiti mein āeṅ. Ham ek aise saṅkaṭ mein praveś kar rahe hain jo, jagat kī sṛiṣṭi se lekar ab tak ke kisī bhī pūrv samay se adhik, un sabhī se sampūrṇ samarpan kī māṅg karegā jinhonne Masīh kā nām liyā hai. Parmeshwar kā kārya ham se jo kuchh hai, sab kuchh māṅgtā hai. Lekin hamāre log yah samarpan kabhī nahīṅ kareṅge jab tak unke hṛiday parivartit na hoṅ. Unheṅ utne hī rūp se parivartan kī āvaśyaktā hai jitnī Patras ko thī. Jab is prakār unmeṅ nayā jīvan phūṅk diyā jāegā, tab Masīh unse kah sakegā, ‘Apne bhāiyoṅ ko sthir kar,’ ‘Merī bheṛoṅ ko charā,’ ‘Mere memnoṅ ko charā.’”</w:t>
      </w:r>
    </w:p>
    <w:p>
      <w:pPr>
        <w:pStyle w:val="ArticleScripture"/>
        <w:jc w:val="left"/>
      </w:pPr>
      <w:r>
        <w:rPr>
          <w:rFonts w:ascii="Times New Roman" w:hAnsi="Times New Roman" w:eastAsia="Times New Roman" w:cs="Times New Roman"/>
        </w:rPr>
        <w:t>« Lorsque la puissance divine se unit à l’effort humain, l’œuvre se répandra comme un feu dans le chaume. Dieu emploiera des instruments dont l’origine échappera au discernement de l’homme ; des anges accompliront une œuvre que des hommes auraient pu avoir la bénédiction d’accomplir, s’ils n’avaient pas négligé de répondre aux exigences de Dieu. L’œuvre est maintenant présentée à l’homme. La prendra-t-il ? Il y a, à l’heure actuelle, de nombreuses portes descellées et grandes ouvertes devant les ouvriers. Y entreront-ils ? Qui est prêt, à l’appel du Maître, à dire : “Me voici, Seigneur, envoie-moi” ? Le cri macédonien nous parvient, en supplications poignantes, de toutes les parties du monde : “Passe en Macédoine, et secours-nous.” » Review and Herald, 15 décembre 1885.</w:t>
      </w:r>
    </w:p>
    <w:p>
      <w:pPr>
        <w:pStyle w:val="ArticleBody"/>
        <w:jc w:val="left"/>
      </w:pPr>
      <w:r>
        <w:rPr>
          <w:rFonts w:ascii="Times New Roman" w:hAnsi="Times New Roman" w:eastAsia="Times New Roman" w:cs="Times New Roman"/>
        </w:rPr>
        <w:t>موږ باید غره ته راشو او د پطرس په شان واړوو، او کله چې دا وکړو، نو د اشعیا په شان به پاک شو. دا پاکوالی داسې انځور شوی چې هغه وخت بشپړېږي کله چې الهي ځواک له انساني هڅې سره یوځای شي. د مقدونيې بلنه د څلوېښتم آيت په پټه تاريخ کې راڅرګندېږي.</w:t>
      </w:r>
    </w:p>
    <w:p>
      <w:pPr>
        <w:pStyle w:val="ArticleScripture"/>
        <w:jc w:val="left"/>
      </w:pPr>
      <w:r>
        <w:rPr>
          <w:rFonts w:ascii="Times New Roman" w:hAnsi="Times New Roman" w:eastAsia="Times New Roman" w:cs="Times New Roman"/>
        </w:rPr>
        <w:t>‘Akokɔbiri no adu sɛ wɔnyɛ mmɔden a emu yɛ den wɔ yɛn nkurow mu. Monkenkan Luka 21. Eyi ne nkra a ɛfa saa bere yi ho, na wɔakyerɛw ama awotwe yi a ɛwɔ awiei bere no mu. Ɛnsɛ sɛ yɛma biribiara si yɛne adwuma a Onyankopɔn de ama yɛn sɛ yɛnyɛ no no ntam. Ɛsɛ sɛ wɔyɛ mmɔden soronko de ma nokware no du wɔn a wɔwɔ nkurow mu anim.</w:t>
      </w:r>
    </w:p>
    <w:p>
      <w:pPr>
        <w:pStyle w:val="ArticleScripture"/>
        <w:jc w:val="left"/>
      </w:pPr>
      <w:r>
        <w:rPr>
          <w:rFonts w:ascii="Times New Roman" w:hAnsi="Times New Roman" w:eastAsia="Times New Roman" w:cs="Times New Roman"/>
        </w:rPr>
        <w:t>“</w:t>
      </w:r>
      <w:r>
        <w:rPr>
          <w:rFonts w:ascii="Nirmala UI" w:hAnsi="Nirmala UI" w:eastAsia="Nirmala UI" w:cs="Nirmala UI"/>
        </w:rPr>
        <w:t>દૂસરોમાં</w:t>
      </w:r>
      <w:r>
        <w:rPr>
          <w:rFonts w:ascii="Times New Roman" w:hAnsi="Times New Roman" w:eastAsia="Times New Roman" w:cs="Times New Roman"/>
        </w:rPr>
        <w:t xml:space="preserve"> </w:t>
      </w:r>
      <w:r>
        <w:rPr>
          <w:rFonts w:ascii="Nirmala UI" w:hAnsi="Nirmala UI" w:eastAsia="Nirmala UI" w:cs="Nirmala UI"/>
        </w:rPr>
        <w:t>ખામીઓ</w:t>
      </w:r>
      <w:r>
        <w:rPr>
          <w:rFonts w:ascii="Times New Roman" w:hAnsi="Times New Roman" w:eastAsia="Times New Roman" w:cs="Times New Roman"/>
        </w:rPr>
        <w:t xml:space="preserve"> </w:t>
      </w:r>
      <w:r>
        <w:rPr>
          <w:rFonts w:ascii="Nirmala UI" w:hAnsi="Nirmala UI" w:eastAsia="Nirmala UI" w:cs="Nirmala UI"/>
        </w:rPr>
        <w:t>શોધવામાં</w:t>
      </w:r>
      <w:r>
        <w:rPr>
          <w:rFonts w:ascii="Times New Roman" w:hAnsi="Times New Roman" w:eastAsia="Times New Roman" w:cs="Times New Roman"/>
        </w:rPr>
        <w:t xml:space="preserve"> </w:t>
      </w:r>
      <w:r>
        <w:rPr>
          <w:rFonts w:ascii="Nirmala UI" w:hAnsi="Nirmala UI" w:eastAsia="Nirmala UI" w:cs="Nirmala UI"/>
        </w:rPr>
        <w:t>જરાય</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બગાડવામાં</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વિવાદ</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ભાઈઓની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પરસ્પર</w:t>
      </w:r>
      <w:r>
        <w:rPr>
          <w:rFonts w:ascii="Times New Roman" w:hAnsi="Times New Roman" w:eastAsia="Times New Roman" w:cs="Times New Roman"/>
        </w:rPr>
        <w:t xml:space="preserve"> </w:t>
      </w:r>
      <w:r>
        <w:rPr>
          <w:rFonts w:ascii="Nirmala UI" w:hAnsi="Nirmala UI" w:eastAsia="Nirmala UI" w:cs="Nirmala UI"/>
        </w:rPr>
        <w:t>પ્રેમ</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પર્વત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ચડી</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ફરીએ</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મહિમાનું</w:t>
      </w:r>
      <w:r>
        <w:rPr>
          <w:rFonts w:ascii="Times New Roman" w:hAnsi="Times New Roman" w:eastAsia="Times New Roman" w:cs="Times New Roman"/>
        </w:rPr>
        <w:t xml:space="preserve"> </w:t>
      </w:r>
      <w:r>
        <w:rPr>
          <w:rFonts w:ascii="Nirmala UI" w:hAnsi="Nirmala UI" w:eastAsia="Nirmala UI" w:cs="Nirmala UI"/>
        </w:rPr>
        <w:t>પ્રતિબિંબ</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મેળવવાનો</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સ્થળ</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પર્વત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કાયદામાં</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અભ્યાસ</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સહજ</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અભ્યાસ</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મનુષ્યો</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ઉપદેશોને</w:t>
      </w:r>
      <w:r>
        <w:rPr>
          <w:rFonts w:ascii="Times New Roman" w:hAnsi="Times New Roman" w:eastAsia="Times New Roman" w:cs="Times New Roman"/>
        </w:rPr>
        <w:t xml:space="preserve"> </w:t>
      </w:r>
      <w:r>
        <w:rPr>
          <w:rFonts w:ascii="Nirmala UI" w:hAnsi="Nirmala UI" w:eastAsia="Nirmala UI" w:cs="Nirmala UI"/>
        </w:rPr>
        <w:t>જગતમાં</w:t>
      </w:r>
      <w:r>
        <w:rPr>
          <w:rFonts w:ascii="Times New Roman" w:hAnsi="Times New Roman" w:eastAsia="Times New Roman" w:cs="Times New Roman"/>
        </w:rPr>
        <w:t xml:space="preserve"> </w:t>
      </w:r>
      <w:r>
        <w:rPr>
          <w:rFonts w:ascii="Nirmala UI" w:hAnsi="Nirmala UI" w:eastAsia="Nirmala UI" w:cs="Nirmala UI"/>
        </w:rPr>
        <w:t>પ્રચાર્યા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“L’ouvrage sera bientôt abrégé dans la justice. Nous devons devenir plus persévérants et plus fervents dans nos efforts pour le mener à son plein accomplissement. Le temps est venu où nous devons être non seulement actifs, mais où nous devons concentrer cette activité de manière à la rendre efficace. Si nous passions davantage de temps sur la montagne avec Dieu, notre œuvre serait plus effective.</w:t>
      </w:r>
    </w:p>
    <w:p>
      <w:pPr>
        <w:pStyle w:val="ArticleScripture"/>
        <w:jc w:val="left"/>
      </w:pPr>
      <w:r>
        <w:rPr>
          <w:rFonts w:ascii="Times New Roman" w:hAnsi="Times New Roman" w:eastAsia="Times New Roman" w:cs="Times New Roman"/>
        </w:rPr>
        <w:t>«Mòre daonnaidheach nas cinntiche tighinn a-steach d’ar searmonachadh. Feumar claidheamh an Spioraid a gheurachadh a-rithist agus a chur a-mach le cumhachd. An cuir sinn sinn fhèin ris mar dhaoine aig a bheil uile fhìrinnean na sìorraidheachd romhpa? Tha sinn ag iarraidh cumhachd an Spioraid Naoimh dol air adhart agus obair Dhè a choileanadh anns an talamh.» Australian Union Conference Recorder, October 1, 1906.</w:t>
      </w:r>
    </w:p>
    <w:p>
      <w:pPr>
        <w:pStyle w:val="ArticleBody"/>
        <w:jc w:val="left"/>
      </w:pPr>
      <w:r>
        <w:rPr>
          <w:rFonts w:ascii="Times New Roman" w:hAnsi="Times New Roman" w:eastAsia="Times New Roman" w:cs="Times New Roman"/>
        </w:rPr>
        <w:t>Ακριβώς επί του όρους, το οποίο είναι επίσης τα Άγια των Αγίων, εκεί όπου η Θεότητα συνενώνεται με την ανθρωπότητά μας, και το Λουκάς 21 αποτελεί το μήνυμα για την τελική γενεά, η οποία πρόκειται να δώσει την τελική προειδοποίηση προς τις πόλεις. Η προειδοποίηση προς τις πόλεις είναι έργο το οποίο θα επιτελέσουν άγγελοι, εάν αρνηθούμε να ανέλθουμε στο όρος και να μεταμορφωθούμε στην εικόνα Του. Το έργο αφορά τις πόλεις, διότι η τελευταία γενεά ζει σε μια περίοδο κατά την οποία «χιλιάδες πόλεις» πρόκειται να καταστραφούν. Η προφητική περίοδος της καταστροφής των πόλεων αρχίζει με τις πύρινες σφαίρες του Νάσβιλ, και από εκεί αρχίζει και το έργο της προειδοποιήσεως, και το έργο αυτό ταυτοποιείται στο Λουκάς 21. Κατά τη διάρκεια των ετών έχουμε επανειλημμένως καταδείξει ότι το Λουκάς 21 είναι προειδοποίηση σχετικά με το Ισλάμ του τρίτου αλίμονο.</w:t>
      </w:r>
    </w:p>
    <w:p>
      <w:pPr>
        <w:pStyle w:val="ArticleBody"/>
        <w:jc w:val="left"/>
      </w:pPr>
      <w:r>
        <w:rPr>
          <w:rFonts w:ascii="Times New Roman" w:hAnsi="Times New Roman" w:eastAsia="Times New Roman" w:cs="Times New Roman"/>
        </w:rPr>
        <w:t>Dans Luc 21, Jésus a retracé l’histoire, depuis le rejet de l’ancien Israël en tant que peuple élu de Dieu jusqu’à la fin des âges obscurs de la persécution papale, puis jusqu’aux signes qui ont introduit l’histoire millérite. L’histoire millérite illustre l’histoire des cent quarante-quatre mille.</w:t>
      </w:r>
    </w:p>
    <w:p>
      <w:pPr>
        <w:pStyle w:val="ArticleScripture"/>
        <w:jc w:val="left"/>
      </w:pP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ਤਲਵਾਰ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ਡਿੱਗਣਗੇ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ਬਣਾਕੇ</w:t>
      </w:r>
      <w:r>
        <w:rPr>
          <w:rFonts w:ascii="Times New Roman" w:hAnsi="Times New Roman" w:eastAsia="Times New Roman" w:cs="Times New Roman"/>
        </w:rPr>
        <w:t xml:space="preserve"> </w:t>
      </w:r>
      <w:r>
        <w:rPr>
          <w:rFonts w:ascii="Nirmala UI" w:hAnsi="Nirmala UI" w:eastAsia="Nirmala UI" w:cs="Nirmala UI"/>
        </w:rPr>
        <w:t>ਲਿਜਾਏ</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ਰੌੰਦੀ</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ਰਹੇਗੀ</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ਕਲੇਸ਼ਮਈ</w:t>
      </w:r>
      <w:r>
        <w:rPr>
          <w:rFonts w:ascii="Times New Roman" w:hAnsi="Times New Roman" w:eastAsia="Times New Roman" w:cs="Times New Roman"/>
        </w:rPr>
        <w:t xml:space="preserve"> </w:t>
      </w:r>
      <w:r>
        <w:rPr>
          <w:rFonts w:ascii="Nirmala UI" w:hAnsi="Nirmala UI" w:eastAsia="Nirmala UI" w:cs="Nirmala UI"/>
        </w:rPr>
        <w:t>ਘਬਰਾਹਟ</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w:t>
      </w:r>
      <w:r>
        <w:rPr>
          <w:rFonts w:ascii="Nirmala UI" w:hAnsi="Nirmala UI" w:eastAsia="Nirmala UI" w:cs="Nirmala UI"/>
        </w:rPr>
        <w:t>ਪਰੇਸ਼ਾਨੀ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ਲਹਿਰਾਂ</w:t>
      </w:r>
      <w:r>
        <w:rPr>
          <w:rFonts w:ascii="Times New Roman" w:hAnsi="Times New Roman" w:eastAsia="Times New Roman" w:cs="Times New Roman"/>
        </w:rPr>
        <w:t xml:space="preserve"> </w:t>
      </w:r>
      <w:r>
        <w:rPr>
          <w:rFonts w:ascii="Nirmala UI" w:hAnsi="Nirmala UI" w:eastAsia="Nirmala UI" w:cs="Nirmala UI"/>
        </w:rPr>
        <w:t>ਗੱਜਦੀਆਂ</w:t>
      </w:r>
      <w:r>
        <w:rPr>
          <w:rFonts w:ascii="Times New Roman" w:hAnsi="Times New Roman" w:eastAsia="Times New Roman" w:cs="Times New Roman"/>
        </w:rPr>
        <w:t xml:space="preserve"> </w:t>
      </w:r>
      <w:r>
        <w:rPr>
          <w:rFonts w:ascii="Nirmala UI" w:hAnsi="Nirmala UI" w:eastAsia="Nirmala UI" w:cs="Nirmala UI"/>
        </w:rPr>
        <w:t>ਹੋਣਗੀਆਂ</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ਬੇਹੋਸ਼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ਬੱਦਲ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ਦੇਖਣਗੇ।</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21:24–27</w:t>
      </w:r>
      <w:r>
        <w:rPr>
          <w:rFonts w:ascii="Nirmala UI" w:hAnsi="Nirmala UI" w:eastAsia="Nirmala UI" w:cs="Nirmala UI"/>
        </w:rPr>
        <w:t>।</w:t>
      </w:r>
    </w:p>
    <w:p>
      <w:pPr>
        <w:pStyle w:val="ArticleBody"/>
        <w:jc w:val="left"/>
      </w:pPr>
      <w:r>
        <w:rPr>
          <w:rFonts w:ascii="Times New Roman" w:hAnsi="Times New Roman" w:eastAsia="Times New Roman" w:cs="Times New Roman"/>
        </w:rPr>
        <w:t>Yuhanna, Vahiy’in on birinci bölümünde, papalığın 1.260 yıllık egemenliğinin peygamberlikte “uluslara” verildiğini belirtir; Luka ise 1798 yılında ulusların zamanının tamamlandığını bildirir. Ardından Mesih, Millerci hareketi işaretleyen güneş, ay ve yıldızlardaki alametlere değinmiş ve şu sözlerle sonuca varmıştır: “Ulusların sıkıntısı ve şaşkınlığı; denizin ve dalgaların uğultusu; yeryüzü üzerine gelmekte olan şeylerden korku ve beklenti içinde insanların yürekleri bayılacak.” Luka’daki “ulusların sıkıntısı”, Vahiy’deki “ulusların öfkelenmesi”dir.</w:t>
      </w:r>
    </w:p>
    <w:p>
      <w:pPr>
        <w:pStyle w:val="ArticleScripture"/>
        <w:jc w:val="left"/>
      </w:pPr>
      <w:r>
        <w:rPr>
          <w:rFonts w:ascii="Times New Roman" w:hAnsi="Times New Roman" w:eastAsia="Times New Roman" w:cs="Times New Roman"/>
        </w:rPr>
        <w:t>« Et les nations se sont irritées ; et ta colère est venue, ainsi que le temps des morts, afin qu’ils soient jugés, et afin de donner la récompense à tes serviteurs les prophètes, aux saints, et à ceux qui craignent ton nom, petits et grands ; et afin de détruire ceux qui détruisent la terre. » Apocalypse 11:18.</w:t>
      </w:r>
    </w:p>
    <w:p>
      <w:pPr>
        <w:pStyle w:val="ArticleBody"/>
        <w:jc w:val="left"/>
      </w:pPr>
      <w:r>
        <w:rPr>
          <w:rFonts w:ascii="Times New Roman" w:hAnsi="Times New Roman" w:eastAsia="Times New Roman" w:cs="Times New Roman"/>
        </w:rPr>
        <w:t>“Gwòmò” Bondye a parèt nan sèt dènye flewo yo, e li kòmanse lè Mikayèl leve kanpe epi tan gras lèzòm nan fini. Kòlè nasyon yo se yon peryòd ki mennen rive nan fèmti tan gras la. Kòlè nasyon yo te kòmanse nan 11 septanm, lè Islam twazyèm malè a te rive; konsa sa te make rive lapli ta a.</w:t>
      </w:r>
    </w:p>
    <w:p>
      <w:pPr>
        <w:pStyle w:val="ArticleScripture"/>
        <w:jc w:val="left"/>
      </w:pPr>
      <w:r>
        <w:rPr>
          <w:rFonts w:ascii="Times New Roman" w:hAnsi="Times New Roman" w:eastAsia="Times New Roman" w:cs="Times New Roman"/>
        </w:rPr>
        <w:t>«من دیدم که خشم امّت‌ها، غضب خدا، و زمان داوری مردگان، امورى جدا و متمایز از یکدیگر بودند و یکى پس از دیگرى واقع مى‌شدند؛ و نیز این‌که میکائیل هنوز برنخاسته بود، و آن زمان تنگى که مانندش هرگز نبوده است، هنوز آغاز نشده بود. امّت‌ها اکنون در حال خشمگین شدن‌اند؛ امّا چون کاهنِ اعظمِ ما کار خود را در قُدس به پایان رساند، آنگاه برخواهد خاست، جامه‌هاى انتقام را بر تن خواهد کرد، و سپس هفت بلای آخر فرو ریخته خواهد شد.»</w:t>
      </w:r>
    </w:p>
    <w:p>
      <w:pPr>
        <w:pStyle w:val="ArticleScripture"/>
        <w:jc w:val="left"/>
      </w:pPr>
      <w:r>
        <w:rPr>
          <w:rFonts w:ascii="Times New Roman" w:hAnsi="Times New Roman" w:eastAsia="Times New Roman" w:cs="Times New Roman"/>
        </w:rPr>
        <w:t>« Je vis que les quatre anges retiendraient les quatre vents jusqu’à ce que l’œuvre de Jésus fût achevée dans le sanctuaire, et alors viendraient les sept dernières plaies. » Early Writings, 36.</w:t>
      </w:r>
    </w:p>
    <w:p>
      <w:pPr>
        <w:pStyle w:val="ArticleBody"/>
        <w:jc w:val="left"/>
      </w:pPr>
      <w:r>
        <w:rPr>
          <w:rFonts w:ascii="Times New Roman" w:hAnsi="Times New Roman" w:eastAsia="Times New Roman" w:cs="Times New Roman"/>
        </w:rPr>
        <w:t>Dans l’histoire millérite, l’irritation des nations, ou, comme le rapporte Luc, « l’angoisse des nations », fut accomplie par l’islam.</w:t>
      </w:r>
    </w:p>
    <w:p>
      <w:pPr>
        <w:pStyle w:val="ArticleScripture"/>
        <w:jc w:val="left"/>
      </w:pPr>
      <w:r>
        <w:rPr>
          <w:rFonts w:ascii="Times New Roman" w:hAnsi="Times New Roman" w:eastAsia="Times New Roman" w:cs="Times New Roman"/>
        </w:rPr>
        <w:t>“În 1838, Turcia a fost implicată într-un război cu Egiptul. Egiptenii păreau pe cale să răstoarne puterea turcească. Pentru a împiedica aceasta, cele patru mari puteri ale Europei — Anglia, Rusia, Austria și Prusia — au intervenit pentru a susține guvernul turc.” Uriah Smith, Synopsis of Present Truth, 218.</w:t>
      </w:r>
    </w:p>
    <w:p>
      <w:pPr>
        <w:pStyle w:val="ArticleBody"/>
        <w:jc w:val="left"/>
      </w:pPr>
      <w:r>
        <w:rPr>
          <w:rFonts w:ascii="Times New Roman" w:hAnsi="Times New Roman" w:eastAsia="Times New Roman" w:cs="Times New Roman"/>
        </w:rPr>
        <w:t>Im Jahr 1838 erschütterte die sogenannte „Orientalische Frage“ die Nationen, und die „Orientalische Frage“ war der Islam, der biblische Ostwind. Die milleritische Geschichte sah die Nationen durch den Islam erschüttert, und dann kam der Herr in den Wolken zum Allerheiligsten und bildete damit vor, wann der Herr bei Seiner Wiederkunft in den Wolken kommt. Vor Seinem Kommen in den Wolken bringt der Islam die Nationen in Bedrängnis, und dies ist die Botschaft, die Petrus gegeben wird, um sie den Städten im Voraus der Zerstörung von „Tausenden von Städten“ zu verkündigen. Der Zeitraum der Zerstörung der Städte beginnt mit den Feuerbällen von Nashville.</w:t>
      </w:r>
    </w:p>
    <w:p>
      <w:pPr>
        <w:pStyle w:val="ArticleScripture"/>
        <w:jc w:val="left"/>
      </w:pPr>
      <w:r>
        <w:rPr>
          <w:rFonts w:ascii="Times New Roman" w:hAnsi="Times New Roman" w:eastAsia="Times New Roman" w:cs="Times New Roman"/>
        </w:rPr>
        <w:t>„O, kaash God se volk besef gehad het van die dreigende vernietiging van duisende stede, wat nou byna aan afgodery oorgegee is! Maar baie van dié wat die waarheid behoort te verkondig, beskuldig en veroordeel hulle broeders. Wanneer die bekerende krag van God op verstande kom, sal daar ’n besliste verandering wees. Mense sal geen geneigdheid hê om te kritiseer en af te breek nie. Hulle sal nie ’n posisie inneem wat verhinder dat die lig vir die wêreld skyn nie. Hulle kritiek, hulle beskuldigings, sal ophou. Die magte van die vyand word vir die stryd byeen gebring. Ernstige konflikte lê voor ons. Dring saam, my broeders en susters, dring saam. Verbind julle met Christus. ‘Noem julle nie ’n sameswering alles wat hierdie volk ’n sameswering noem nie; en wat hulle vrees, moet julle nie vrees of verskrik wees nie. Die Here van die leërskare—Hóm moet julle heilig; en laat Hy julle vrees wees, en laat Hy julle skrik wees. Dan sal Hy ’n heiligdom wees; maar ook ’n steen van aanstoot en ’n rots van struikeling vir albei die huise van Israel, ’n strik en ’n valnet vir die inwoners van Jerusalem. En baie onder hulle sal struikel en val en verbreek word en verstrik en gevang word.’</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ពិភពលោកគឺជាឆាកល្ខោនមួយ។</w:t>
      </w:r>
      <w:r>
        <w:rPr>
          <w:rFonts w:ascii="Times New Roman" w:hAnsi="Times New Roman" w:eastAsia="Times New Roman" w:cs="Times New Roman"/>
        </w:rPr>
        <w:t xml:space="preserve"> </w:t>
      </w:r>
      <w:r>
        <w:rPr>
          <w:rFonts w:ascii="Leelawadee UI" w:hAnsi="Leelawadee UI" w:eastAsia="Leelawadee UI" w:cs="Leelawadee UI"/>
        </w:rPr>
        <w:t>អ្នកសម្តែងទាំងឡាយ</w:t>
      </w:r>
      <w:r>
        <w:rPr>
          <w:rFonts w:ascii="Times New Roman" w:hAnsi="Times New Roman" w:eastAsia="Times New Roman" w:cs="Times New Roman"/>
        </w:rPr>
        <w:t xml:space="preserve"> </w:t>
      </w:r>
      <w:r>
        <w:rPr>
          <w:rFonts w:ascii="Leelawadee UI" w:hAnsi="Leelawadee UI" w:eastAsia="Leelawadee UI" w:cs="Leelawadee UI"/>
        </w:rPr>
        <w:t>គឺជាអ្នកស្នាក់នៅរបស់វា</w:t>
      </w:r>
      <w:r>
        <w:rPr>
          <w:rFonts w:ascii="Times New Roman" w:hAnsi="Times New Roman" w:eastAsia="Times New Roman" w:cs="Times New Roman"/>
        </w:rPr>
        <w:t xml:space="preserve"> </w:t>
      </w:r>
      <w:r>
        <w:rPr>
          <w:rFonts w:ascii="Leelawadee UI" w:hAnsi="Leelawadee UI" w:eastAsia="Leelawadee UI" w:cs="Leelawadee UI"/>
        </w:rPr>
        <w:t>កំពុងត្រៀមខ្លួនដើម្បីសម្តែងតួនាទីរបស់ខ្លួនក្នុងរឿងអស្ចារ្យចុងក្រោយបង្អស់។</w:t>
      </w:r>
      <w:r>
        <w:rPr>
          <w:rFonts w:ascii="Times New Roman" w:hAnsi="Times New Roman" w:eastAsia="Times New Roman" w:cs="Times New Roman"/>
        </w:rPr>
        <w:t xml:space="preserve"> </w:t>
      </w:r>
      <w:r>
        <w:rPr>
          <w:rFonts w:ascii="Leelawadee UI" w:hAnsi="Leelawadee UI" w:eastAsia="Leelawadee UI" w:cs="Leelawadee UI"/>
        </w:rPr>
        <w:t>ព្រះជាម្ចាស់ត្រូវបានគេមើលរំលង។</w:t>
      </w:r>
      <w:r>
        <w:rPr>
          <w:rFonts w:ascii="Times New Roman" w:hAnsi="Times New Roman" w:eastAsia="Times New Roman" w:cs="Times New Roman"/>
        </w:rPr>
        <w:t xml:space="preserve"> </w:t>
      </w:r>
      <w:r>
        <w:rPr>
          <w:rFonts w:ascii="Leelawadee UI" w:hAnsi="Leelawadee UI" w:eastAsia="Leelawadee UI" w:cs="Leelawadee UI"/>
        </w:rPr>
        <w:t>ក្នុងចំណោមមហាជនដ៏ធំនៃមនុស្សជាតិ</w:t>
      </w:r>
      <w:r>
        <w:rPr>
          <w:rFonts w:ascii="Times New Roman" w:hAnsi="Times New Roman" w:eastAsia="Times New Roman" w:cs="Times New Roman"/>
        </w:rPr>
        <w:t xml:space="preserve"> </w:t>
      </w:r>
      <w:r>
        <w:rPr>
          <w:rFonts w:ascii="Leelawadee UI" w:hAnsi="Leelawadee UI" w:eastAsia="Leelawadee UI" w:cs="Leelawadee UI"/>
        </w:rPr>
        <w:t>គ្មានសាមគ្គីភាពឡើយ</w:t>
      </w:r>
      <w:r>
        <w:rPr>
          <w:rFonts w:ascii="Times New Roman" w:hAnsi="Times New Roman" w:eastAsia="Times New Roman" w:cs="Times New Roman"/>
        </w:rPr>
        <w:t xml:space="preserve"> </w:t>
      </w:r>
      <w:r>
        <w:rPr>
          <w:rFonts w:ascii="Leelawadee UI" w:hAnsi="Leelawadee UI" w:eastAsia="Leelawadee UI" w:cs="Leelawadee UI"/>
        </w:rPr>
        <w:t>លើកលែងតែនៅពេលមនុស្សទាំងឡាយរួមសម្ព័ន្ធគ្នាដើម្បីសម្រេចគោលបំណងអាត្មានិយមរបស់ខ្លួន។</w:t>
      </w:r>
      <w:r>
        <w:rPr>
          <w:rFonts w:ascii="Times New Roman" w:hAnsi="Times New Roman" w:eastAsia="Times New Roman" w:cs="Times New Roman"/>
        </w:rPr>
        <w:t xml:space="preserve"> </w:t>
      </w:r>
      <w:r>
        <w:rPr>
          <w:rFonts w:ascii="Leelawadee UI" w:hAnsi="Leelawadee UI" w:eastAsia="Leelawadee UI" w:cs="Leelawadee UI"/>
        </w:rPr>
        <w:t>ព្រះជាម្ចាស់កំពុងទតមើល។</w:t>
      </w:r>
      <w:r>
        <w:rPr>
          <w:rFonts w:ascii="Times New Roman" w:hAnsi="Times New Roman" w:eastAsia="Times New Roman" w:cs="Times New Roman"/>
        </w:rPr>
        <w:t xml:space="preserve"> </w:t>
      </w:r>
      <w:r>
        <w:rPr>
          <w:rFonts w:ascii="Leelawadee UI" w:hAnsi="Leelawadee UI" w:eastAsia="Leelawadee UI" w:cs="Leelawadee UI"/>
        </w:rPr>
        <w:t>ព្រះបំណងរបស់ទ្រង់ទាក់ទងនឹងបណ្ដាអ្នកស្ថិតក្រោមអំណាចរបស់ទ្រង់ដែលបះបោរ</w:t>
      </w:r>
      <w:r>
        <w:rPr>
          <w:rFonts w:ascii="Times New Roman" w:hAnsi="Times New Roman" w:eastAsia="Times New Roman" w:cs="Times New Roman"/>
        </w:rPr>
        <w:t xml:space="preserve"> </w:t>
      </w:r>
      <w:r>
        <w:rPr>
          <w:rFonts w:ascii="Leelawadee UI" w:hAnsi="Leelawadee UI" w:eastAsia="Leelawadee UI" w:cs="Leelawadee UI"/>
        </w:rPr>
        <w:t>នឹងត្រូវបានបំពេញឲ្យសម្រេច។</w:t>
      </w:r>
      <w:r>
        <w:rPr>
          <w:rFonts w:ascii="Times New Roman" w:hAnsi="Times New Roman" w:eastAsia="Times New Roman" w:cs="Times New Roman"/>
        </w:rPr>
        <w:t xml:space="preserve"> </w:t>
      </w:r>
      <w:r>
        <w:rPr>
          <w:rFonts w:ascii="Leelawadee UI" w:hAnsi="Leelawadee UI" w:eastAsia="Leelawadee UI" w:cs="Leelawadee UI"/>
        </w:rPr>
        <w:t>ពិភពលោកមិនបានត្រូវប្រគល់ទៅក្នុងដៃមនុស្សឡើយ</w:t>
      </w:r>
      <w:r>
        <w:rPr>
          <w:rFonts w:ascii="Times New Roman" w:hAnsi="Times New Roman" w:eastAsia="Times New Roman" w:cs="Times New Roman"/>
        </w:rPr>
        <w:t xml:space="preserve"> </w:t>
      </w:r>
      <w:r>
        <w:rPr>
          <w:rFonts w:ascii="Leelawadee UI" w:hAnsi="Leelawadee UI" w:eastAsia="Leelawadee UI" w:cs="Leelawadee UI"/>
        </w:rPr>
        <w:t>ទោះបីព្រះជាម្ចាស់កំពុងអនុញ្ញាតឲ្យកម្លាំងនានានៃភាពច្របូកច្របល់</w:t>
      </w:r>
      <w:r>
        <w:rPr>
          <w:rFonts w:ascii="Times New Roman" w:hAnsi="Times New Roman" w:eastAsia="Times New Roman" w:cs="Times New Roman"/>
        </w:rPr>
        <w:t xml:space="preserve"> </w:t>
      </w:r>
      <w:r>
        <w:rPr>
          <w:rFonts w:ascii="Leelawadee UI" w:hAnsi="Leelawadee UI" w:eastAsia="Leelawadee UI" w:cs="Leelawadee UI"/>
        </w:rPr>
        <w:t>និងភាពអនាធិបតេយ្យមានឥទ្ធិពលគ្រប់គ្រងមួយរយៈកាលក៏ដោយ។</w:t>
      </w:r>
      <w:r>
        <w:rPr>
          <w:rFonts w:ascii="Times New Roman" w:hAnsi="Times New Roman" w:eastAsia="Times New Roman" w:cs="Times New Roman"/>
        </w:rPr>
        <w:t xml:space="preserve"> </w:t>
      </w:r>
      <w:r>
        <w:rPr>
          <w:rFonts w:ascii="Leelawadee UI" w:hAnsi="Leelawadee UI" w:eastAsia="Leelawadee UI" w:cs="Leelawadee UI"/>
        </w:rPr>
        <w:t>អំណាចមួយពីខាងក្រោមកំពុងប្រតិបត្តិការ</w:t>
      </w:r>
      <w:r>
        <w:rPr>
          <w:rFonts w:ascii="Times New Roman" w:hAnsi="Times New Roman" w:eastAsia="Times New Roman" w:cs="Times New Roman"/>
        </w:rPr>
        <w:t xml:space="preserve"> </w:t>
      </w:r>
      <w:r>
        <w:rPr>
          <w:rFonts w:ascii="Leelawadee UI" w:hAnsi="Leelawadee UI" w:eastAsia="Leelawadee UI" w:cs="Leelawadee UI"/>
        </w:rPr>
        <w:t>ដើម្បីនាំមកនូវឆាកចុងក្រោយដ៏អស្ចារ្យទាំងឡាយក្នុងរឿងនេះ</w:t>
      </w:r>
      <w:r>
        <w:rPr>
          <w:rFonts w:ascii="Times New Roman" w:hAnsi="Times New Roman" w:eastAsia="Times New Roman" w:cs="Times New Roman"/>
        </w:rPr>
        <w:t>—</w:t>
      </w:r>
      <w:r>
        <w:rPr>
          <w:rFonts w:ascii="Leelawadee UI" w:hAnsi="Leelawadee UI" w:eastAsia="Leelawadee UI" w:cs="Leelawadee UI"/>
        </w:rPr>
        <w:t>សាតាំងមកក្នុងនាមជាព្រះគ្រីស្ទ</w:t>
      </w:r>
      <w:r>
        <w:rPr>
          <w:rFonts w:ascii="Times New Roman" w:hAnsi="Times New Roman" w:eastAsia="Times New Roman" w:cs="Times New Roman"/>
        </w:rPr>
        <w:t xml:space="preserve"> </w:t>
      </w:r>
      <w:r>
        <w:rPr>
          <w:rFonts w:ascii="Leelawadee UI" w:hAnsi="Leelawadee UI" w:eastAsia="Leelawadee UI" w:cs="Leelawadee UI"/>
        </w:rPr>
        <w:t>ហើយប្រតិបត្តិការដោយគ្រប់ទម្រង់នៃការបោកបញ្ឆោតរបស់សេចក្ដីទុច្ចរិត</w:t>
      </w:r>
      <w:r>
        <w:rPr>
          <w:rFonts w:ascii="Times New Roman" w:hAnsi="Times New Roman" w:eastAsia="Times New Roman" w:cs="Times New Roman"/>
        </w:rPr>
        <w:t xml:space="preserve"> </w:t>
      </w:r>
      <w:r>
        <w:rPr>
          <w:rFonts w:ascii="Leelawadee UI" w:hAnsi="Leelawadee UI" w:eastAsia="Leelawadee UI" w:cs="Leelawadee UI"/>
        </w:rPr>
        <w:t>ក្នុងចំណោមអ្នកទាំងឡាយដែលកំពុងចងភ្ជាប់ខ្លួនគ្នាក្នុងសមាគមសម្ងាត់។</w:t>
      </w:r>
      <w:r>
        <w:rPr>
          <w:rFonts w:ascii="Times New Roman" w:hAnsi="Times New Roman" w:eastAsia="Times New Roman" w:cs="Times New Roman"/>
        </w:rPr>
        <w:t xml:space="preserve"> </w:t>
      </w:r>
      <w:r>
        <w:rPr>
          <w:rFonts w:ascii="Leelawadee UI" w:hAnsi="Leelawadee UI" w:eastAsia="Leelawadee UI" w:cs="Leelawadee UI"/>
        </w:rPr>
        <w:t>អ្នកទាំងឡាយដែលកំពុងចុះចាញ់ចំពោះតណ្ហានៃការរួមសម្ព័ន្ធ</w:t>
      </w:r>
      <w:r>
        <w:rPr>
          <w:rFonts w:ascii="Times New Roman" w:hAnsi="Times New Roman" w:eastAsia="Times New Roman" w:cs="Times New Roman"/>
        </w:rPr>
        <w:t xml:space="preserve"> </w:t>
      </w:r>
      <w:r>
        <w:rPr>
          <w:rFonts w:ascii="Leelawadee UI" w:hAnsi="Leelawadee UI" w:eastAsia="Leelawadee UI" w:cs="Leelawadee UI"/>
        </w:rPr>
        <w:t>កំពុងអនុវត្តផែនការរបស់សត្រូវ។</w:t>
      </w:r>
      <w:r>
        <w:rPr>
          <w:rFonts w:ascii="Times New Roman" w:hAnsi="Times New Roman" w:eastAsia="Times New Roman" w:cs="Times New Roman"/>
        </w:rPr>
        <w:t xml:space="preserve"> </w:t>
      </w:r>
      <w:r>
        <w:rPr>
          <w:rFonts w:ascii="Leelawadee UI" w:hAnsi="Leelawadee UI" w:eastAsia="Leelawadee UI" w:cs="Leelawadee UI"/>
        </w:rPr>
        <w:t>ហេតុនឹងត្រូវតាមដោយផល</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“Ҳақбузарлик деярли ўз чегарасига етди. Дунёни саросима қамраб олган, ва яқин орада инсонлар устига буюк даҳшат келмоқчи. Охир жуда яқин. Биз, ҳақиқатни билувчилар, тез орада дунё устига ғоят улкан кутилмаган воқеа каби ёпирилиб келадиган нарсага тайёрланишимиз керак.” Review and Herald, September 10, 1903.</w:t>
      </w:r>
    </w:p>
    <w:p>
      <w:pPr>
        <w:pStyle w:val="ArticleBody"/>
        <w:jc w:val="left"/>
      </w:pPr>
      <w:r>
        <w:rPr>
          <w:rFonts w:ascii="Times New Roman" w:hAnsi="Times New Roman" w:eastAsia="Times New Roman" w:cs="Times New Roman"/>
        </w:rPr>
        <w:t>Les « éléments de confusion et de désordre » sont en train d’être produits comme le fruit du système que Sœur White identifie comme « l’éducation supérieure », qu’elle identifie aussi comme « le mystère de l’iniquité ». Le temple du Parthénon de Nashville est le symbole de la fausse éducation qui produit maintenant la « confusion et le désordre » qui « dominent pendant un temps ». Les boules de feu sur Nashville sont amenées par l’islam et elles représentent le jugement de Dieu sur « l’arbre de la connaissance du bien et du mal ». Lorsque Nashville est frappée, la courte période de la proclamation du cri de minuit commence et conduit à la loi du dimanche, où la mauvaise « confédération » d’Ésaïe accomplit son mouvement final tandis que le monde est contraint d’accepter le gouvernement mondial unique identifié comme l’image de la bête dans Apocalypse treize. L’identification par Ésaïe de la confédération mauvaise s’aligne sur le scellement des cent quarante-quatre mille.</w:t>
      </w:r>
    </w:p>
    <w:p>
      <w:pPr>
        <w:pStyle w:val="ArticleScripture"/>
        <w:jc w:val="left"/>
      </w:pPr>
      <w:r>
        <w:rPr>
          <w:rFonts w:ascii="Times New Roman" w:hAnsi="Times New Roman" w:eastAsia="Times New Roman" w:cs="Times New Roman"/>
        </w:rPr>
        <w:t>Na kaɗai ku ce, “Haɗin guiwa,” ga dukan waɗanda wannan al’umma za ta ce musu, “Haɗin guiwa”; kada kuma ku ji tsoron abin da suke tsoro, kada kuwa ku firgita. Ku tsarkake Ubangijin runduna, shi kaɗai; shi ne zai zama tsoronku, shi ne kuma firgicinku. Zai kuwa zama Wuri Mai Tsarki; amma kuma dutse mai sa tuntuɓe, da dutsen abin zargi ga gidajen Isra’ila biyu, tarko kuma da raga ga mazaunan Urushalima. Da yawa daga cikinsu za su yi tuntuɓe, su faɗi, a karya su, a kama su da tarko, a kuma cafke su.</w:t>
      </w:r>
    </w:p>
    <w:p>
      <w:pPr>
        <w:pStyle w:val="ArticleScripture"/>
        <w:jc w:val="left"/>
      </w:pPr>
      <w:r>
        <w:rPr>
          <w:rFonts w:ascii="Times New Roman" w:hAnsi="Times New Roman" w:eastAsia="Times New Roman" w:cs="Times New Roman"/>
        </w:rPr>
        <w:t>Funga ushuhuda, ukitie muhuri sheria kati ya wanafunzi wangu. Nami nitamngojea Bwana, yeye aifichaye uso wake na nyumba ya Yakobo, nami nitamtazamia. Tazama, mimi na watoto niliopewa na Bwana tu ishara na maajabu katika Israeli, yatokayo kwa Bwana wa majeshi, akaaye katika mlima Sayuni. Na watakapowaambia, Watafuteni wenye pepo wabashiri, na wachawi wanaolia kwa sauti ndogo na kunong’ona; je! watu hawapaswi kumtafuta Mungu wao? Je! waende kwa wafu kwa ajili ya walio hai? Na waende kwa sheria na ushuhuda; ikiwa hawasemi sawasawa na neno hili, bila shaka hakuna nuru ndani yao. Isaya 8:12–20.</w:t>
      </w:r>
    </w:p>
    <w:p>
      <w:pPr>
        <w:pStyle w:val="ArticleBody"/>
        <w:jc w:val="left"/>
      </w:pPr>
      <w:r>
        <w:rPr>
          <w:rFonts w:ascii="Times New Roman" w:hAnsi="Times New Roman" w:eastAsia="Times New Roman" w:cs="Times New Roman"/>
        </w:rPr>
        <w:t>Le passage de Sœur White indique qu’une période de « confusion et de désordre » conduit à « Satan venant comme Christ ». Satan paraît en se faisant passer pour Christ au moment de la loi dominicale.</w:t>
      </w:r>
    </w:p>
    <w:p>
      <w:pPr>
        <w:pStyle w:val="ArticleScripture"/>
        <w:jc w:val="left"/>
      </w:pPr>
      <w:r>
        <w:rPr>
          <w:rFonts w:ascii="Times New Roman" w:hAnsi="Times New Roman" w:eastAsia="Times New Roman" w:cs="Times New Roman"/>
        </w:rPr>
        <w:t>«Kwa amri inayotekeleza kuasisiwa kwa Upapa kwa kukiuka sheria ya Mungu, taifa letu litajitenga kabisa na haki. Wakati Uprotestanti utakaponyoosha mkono wake kuvuka lile pengo ili kuushika mkono wa mamlaka ya Kirumi, wakati utakapovuka juu ya shimo kuu ili kushikana mikono na Uroho, wakati, chini ya ushawishi wa muungano huu wa namna tatu, nchi yetu itakapokataa kila kanuni ya Katiba yake kama serikali ya Kiprotestanti na ya kijamhuri, na kufanya maandalizi kwa ajili ya kuenezwa kwa uongo na upotofu wa kipapa, ndipo tunaweza kujua kwamba wakati umefika wa utendaji wa ajabu wa Shetani na kwamba mwisho uko karibu.» Testimonies, juzuu ya 5, 451.</w:t>
      </w:r>
    </w:p>
    <w:p>
      <w:pPr>
        <w:pStyle w:val="ArticleBody"/>
        <w:jc w:val="left"/>
      </w:pPr>
      <w:r>
        <w:rPr>
          <w:rFonts w:ascii="Times New Roman" w:hAnsi="Times New Roman" w:eastAsia="Times New Roman" w:cs="Times New Roman"/>
        </w:rPr>
        <w:t>Die Zeit der „Verwirrung und Unordnung“ tritt im Vorfeld des Sonntagsgesetzes ein. Unmittelbar vor dem Sonntagsgesetz, in dem durch die Lagerversammlung in Exeter sowie die zehn Tage im Obergemach vor Pfingsten vorgebildeten Zeitraum, sollen die einhundertvierundvierzigtausend „zusammenrücken, meine Brüder und Schwestern, … sich mit Christus verbinden“. Die Versiegelung findet vor dem Sonntagsgesetz statt, und in eben dieser geschichtlichen Phase beginnt die böse Konföderation ihr letztes Werk der Errichtung einer Eine-Welt-Regierung.</w:t>
      </w:r>
    </w:p>
    <w:p>
      <w:pPr>
        <w:pStyle w:val="ArticleBody"/>
        <w:jc w:val="left"/>
      </w:pPr>
      <w:r>
        <w:rPr>
          <w:rFonts w:ascii="Nirmala UI" w:hAnsi="Nirmala UI" w:eastAsia="Nirmala UI" w:cs="Nirmala UI"/>
        </w:rPr>
        <w:t>വെപ്പുമുദ്രയിടുന്ന</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നീതിമാന്മാർക്കു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വിശുദ്ധാലയമായിരിക്കും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ദുഷ്ടന്മാർക്കു</w:t>
      </w:r>
      <w:r>
        <w:rPr>
          <w:rFonts w:ascii="Times New Roman" w:hAnsi="Times New Roman" w:eastAsia="Times New Roman" w:cs="Times New Roman"/>
        </w:rPr>
        <w:t xml:space="preserve"> </w:t>
      </w:r>
      <w:r>
        <w:rPr>
          <w:rFonts w:ascii="Nirmala UI" w:hAnsi="Nirmala UI" w:eastAsia="Nirmala UI" w:cs="Nirmala UI"/>
        </w:rPr>
        <w:t>ഇടറിപ്പോകുന്ന</w:t>
      </w:r>
      <w:r>
        <w:rPr>
          <w:rFonts w:ascii="Times New Roman" w:hAnsi="Times New Roman" w:eastAsia="Times New Roman" w:cs="Times New Roman"/>
        </w:rPr>
        <w:t xml:space="preserve"> </w:t>
      </w:r>
      <w:r>
        <w:rPr>
          <w:rFonts w:ascii="Nirmala UI" w:hAnsi="Nirmala UI" w:eastAsia="Nirmala UI" w:cs="Nirmala UI"/>
        </w:rPr>
        <w:t>കല്ലായിരിക്കും</w:t>
      </w:r>
      <w:r>
        <w:rPr>
          <w:rFonts w:ascii="Times New Roman" w:hAnsi="Times New Roman" w:eastAsia="Times New Roman" w:cs="Times New Roman"/>
        </w:rPr>
        <w:t xml:space="preserve">. </w:t>
      </w:r>
      <w:r>
        <w:rPr>
          <w:rFonts w:ascii="Nirmala UI" w:hAnsi="Nirmala UI" w:eastAsia="Nirmala UI" w:cs="Nirmala UI"/>
        </w:rPr>
        <w:t>യെരൂശലേമിലെ</w:t>
      </w:r>
      <w:r>
        <w:rPr>
          <w:rFonts w:ascii="Times New Roman" w:hAnsi="Times New Roman" w:eastAsia="Times New Roman" w:cs="Times New Roman"/>
        </w:rPr>
        <w:t xml:space="preserve"> </w:t>
      </w:r>
      <w:r>
        <w:rPr>
          <w:rFonts w:ascii="Nirmala UI" w:hAnsi="Nirmala UI" w:eastAsia="Nirmala UI" w:cs="Nirmala UI"/>
        </w:rPr>
        <w:t>നിവാസികൾക്കു</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വീഴുന്ന</w:t>
      </w:r>
      <w:r>
        <w:rPr>
          <w:rFonts w:ascii="Times New Roman" w:hAnsi="Times New Roman" w:eastAsia="Times New Roman" w:cs="Times New Roman"/>
        </w:rPr>
        <w:t xml:space="preserve"> “</w:t>
      </w:r>
      <w:r>
        <w:rPr>
          <w:rFonts w:ascii="Nirmala UI" w:hAnsi="Nirmala UI" w:eastAsia="Nirmala UI" w:cs="Nirmala UI"/>
        </w:rPr>
        <w:t>അനേകർ</w:t>
      </w:r>
      <w:r>
        <w:rPr>
          <w:rFonts w:ascii="Times New Roman" w:hAnsi="Times New Roman" w:eastAsia="Times New Roman" w:cs="Times New Roman"/>
        </w:rPr>
        <w:t>”</w:t>
      </w:r>
      <w:r>
        <w:rPr>
          <w:rFonts w:ascii="Nirmala UI" w:hAnsi="Nirmala UI" w:eastAsia="Nirmala UI" w:cs="Nirmala UI"/>
        </w:rPr>
        <w:t>ക്കു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കെണിയും</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വെപ്പുമുദ്രയിട്ടിരിക്കുന്ന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കുറച്ചുപേർക്കു</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ഭയം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उत्तीर्ण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मुद्रांकित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खाएँगे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फँसाए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Ang iilan na natatakan, na kabaligtaran ng marami na nangatisod, ay yaong mga “naghihintay” sa Panginoon, kaya’t natutukoy ang marurunong na dalaga na “naghintay.” Mayroon ding pinabanal at di-pinabanal na makahulang paghihintay sa loob ng dalawang uri ng mga dalaga, na tumutugma sa dalawang uri ng pagkatakot.</w:t>
      </w:r>
    </w:p>
    <w:p>
      <w:pPr>
        <w:pStyle w:val="ArticleScripture"/>
        <w:jc w:val="left"/>
      </w:pPr>
      <w:r>
        <w:rPr>
          <w:rFonts w:ascii="Times New Roman" w:hAnsi="Times New Roman" w:eastAsia="Times New Roman" w:cs="Times New Roman"/>
        </w:rPr>
        <w:t>«“</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મોડો</w:t>
      </w:r>
      <w:r>
        <w:rPr>
          <w:rFonts w:ascii="Times New Roman" w:hAnsi="Times New Roman" w:eastAsia="Times New Roman" w:cs="Times New Roman"/>
        </w:rPr>
        <w:t xml:space="preserve"> </w:t>
      </w:r>
      <w:r>
        <w:rPr>
          <w:rFonts w:ascii="Nirmala UI" w:hAnsi="Nirmala UI" w:eastAsia="Nirmala UI" w:cs="Nirmala UI"/>
        </w:rPr>
        <w:t>પડ્યો</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ઊંઘી</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નિદ્રાધીન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વરના</w:t>
      </w:r>
      <w:r>
        <w:rPr>
          <w:rFonts w:ascii="Times New Roman" w:hAnsi="Times New Roman" w:eastAsia="Times New Roman" w:cs="Times New Roman"/>
        </w:rPr>
        <w:t xml:space="preserve"> </w:t>
      </w:r>
      <w:r>
        <w:rPr>
          <w:rFonts w:ascii="Nirmala UI" w:hAnsi="Nirmala UI" w:eastAsia="Nirmala UI" w:cs="Nirmala UI"/>
        </w:rPr>
        <w:t>મોડા</w:t>
      </w:r>
      <w:r>
        <w:rPr>
          <w:rFonts w:ascii="Times New Roman" w:hAnsi="Times New Roman" w:eastAsia="Times New Roman" w:cs="Times New Roman"/>
        </w:rPr>
        <w:t xml:space="preserve"> </w:t>
      </w:r>
      <w:r>
        <w:rPr>
          <w:rFonts w:ascii="Nirmala UI" w:hAnsi="Nirmala UI" w:eastAsia="Nirmala UI" w:cs="Nirmala UI"/>
        </w:rPr>
        <w:t>પડવાથી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અપેક્ષા</w:t>
      </w:r>
      <w:r>
        <w:rPr>
          <w:rFonts w:ascii="Times New Roman" w:hAnsi="Times New Roman" w:eastAsia="Times New Roman" w:cs="Times New Roman"/>
        </w:rPr>
        <w:t xml:space="preserve"> </w:t>
      </w:r>
      <w:r>
        <w:rPr>
          <w:rFonts w:ascii="Nirmala UI" w:hAnsi="Nirmala UI" w:eastAsia="Nirmala UI" w:cs="Nirmala UI"/>
        </w:rPr>
        <w:t>રાખવામાં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નિરાશા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દેખીતી</w:t>
      </w:r>
      <w:r>
        <w:rPr>
          <w:rFonts w:ascii="Times New Roman" w:hAnsi="Times New Roman" w:eastAsia="Times New Roman" w:cs="Times New Roman"/>
        </w:rPr>
        <w:t xml:space="preserve"> </w:t>
      </w:r>
      <w:r>
        <w:rPr>
          <w:rFonts w:ascii="Nirmala UI" w:hAnsi="Nirmala UI" w:eastAsia="Nirmala UI" w:cs="Nirmala UI"/>
        </w:rPr>
        <w:t>વિલંબ</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અનિશ્ચિતતાના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અર્ધહૃદયવાળાઓનો</w:t>
      </w:r>
      <w:r>
        <w:rPr>
          <w:rFonts w:ascii="Times New Roman" w:hAnsi="Times New Roman" w:eastAsia="Times New Roman" w:cs="Times New Roman"/>
        </w:rPr>
        <w:t xml:space="preserve"> </w:t>
      </w:r>
      <w:r>
        <w:rPr>
          <w:rFonts w:ascii="Nirmala UI" w:hAnsi="Nirmala UI" w:eastAsia="Nirmala UI" w:cs="Nirmala UI"/>
        </w:rPr>
        <w:t>રસ</w:t>
      </w:r>
      <w:r>
        <w:rPr>
          <w:rFonts w:ascii="Times New Roman" w:hAnsi="Times New Roman" w:eastAsia="Times New Roman" w:cs="Times New Roman"/>
        </w:rPr>
        <w:t xml:space="preserve"> </w:t>
      </w:r>
      <w:r>
        <w:rPr>
          <w:rFonts w:ascii="Nirmala UI" w:hAnsi="Nirmala UI" w:eastAsia="Nirmala UI" w:cs="Nirmala UI"/>
        </w:rPr>
        <w:t>જલ્દી</w:t>
      </w:r>
      <w:r>
        <w:rPr>
          <w:rFonts w:ascii="Times New Roman" w:hAnsi="Times New Roman" w:eastAsia="Times New Roman" w:cs="Times New Roman"/>
        </w:rPr>
        <w:t xml:space="preserve"> </w:t>
      </w:r>
      <w:r>
        <w:rPr>
          <w:rFonts w:ascii="Nirmala UI" w:hAnsi="Nirmala UI" w:eastAsia="Nirmala UI" w:cs="Nirmala UI"/>
        </w:rPr>
        <w:t>ડગમગાવા</w:t>
      </w:r>
      <w:r>
        <w:rPr>
          <w:rFonts w:ascii="Times New Roman" w:hAnsi="Times New Roman" w:eastAsia="Times New Roman" w:cs="Times New Roman"/>
        </w:rPr>
        <w:t xml:space="preserve"> </w:t>
      </w:r>
      <w:r>
        <w:rPr>
          <w:rFonts w:ascii="Nirmala UI" w:hAnsi="Nirmala UI" w:eastAsia="Nirmala UI" w:cs="Nirmala UI"/>
        </w:rPr>
        <w:t>માંડ્યો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પ્રયત્નો</w:t>
      </w:r>
      <w:r>
        <w:rPr>
          <w:rFonts w:ascii="Times New Roman" w:hAnsi="Times New Roman" w:eastAsia="Times New Roman" w:cs="Times New Roman"/>
        </w:rPr>
        <w:t xml:space="preserve"> </w:t>
      </w:r>
      <w:r>
        <w:rPr>
          <w:rFonts w:ascii="Nirmala UI" w:hAnsi="Nirmala UI" w:eastAsia="Nirmala UI" w:cs="Nirmala UI"/>
        </w:rPr>
        <w:t>શિથિલ</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બાઇબલના</w:t>
      </w:r>
      <w:r>
        <w:rPr>
          <w:rFonts w:ascii="Times New Roman" w:hAnsi="Times New Roman" w:eastAsia="Times New Roman" w:cs="Times New Roman"/>
        </w:rPr>
        <w:t xml:space="preserve"> </w:t>
      </w:r>
      <w:r>
        <w:rPr>
          <w:rFonts w:ascii="Nirmala UI" w:hAnsi="Nirmala UI" w:eastAsia="Nirmala UI" w:cs="Nirmala UI"/>
        </w:rPr>
        <w:t>વ્યક્તિગત</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આધારિત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પગ</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શિલાખંડ</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નિરાશાની</w:t>
      </w:r>
      <w:r>
        <w:rPr>
          <w:rFonts w:ascii="Times New Roman" w:hAnsi="Times New Roman" w:eastAsia="Times New Roman" w:cs="Times New Roman"/>
        </w:rPr>
        <w:t xml:space="preserve"> </w:t>
      </w:r>
      <w:r>
        <w:rPr>
          <w:rFonts w:ascii="Nirmala UI" w:hAnsi="Nirmala UI" w:eastAsia="Nirmala UI" w:cs="Nirmala UI"/>
        </w:rPr>
        <w:t>તરંગો</w:t>
      </w:r>
      <w:r>
        <w:rPr>
          <w:rFonts w:ascii="Times New Roman" w:hAnsi="Times New Roman" w:eastAsia="Times New Roman" w:cs="Times New Roman"/>
        </w:rPr>
        <w:t xml:space="preserve"> </w:t>
      </w:r>
      <w:r>
        <w:rPr>
          <w:rFonts w:ascii="Nirmala UI" w:hAnsi="Nirmala UI" w:eastAsia="Nirmala UI" w:cs="Nirmala UI"/>
        </w:rPr>
        <w:t>ધોઈ</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ઊંઘી</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નિદ્રાધીન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વર્ગ</w:t>
      </w:r>
      <w:r>
        <w:rPr>
          <w:rFonts w:ascii="Times New Roman" w:hAnsi="Times New Roman" w:eastAsia="Times New Roman" w:cs="Times New Roman"/>
        </w:rPr>
        <w:t xml:space="preserve"> </w:t>
      </w:r>
      <w:r>
        <w:rPr>
          <w:rFonts w:ascii="Nirmala UI" w:hAnsi="Nirmala UI" w:eastAsia="Nirmala UI" w:cs="Nirmala UI"/>
        </w:rPr>
        <w:t>નિરાકુલતા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વિશ્વાસના</w:t>
      </w:r>
      <w:r>
        <w:rPr>
          <w:rFonts w:ascii="Times New Roman" w:hAnsi="Times New Roman" w:eastAsia="Times New Roman" w:cs="Times New Roman"/>
        </w:rPr>
        <w:t xml:space="preserve"> </w:t>
      </w:r>
      <w:r>
        <w:rPr>
          <w:rFonts w:ascii="Nirmala UI" w:hAnsi="Nirmala UI" w:eastAsia="Nirmala UI" w:cs="Nirmala UI"/>
        </w:rPr>
        <w:t>ત્યાગમાં</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વર્ગ</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ધીરજપૂર્વક</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તદાપિ</w:t>
      </w:r>
      <w:r>
        <w:rPr>
          <w:rFonts w:ascii="Times New Roman" w:hAnsi="Times New Roman" w:eastAsia="Times New Roman" w:cs="Times New Roman"/>
        </w:rPr>
        <w:t xml:space="preserve">, </w:t>
      </w:r>
      <w:r>
        <w:rPr>
          <w:rFonts w:ascii="Nirmala UI" w:hAnsi="Nirmala UI" w:eastAsia="Nirmala UI" w:cs="Nirmala UI"/>
        </w:rPr>
        <w:t>પરીક્ષાની</w:t>
      </w:r>
      <w:r>
        <w:rPr>
          <w:rFonts w:ascii="Times New Roman" w:hAnsi="Times New Roman" w:eastAsia="Times New Roman" w:cs="Times New Roman"/>
        </w:rPr>
        <w:t xml:space="preserve"> </w:t>
      </w:r>
      <w:r>
        <w:rPr>
          <w:rFonts w:ascii="Nirmala UI" w:hAnsi="Nirmala UI" w:eastAsia="Nirmala UI" w:cs="Nirmala UI"/>
        </w:rPr>
        <w:t>રાત્રિમાં</w:t>
      </w:r>
      <w:r>
        <w:rPr>
          <w:rFonts w:ascii="Times New Roman" w:hAnsi="Times New Roman" w:eastAsia="Times New Roman" w:cs="Times New Roman"/>
        </w:rPr>
        <w:t xml:space="preserve">, </w:t>
      </w:r>
      <w:r>
        <w:rPr>
          <w:rFonts w:ascii="Nirmala UI" w:hAnsi="Nirmala UI" w:eastAsia="Nirmala UI" w:cs="Nirmala UI"/>
        </w:rPr>
        <w:t>છેલ્લાવાળાઓએ</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કંઈક</w:t>
      </w:r>
      <w:r>
        <w:rPr>
          <w:rFonts w:ascii="Times New Roman" w:hAnsi="Times New Roman" w:eastAsia="Times New Roman" w:cs="Times New Roman"/>
        </w:rPr>
        <w:t xml:space="preserve"> </w:t>
      </w:r>
      <w:r>
        <w:rPr>
          <w:rFonts w:ascii="Nirmala UI" w:hAnsi="Nirmala UI" w:eastAsia="Nirmala UI" w:cs="Nirmala UI"/>
        </w:rPr>
        <w:t>અંશે</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ઉત્સાહ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ભક્તિ</w:t>
      </w:r>
      <w:r>
        <w:rPr>
          <w:rFonts w:ascii="Times New Roman" w:hAnsi="Times New Roman" w:eastAsia="Times New Roman" w:cs="Times New Roman"/>
        </w:rPr>
        <w:t xml:space="preserve"> </w:t>
      </w:r>
      <w:r>
        <w:rPr>
          <w:rFonts w:ascii="Nirmala UI" w:hAnsi="Nirmala UI" w:eastAsia="Nirmala UI" w:cs="Nirmala UI"/>
        </w:rPr>
        <w:t>ગુમાવ્યા</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જણાયું</w:t>
      </w:r>
      <w:r>
        <w:rPr>
          <w:rFonts w:ascii="Times New Roman" w:hAnsi="Times New Roman" w:eastAsia="Times New Roman" w:cs="Times New Roman"/>
        </w:rPr>
        <w:t xml:space="preserve">. </w:t>
      </w:r>
      <w:r>
        <w:rPr>
          <w:rFonts w:ascii="Nirmala UI" w:hAnsi="Nirmala UI" w:eastAsia="Nirmala UI" w:cs="Nirmala UI"/>
        </w:rPr>
        <w:t>અર્ધહૃદયવાળા</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ભાઈઓના</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ટેકો</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રહેવું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The Great Controversy, 395.</w:t>
      </w:r>
    </w:p>
    <w:p>
      <w:pPr>
        <w:pStyle w:val="ArticleBody"/>
        <w:jc w:val="left"/>
      </w:pPr>
      <w:r>
        <w:rPr>
          <w:rFonts w:ascii="Times New Roman" w:hAnsi="Times New Roman" w:eastAsia="Times New Roman" w:cs="Times New Roman"/>
        </w:rPr>
        <w:t>Ko‘tarilishlari Yakshanba qonuni vaqtida dunyoga bir bayroq singari namoyon etilar ekan, muqaddas tarzda kutadiganlar “alomatlar va mo‘jizalar uchun” bo‘lishlari kerak; o‘sha paytda yaxshilik va yomonlikni bilish daraxti masalasi “jinlar bilan oshno bo‘lganlar, pichirlab va ming‘irlab fol ochuvchilar”ning bilimini hamda “qonun va shahodat” bilan belgilangan bilimni ifodalaydi. Bu Momo Havo va Odam uchun bo‘lgan sinovning aynan o‘shasidir. Biz haqiqat xato bilan aralashtirilib, qo‘shib yuborilgan ta’limni qabul qilamizmi, yoki “Egamiz shunday deydi” degan asos ustida turamizmi? Chunki agar ular bu So‘zga muvofiq gapirmasalar, bu ularda nur yo‘qligi uchundir. Masih bilan Shayton o‘rtasidagi buyuk kurashda haqiqiy va soxta ta’lim haqiqatning asosiy yo‘nalishidir. Nashville Xudoning Kalomiga qarshi isyonning timsolidir; xuddi Sodom shahvoniy buzuqlikning timsoli bo‘lgani kabi, va xuddi New York Qo‘shma Shtatlarning iqtisodiy qudratining timsoli hamda Pentagon uning harbiy qudratining timsoli bo‘lgani kabi.</w:t>
      </w:r>
    </w:p>
    <w:p>
      <w:pPr>
        <w:pStyle w:val="ArticleBody"/>
        <w:jc w:val="left"/>
      </w:pPr>
      <w:r>
        <w:rPr>
          <w:rFonts w:ascii="Times New Roman" w:hAnsi="Times New Roman" w:eastAsia="Times New Roman" w:cs="Times New Roman"/>
        </w:rPr>
        <w:t>Peter az áll Nashville tűzgömbjeinek küszöbén, Paniumban és a hegyen, ami a templomi próbát jelképezi. Felismeri, hogy a laodiceai Hetednapi Adventizmust meg fogják feddni és szégyenbe hozzák, amikor a tűzgömbök lehullanak, és hogy Nashville-t, az Egyesült Államokat és a világot figyelmeztetni kell. Az iszlám üzenete megerősíti a hírnököket, miként a Kármelre alászálló tűz is megerősítette, hogy Illés az igaz próféta volt. Nashville-nek szóló figyelmeztetés azonban nem pusztán a harmadik jaj iszlámja, még kevésbé az, hogy milyen fegyvertípusokat alkalmaznak a váratlan támadásban. A figyelmeztető üzenetnek meg kell neveznie, miért engedtetik meg az iszlámnak, hogy ítéletet hozzon, olyan ítéletet, amely egy olyan időszakot kezd meg, amikor városok ezrei pusztulnak el. Annak előzetes azonosítása, hogy az iszlám váratlan támadást fog végrehajtani Nashville ellen, igazolni fogja a hírnököket, de hiányos figyelmeztetés, ha csak ennyit tesz.</w:t>
      </w:r>
    </w:p>
    <w:p>
      <w:pPr>
        <w:pStyle w:val="ArticleBody"/>
        <w:jc w:val="left"/>
      </w:pPr>
      <w:r>
        <w:rPr>
          <w:rFonts w:ascii="Times New Roman" w:hAnsi="Times New Roman" w:eastAsia="Times New Roman" w:cs="Times New Roman"/>
        </w:rPr>
        <w:t>Boules de feu de Nashville sont un jugement de Dieu qui inaugure une courte période s’achevant avec la loi du dimanche, laquelle, comme au commencement de cette période, est elle aussi un jugement de Dieu. Dieu annonça d’avance à Adam et Ève quelle était l’épreuve, et quelles en seraient les conséquences s’ils venaient à y échouer. Sœur White souligne l’importance de pouvoir raisonner « de la cause à l’effet », et la Bible établit qu’une « malédiction » sans « cause » ne viendra pas.</w:t>
      </w:r>
    </w:p>
    <w:p>
      <w:pPr>
        <w:pStyle w:val="ArticleScripture"/>
        <w:jc w:val="left"/>
      </w:pPr>
      <w:r>
        <w:rPr>
          <w:rFonts w:ascii="Times New Roman" w:hAnsi="Times New Roman" w:eastAsia="Times New Roman" w:cs="Times New Roman"/>
        </w:rPr>
        <w:t>Sida shimbirtuun akka jooraadhu, liqimseenis akka balaliituu, akkasuma abaarsni sababaa hin qabne hin dhufu. Fakkeenya 26:2.</w:t>
      </w:r>
    </w:p>
    <w:p>
      <w:pPr>
        <w:pStyle w:val="ArticleBody"/>
        <w:jc w:val="left"/>
      </w:pPr>
      <w:r>
        <w:rPr>
          <w:rFonts w:ascii="Times New Roman" w:hAnsi="Times New Roman" w:eastAsia="Times New Roman" w:cs="Times New Roman"/>
        </w:rPr>
        <w:t>Les boules de feu de Nashville sont l’« effet », ainsi que la « malédiction » qui vient. Le message d’avertissement doit inclure la « cause ». Le message du prophète Jonas n’était pas simplement l’annonce d’une destruction dans quarante jours, mais il produisit un réveil et une réforme depuis le roi jusqu’à l’ensemble de la population. Ce qui fut mis en évidence amena le roi et son peuple à se détourner de leurs mauvaises voies. Jonas leur avait annoncé la destruction à venir, et il leur avait dit que c’était à cause de leur mode de vie méchant et pervers.</w:t>
      </w:r>
    </w:p>
    <w:p>
      <w:pPr>
        <w:pStyle w:val="ArticleScripture"/>
        <w:jc w:val="left"/>
      </w:pPr>
      <w:r>
        <w:rPr>
          <w:rFonts w:ascii="Times New Roman" w:hAnsi="Times New Roman" w:eastAsia="Times New Roman" w:cs="Times New Roman"/>
        </w:rPr>
        <w:t>Zana reçoisevut le re e Nínive, e il se leva de son trône, ôta de sus lui sa robe, se couvrit d’un sac, e s’assit sus la cendre. E il fist publier e proclamer par tote Nínive, par décret du re e de ses nobles, disant: Que ni home ni beste, gros bétail ni menu bétail, ne goûtent rien; qu’ils ne paissent point e ne boivent point d’iaue; mais que homes e bestes soient couverts de sacs, e qu’ils crient à Dieu de tote lor force; oui, que chascun se détourne de sa male voie e de la violence qui est en ses mains. Jonas 3:6–8.</w:t>
      </w:r>
    </w:p>
    <w:p>
      <w:pPr>
        <w:pStyle w:val="ArticleBody"/>
        <w:jc w:val="left"/>
      </w:pPr>
      <w:r>
        <w:rPr>
          <w:rFonts w:ascii="Times New Roman" w:hAnsi="Times New Roman" w:eastAsia="Times New Roman" w:cs="Times New Roman"/>
        </w:rPr>
        <w:t>ئسلام هُوَ قُوَّةُ بُوقٍ، وَالسَّبْعَةُ الأَبْوَاقُ فِي سِفْرِ الرُّؤْيَا الأَصْحَاحَاتِ الثَّامِنِ إِلَى الحَادِي عَشَرَ، وَكَذَلِكَ الأَصْحَاحُ السَّادِسَ عَشَرَ، تَحْمِلُ خَصَائِصَ نَبَوِيَّةً مُحَدَّدَةً. أَمَّا الأَبْوَاقُ الأَرْبَعَةُ الأُولَى فَكَانَتْ أَحْكَامًا عَلَى رُومَا الإِمْبِرَاطُورِيَّةِ لِسَنِّهَا أَوَّلَ قَانُونٍ لِيَوْمِ الأَحَدِ فِي سَنَةِ 321. وَأَمَّا البُوقَانِ التَّالِيَانِ فَكَانَا أَحْكَامًا عَلَى رُومَا البَابَوِيَّةِ لِسَنِّهَا قَانُونَ يَوْمِ الأَحَدِ فِي سَنَةِ 538. وَالسَّبْعَةُ الأَبْوَاقُ فِي سِفْرِ الرُّؤْيَا الأَصْحَاحَاتِ الثَّامِنِ إِلَى الحَادِي عَشَرَ تُمَثِّلُ السَّبْعَ الضَّرَبَاتِ الأَخِيرَةَ فِي سِفْرِ الرُّؤْيَا الأَصْحَاحِ السَّادِسِ عَشَرَ، الَّتِي هِيَ دَيْنُونَةُ اللهِ عَلَى البَشَرِ بِسَبَبِ فَرْضِ يَوْمِ الأَحَدِ.</w:t>
      </w:r>
    </w:p>
    <w:p>
      <w:pPr>
        <w:pStyle w:val="ArticleBody"/>
        <w:jc w:val="left"/>
      </w:pPr>
      <w:r>
        <w:rPr>
          <w:rFonts w:ascii="Times New Roman" w:hAnsi="Times New Roman" w:eastAsia="Times New Roman" w:cs="Times New Roman"/>
        </w:rPr>
        <w:t>Mesej amaran Nashville mesti mengenal pasti jejak langkah yang menuju kepada suatu undang-undang Ahad, dan berdasarkan kesaksian nubuat, penghakiman itu menyusul, dan tidak mendahului penyebabnya. Penghakiman itu ialah akibat daripada penguatkuasaan Ahad. Lima saksi bagi sejarah tersembunyi ayat empat puluh yang sedang kita pertimbangkan memberikan kesaksian yang berbeza, tetapi tidak seperti saksi manusia, semua garis nubuat berpadu bersama. Untuk mengenal pasti jejak langkah undang-undang Ahad yang muktamad di Amerika Syarikat, hal itu terlaksana apabila Peter menggabungkan kesaksian Donald Trump untuk menjelaskan kesan bebola-bebola api Nashville.</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महासंघ</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Vi fortsätter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le nombre douze</dc:title>
  <dc:subject>Namba Kumi na Mbili</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