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von Vers vierzig – Zahl dreizehn</w:t>
      </w:r>
    </w:p>
    <w:p>
      <w:pPr>
        <w:pStyle w:val="ArticleSubtitle"/>
        <w:jc w:val="left"/>
      </w:pPr>
      <w:r>
        <w:rPr>
          <w:rFonts w:ascii="Arial" w:hAnsi="Arial" w:eastAsia="Arial" w:cs="Arial"/>
        </w:rPr>
        <w:t>Numéro treize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En tant que symbole principal des cent quarante-quatre mille, Pierre se tient à Panium en 2026, œuvrant à corriger la fausse prédiction du 18 juillet 2020. Son œuvre, à cet égard, s’accorde avec celle de la correction par Josiah Litch du 11 août 1840 et de l’identification par Samuel Snow du 22 octobre 1844. La correction de Litch donna puissance au message du premier ange, et celle de Snow donna puissance au message du second ange. La mise en puissance des messages du premier et du second ange préfigure la mise en puissance du message du troisième ange. Les caractéristiques du premier et du second sont représentées dans le troisième comme une combinaison d’un message extérieur de malheur et du message intérieur du cri de minuit de la parabole des dix vierges.</w:t>
      </w:r>
    </w:p>
    <w:p>
      <w:pPr>
        <w:pStyle w:val="ArticleBody"/>
        <w:jc w:val="left"/>
      </w:pPr>
      <w:r>
        <w:rPr>
          <w:rFonts w:ascii="Times New Roman" w:hAnsi="Times New Roman" w:eastAsia="Times New Roman" w:cs="Times New Roman"/>
        </w:rPr>
        <w:t>Dans une triple application de la prophétie, la première et la troisième, qui sont aussi le commencement et la fin, posséderont des caractéristiques parallèles. Récemment, un frère a mis au jour plusieurs vérités associées au premier malheur de l’Apocalypse neuf, lesquelles, appliquées selon le principe de l’Alpha et de l’Oméga, identifient une autre confirmation profonde du « tremblement de terre » d’Apocalypse onze. La loi du dimanche aux États-Unis est le « tremblement de terre » qui s’est d’abord accompli lors de la Révolution française, lorsque la France, qui constituait l’une des dix nations formant la structure prophétique de la Rome païenne dans le livre de Daniel, fut renversée. Ainsi, le chapitre onze dit qu’un dixième de la ville tomba.</w:t>
      </w:r>
    </w:p>
    <w:p>
      <w:pPr>
        <w:pStyle w:val="ArticleScripture"/>
        <w:jc w:val="left"/>
      </w:pPr>
      <w:r>
        <w:rPr>
          <w:rFonts w:ascii="Times New Roman" w:hAnsi="Times New Roman" w:eastAsia="Times New Roman" w:cs="Times New Roman"/>
        </w:rPr>
        <w:t>خداوندڭ سوىق کۆرسەتكەن شۇ سائەتتە زور بىر زىلزىلە بولدى، شەھەرنىڭ ئوندىن بىرى غۇلاپ چۈشتى، زىلزىلەدە يەتتە مىڭ ئادەم ئۆلتۈرۈلدى؛ قالغانلىرى قاتتىق ۋەھىمىگە چۈشۈپ، ئاسماننىڭ خۇداسىغا شان-شەرەپ بەردى. ۋەھىي 11:13.</w:t>
      </w:r>
    </w:p>
    <w:p>
      <w:pPr>
        <w:pStyle w:val="ArticleBody"/>
        <w:jc w:val="left"/>
      </w:pPr>
      <w:r>
        <w:rPr>
          <w:rFonts w:ascii="Microsoft YaHei" w:hAnsi="Microsoft YaHei" w:eastAsia="Microsoft YaHei" w:cs="Microsoft YaHei"/>
        </w:rPr>
        <w:t>合</w:t>
      </w:r>
      <w:r>
        <w:rPr>
          <w:rFonts w:ascii="Leelawadee UI" w:hAnsi="Leelawadee UI" w:eastAsia="Leelawadee UI" w:cs="Leelawadee UI"/>
        </w:rPr>
        <w:t>គ្រាន់តែបន្ទាប់ពីខនេះ</w:t>
      </w:r>
      <w:r>
        <w:rPr>
          <w:rFonts w:ascii="Times New Roman" w:hAnsi="Times New Roman" w:eastAsia="Times New Roman" w:cs="Times New Roman"/>
        </w:rPr>
        <w:t xml:space="preserve"> </w:t>
      </w:r>
      <w:r>
        <w:rPr>
          <w:rFonts w:ascii="Leelawadee UI" w:hAnsi="Leelawadee UI" w:eastAsia="Leelawadee UI" w:cs="Leelawadee UI"/>
        </w:rPr>
        <w:t>សាសនាឥស្លាមនៃវិបត្តិទីបីបានមកដល់។</w:t>
      </w:r>
    </w:p>
    <w:p>
      <w:pPr>
        <w:pStyle w:val="ArticleScripture"/>
        <w:jc w:val="left"/>
      </w:pPr>
      <w:r>
        <w:rPr>
          <w:rFonts w:ascii="Times New Roman" w:hAnsi="Times New Roman" w:eastAsia="Times New Roman" w:cs="Times New Roman"/>
        </w:rPr>
        <w:t>Le deuxième malheur est passé; et voici, le troisième malheur vient bientôt. Apocalypse 11:14.</w:t>
      </w:r>
    </w:p>
    <w:p>
      <w:pPr>
        <w:pStyle w:val="ArticleBody"/>
        <w:jc w:val="left"/>
      </w:pPr>
      <w:r>
        <w:rPr>
          <w:rFonts w:ascii="Times New Roman" w:hAnsi="Times New Roman" w:eastAsia="Times New Roman" w:cs="Times New Roman"/>
        </w:rPr>
        <w:t>Les pionniers s’attendaient à ce que « le troisième malheur » suive immédiatement le second malheur, mais le mot traduit par « bientôt » signifie soudainement et de manière inattendue, ce qui est la caractéristique des attaques-surprises de l’islam. Le troisième malheur ne devait pas survenir le 22 octobre 1844, comme les pionniers le conjecturaient, mais lorsqu’il surviendrait, cela arriverait « soudainement et de manière inattendue », comme ce fut le cas lors du 11 septembre, marquant ainsi le commencement du scellement des cent quarante-quatre mille, lequel s’achève peu avant le tremblement de terre de la loi du dimanche.</w:t>
      </w:r>
    </w:p>
    <w:p>
      <w:pPr>
        <w:pStyle w:val="ArticleBody"/>
        <w:jc w:val="left"/>
      </w:pPr>
      <w:r>
        <w:rPr>
          <w:rFonts w:ascii="Times New Roman" w:hAnsi="Times New Roman" w:eastAsia="Times New Roman" w:cs="Times New Roman"/>
        </w:rPr>
        <w:t>“</w:t>
      </w:r>
      <w:r>
        <w:rPr>
          <w:rFonts w:ascii="Nirmala UI" w:hAnsi="Nirmala UI" w:eastAsia="Nirmala UI" w:cs="Nirmala UI"/>
        </w:rPr>
        <w:t>ভূমিকম্প</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আইনকে</w:t>
      </w:r>
      <w:r>
        <w:rPr>
          <w:rFonts w:ascii="Times New Roman" w:hAnsi="Times New Roman" w:eastAsia="Times New Roman" w:cs="Times New Roman"/>
        </w:rPr>
        <w:t xml:space="preserve"> </w:t>
      </w:r>
      <w:r>
        <w:rPr>
          <w:rFonts w:ascii="Nirmala UI" w:hAnsi="Nirmala UI" w:eastAsia="Nirmala UI" w:cs="Nirmala UI"/>
        </w:rPr>
        <w:t>বোঝানো</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 xml:space="preserve"> </w:t>
      </w:r>
      <w:r>
        <w:rPr>
          <w:rFonts w:ascii="Nirmala UI" w:hAnsi="Nirmala UI" w:eastAsia="Nirmala UI" w:cs="Nirmala UI"/>
        </w:rPr>
        <w:t>কাঁপন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9/11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উঠেছিলেন</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ভয়ঙ্করভাবে</w:t>
      </w:r>
      <w:r>
        <w:rPr>
          <w:rFonts w:ascii="Times New Roman" w:hAnsi="Times New Roman" w:eastAsia="Times New Roman" w:cs="Times New Roman"/>
        </w:rPr>
        <w:t xml:space="preserve"> </w:t>
      </w:r>
      <w:r>
        <w:rPr>
          <w:rFonts w:ascii="Nirmala UI" w:hAnsi="Nirmala UI" w:eastAsia="Nirmala UI" w:cs="Nirmala UI"/>
        </w:rPr>
        <w:t>কাঁপিয়ে</w:t>
      </w:r>
      <w:r>
        <w:rPr>
          <w:rFonts w:ascii="Times New Roman" w:hAnsi="Times New Roman" w:eastAsia="Times New Roman" w:cs="Times New Roman"/>
        </w:rPr>
        <w:t xml:space="preserve"> </w:t>
      </w:r>
      <w:r>
        <w:rPr>
          <w:rFonts w:ascii="Nirmala UI" w:hAnsi="Nirmala UI" w:eastAsia="Nirmala UI" w:cs="Nirmala UI"/>
        </w:rPr>
        <w:t>তুলতে।</w:t>
      </w:r>
      <w:r>
        <w:rPr>
          <w:rFonts w:ascii="Times New Roman" w:hAnsi="Times New Roman" w:eastAsia="Times New Roman" w:cs="Times New Roman"/>
        </w:rPr>
        <w:t xml:space="preserve">” </w:t>
      </w:r>
      <w:r>
        <w:rPr>
          <w:rFonts w:ascii="Nirmala UI" w:hAnsi="Nirmala UI" w:eastAsia="Nirmala UI" w:cs="Nirmala UI"/>
        </w:rPr>
        <w:t>সিলমোহরকরণের</w:t>
      </w:r>
      <w:r>
        <w:rPr>
          <w:rFonts w:ascii="Times New Roman" w:hAnsi="Times New Roman" w:eastAsia="Times New Roman" w:cs="Times New Roman"/>
        </w:rPr>
        <w:t xml:space="preserve"> </w:t>
      </w:r>
      <w:r>
        <w:rPr>
          <w:rFonts w:ascii="Nirmala UI" w:hAnsi="Nirmala UI" w:eastAsia="Nirmala UI" w:cs="Nirmala UI"/>
        </w:rPr>
        <w:t>শুরুতে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শেষেও</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কাঁপিত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w:t>
      </w:r>
      <w:r>
        <w:rPr>
          <w:rFonts w:ascii="Nirmala UI" w:hAnsi="Nirmala UI" w:eastAsia="Nirmala UI" w:cs="Nirmala UI"/>
        </w:rPr>
        <w:t>মহাভূমিকম্প।</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Je n’ai jamais dit cela. J’ai dit, tandis que je regardais les grands édifices s’élever là, étage après étage : “Quelles scènes terribles auront lieu lorsque le Seigneur se lèvera pour ébranler puissamment la terre ! Alors les paroles d’Apocalypse 18:1–3 s’accompliront.” » Review and Herald, 5 juillet 1906.</w:t>
      </w:r>
    </w:p>
    <w:p>
      <w:pPr>
        <w:pStyle w:val="ArticleBody"/>
        <w:jc w:val="left"/>
      </w:pPr>
      <w:r>
        <w:rPr>
          <w:rFonts w:ascii="Times New Roman" w:hAnsi="Times New Roman" w:eastAsia="Times New Roman" w:cs="Times New Roman"/>
        </w:rPr>
        <w:t>Seigneur « se lève » lorsqu’il se produit un changement dans son œuvre dispensationnelle, comme ce fut le cas lorsque Étienne fut lapidé le 22 octobre 1844, lorsque le jugement des morts commença. Lorsque le jugement des vivants débuta le 11/9, le Seigneur se leva de nouveau, et alors il ébranla la bête de la terre, comme il le fera à la fin du scellement des cent quarante-quatre mille, lorsqu’il fera passer son œuvre dispensationnelle de son Église à son autre troupeau, celui de ceux qui sont encore à Babylone.</w:t>
      </w:r>
    </w:p>
    <w:p>
      <w:pPr>
        <w:pStyle w:val="ArticleBody"/>
        <w:jc w:val="left"/>
      </w:pPr>
      <w:r>
        <w:rPr>
          <w:rFonts w:ascii="Times New Roman" w:hAnsi="Times New Roman" w:eastAsia="Times New Roman" w:cs="Times New Roman"/>
        </w:rPr>
        <w:t>Ce que le frère Daniel a découvert, ce sont les caractéristiques du premier malheur, lesquelles s’accordent avec le témoignage du « grand tremblement de terre » du chapitre onze, en harmonie avec l’histoire et avec la compréhension qu’avaient les pionniers de l’histoire qui accomplit le premier malheur.</w:t>
      </w:r>
    </w:p>
    <w:p>
      <w:pPr>
        <w:pStyle w:val="ArticleScripture"/>
        <w:jc w:val="left"/>
      </w:pPr>
      <w:r>
        <w:rPr>
          <w:rFonts w:ascii="Times New Roman" w:hAnsi="Times New Roman" w:eastAsia="Times New Roman" w:cs="Times New Roman"/>
        </w:rPr>
        <w:t>Na malaika wa tano akapiga baragumu, nami nikaona nyota iliyoanguka kutoka mbinguni hata nchi; naye akapewa ufunguo wa shimo lisilo na mwisho. Akalifungua hilo shimo lisilo na mwisho; na moshi ukapanda kutoka shimoni, kama moshi wa tanuru kubwa; na jua na hewa vikatiwa giza kwa sababu ya moshi wa shimo. Na kutoka katika huo moshi wakatoka nzige wakaingia juu ya nchi; nao wakapewa uwezo, kama nge wa nchi walivyo na uwezo. Nao wakaamriwa wasidhuru majani ya nchi, wala kitu chochote kilicho kibichi, wala mti wowote; ila wale watu tu wasio na muhuri wa Mungu katika vipaji vya nyuso zao. Ufunuo 9:1–4.</w:t>
      </w:r>
    </w:p>
    <w:p>
      <w:pPr>
        <w:pStyle w:val="ArticleBody"/>
        <w:jc w:val="left"/>
      </w:pPr>
      <w:r>
        <w:rPr>
          <w:rFonts w:ascii="Times New Roman" w:hAnsi="Times New Roman" w:eastAsia="Times New Roman" w:cs="Times New Roman"/>
        </w:rPr>
        <w:t>Les pionniers appliquèrent à juste titre ces versets à l’histoire qui introduisit Mohammed, lequel naquit en 570, unifia les tribus en 606, reçut sa première révélation en 610, migra vers Médine en 622, commença sa guerre en 624 et mourut en 632. L’« abîme » représente prophétiquement une nouvelle manifestation de Satan, mais Mohammed commença en Arabie, également connue comme l’abîme en raison de ses vastes déserts.</w:t>
      </w:r>
    </w:p>
    <w:p>
      <w:pPr>
        <w:pStyle w:val="ArticleBody"/>
        <w:jc w:val="left"/>
      </w:pPr>
      <w:r>
        <w:rPr>
          <w:rFonts w:ascii="Times New Roman" w:hAnsi="Times New Roman" w:eastAsia="Times New Roman" w:cs="Times New Roman"/>
        </w:rPr>
        <w:t>Mohammed devint le roi prophétique, ou, selon l’appellation qu’on lui donna, « le digne de confiance », en 606, lorsqu’il résolut un différend entre les diverses tribus qui se trouvaient dans l’embarras quant à savoir à qui il serait permis de remettre en place la pierre angulaire de la Kaaba, la « pierre noire ». La Kaaba est un édifice en forme de cube — d’où le nom « Kaaba », qui signifie « cube » en arabe — situé au centre de la Grande Mosquée de La Mecque, en Arabie saoudite. Elle mesure environ 43 pieds de haut, 11 pieds de large et 10 pieds de long; elle est construite en granit et en marbre, et recouverte d’une étoffe noire de soie et de coton. La Kaaba existait bien avant Muhammad et, selon la tradition islamique, elle fut originellement bâtie par Abraham et son fils Ismaël comme maison d’adoration du Dieu unique (Allah). Au fil des siècles, elle se remplit d’idoles et fut utilisée comme sanctuaire païen par les tribus arabes.</w:t>
      </w:r>
    </w:p>
    <w:p>
      <w:pPr>
        <w:pStyle w:val="ArticleBody"/>
        <w:jc w:val="left"/>
      </w:pPr>
      <w:r>
        <w:rPr>
          <w:rFonts w:ascii="Times New Roman" w:hAnsi="Times New Roman" w:eastAsia="Times New Roman" w:cs="Times New Roman"/>
        </w:rPr>
        <w:t>الكعبة هي المركز الروحي للعالم الإسلامي—بناء بسيط عريق يرمز إلى التوحيد، والوحدة، والصلة بين الإيمان الإبراهيمي والإسلام. ولا يعدّها المسلمون «بيت الله» بالمعنى الحرفي، بل قبلةً عيّنها الله للعبادة. وكانت أفعال محمد، خلال الفترة التي كانت فيها الكعبة قد هُدمت ثم أُعيد بناؤها، هي الموضع الذي بدأت منه قيادته.</w:t>
      </w:r>
    </w:p>
    <w:p>
      <w:pPr>
        <w:pStyle w:val="ArticleBody"/>
        <w:jc w:val="left"/>
      </w:pP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ଆକସ୍ମିକ</w:t>
      </w:r>
      <w:r>
        <w:rPr>
          <w:rFonts w:ascii="Times New Roman" w:hAnsi="Times New Roman" w:eastAsia="Times New Roman" w:cs="Times New Roman"/>
        </w:rPr>
        <w:t xml:space="preserve"> </w:t>
      </w:r>
      <w:r>
        <w:rPr>
          <w:rFonts w:ascii="Nirmala UI" w:hAnsi="Nirmala UI" w:eastAsia="Nirmala UI" w:cs="Nirmala UI"/>
        </w:rPr>
        <w:t>ବନ୍ୟା</w:t>
      </w:r>
      <w:r>
        <w:rPr>
          <w:rFonts w:ascii="Times New Roman" w:hAnsi="Times New Roman" w:eastAsia="Times New Roman" w:cs="Times New Roman"/>
        </w:rPr>
        <w:t xml:space="preserve"> </w:t>
      </w:r>
      <w:r>
        <w:rPr>
          <w:rFonts w:ascii="Nirmala UI" w:hAnsi="Nirmala UI" w:eastAsia="Nirmala UI" w:cs="Nirmala UI"/>
        </w:rPr>
        <w:t>କାଆବାକୁ</w:t>
      </w:r>
      <w:r>
        <w:rPr>
          <w:rFonts w:ascii="Times New Roman" w:hAnsi="Times New Roman" w:eastAsia="Times New Roman" w:cs="Times New Roman"/>
        </w:rPr>
        <w:t xml:space="preserve"> </w:t>
      </w:r>
      <w:r>
        <w:rPr>
          <w:rFonts w:ascii="Nirmala UI" w:hAnsi="Nirmala UI" w:eastAsia="Nirmala UI" w:cs="Nirmala UI"/>
        </w:rPr>
        <w:t>କ୍ଷତିଗ୍ରସ୍ତ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କୁରାଇଶ</w:t>
      </w:r>
      <w:r>
        <w:rPr>
          <w:rFonts w:ascii="Times New Roman" w:hAnsi="Times New Roman" w:eastAsia="Times New Roman" w:cs="Times New Roman"/>
        </w:rPr>
        <w:t xml:space="preserve"> </w:t>
      </w:r>
      <w:r>
        <w:rPr>
          <w:rFonts w:ascii="Nirmala UI" w:hAnsi="Nirmala UI" w:eastAsia="Nirmala UI" w:cs="Nirmala UI"/>
        </w:rPr>
        <w:t>ଗୋଷ୍ଠୀ</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ପୁନର୍ନିର୍ମାଣ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ଅଲ</w:t>
      </w:r>
      <w:r>
        <w:rPr>
          <w:rFonts w:ascii="Times New Roman" w:hAnsi="Times New Roman" w:eastAsia="Times New Roman" w:cs="Times New Roman"/>
        </w:rPr>
        <w:t>-</w:t>
      </w:r>
      <w:r>
        <w:rPr>
          <w:rFonts w:ascii="Nirmala UI" w:hAnsi="Nirmala UI" w:eastAsia="Nirmala UI" w:cs="Nirmala UI"/>
        </w:rPr>
        <w:t>ଆସୱଦ</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କୋଣରେ</w:t>
      </w:r>
      <w:r>
        <w:rPr>
          <w:rFonts w:ascii="Times New Roman" w:hAnsi="Times New Roman" w:eastAsia="Times New Roman" w:cs="Times New Roman"/>
        </w:rPr>
        <w:t xml:space="preserve"> </w:t>
      </w:r>
      <w:r>
        <w:rPr>
          <w:rFonts w:ascii="Nirmala UI" w:hAnsi="Nirmala UI" w:eastAsia="Nirmala UI" w:cs="Nirmala UI"/>
        </w:rPr>
        <w:t>ପୁନଃ</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ଆସିଲା</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କୁଳମାନେ</w:t>
      </w:r>
      <w:r>
        <w:rPr>
          <w:rFonts w:ascii="Times New Roman" w:hAnsi="Times New Roman" w:eastAsia="Times New Roman" w:cs="Times New Roman"/>
        </w:rPr>
        <w:t xml:space="preserve"> </w:t>
      </w:r>
      <w:r>
        <w:rPr>
          <w:rFonts w:ascii="Nirmala UI" w:hAnsi="Nirmala UI" w:eastAsia="Nirmala UI" w:cs="Nirmala UI"/>
        </w:rPr>
        <w:t>କାହାକୁ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ସମ୍ମାନ</w:t>
      </w:r>
      <w:r>
        <w:rPr>
          <w:rFonts w:ascii="Times New Roman" w:hAnsi="Times New Roman" w:eastAsia="Times New Roman" w:cs="Times New Roman"/>
        </w:rPr>
        <w:t xml:space="preserve"> </w:t>
      </w:r>
      <w:r>
        <w:rPr>
          <w:rFonts w:ascii="Nirmala UI" w:hAnsi="Nirmala UI" w:eastAsia="Nirmala UI" w:cs="Nirmala UI"/>
        </w:rPr>
        <w:t>ମିଳିବ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ନେଇ</w:t>
      </w:r>
      <w:r>
        <w:rPr>
          <w:rFonts w:ascii="Times New Roman" w:hAnsi="Times New Roman" w:eastAsia="Times New Roman" w:cs="Times New Roman"/>
        </w:rPr>
        <w:t xml:space="preserve"> </w:t>
      </w:r>
      <w:r>
        <w:rPr>
          <w:rFonts w:ascii="Nirmala UI" w:hAnsi="Nirmala UI" w:eastAsia="Nirmala UI" w:cs="Nirmala UI"/>
        </w:rPr>
        <w:t>ବିବାଦ</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ନିଷ୍ପତ୍ତିରେ</w:t>
      </w:r>
      <w:r>
        <w:rPr>
          <w:rFonts w:ascii="Times New Roman" w:hAnsi="Times New Roman" w:eastAsia="Times New Roman" w:cs="Times New Roman"/>
        </w:rPr>
        <w:t xml:space="preserve"> </w:t>
      </w:r>
      <w:r>
        <w:rPr>
          <w:rFonts w:ascii="Nirmala UI" w:hAnsi="Nirmala UI" w:eastAsia="Nirmala UI" w:cs="Nirmala UI"/>
        </w:rPr>
        <w:t>ପହଞ୍ଚିଲେ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ବ୍ୟକ୍ତି</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ସିଦ୍ଧାନ୍ତ</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ମହମ୍ମଦ</w:t>
      </w:r>
      <w:r>
        <w:rPr>
          <w:rFonts w:ascii="Times New Roman" w:hAnsi="Times New Roman" w:eastAsia="Times New Roman" w:cs="Times New Roman"/>
        </w:rPr>
        <w:t xml:space="preserve"> </w:t>
      </w:r>
      <w:r>
        <w:rPr>
          <w:rFonts w:ascii="Nirmala UI" w:hAnsi="Nirmala UI" w:eastAsia="Nirmala UI" w:cs="Nirmala UI"/>
        </w:rPr>
        <w:t>ସେଠାକୁ</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ଜ୍ଞାନପୂର୍ଣ୍ଣ</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ବିବାଦଟିର</w:t>
      </w:r>
      <w:r>
        <w:rPr>
          <w:rFonts w:ascii="Times New Roman" w:hAnsi="Times New Roman" w:eastAsia="Times New Roman" w:cs="Times New Roman"/>
        </w:rPr>
        <w:t xml:space="preserve"> </w:t>
      </w:r>
      <w:r>
        <w:rPr>
          <w:rFonts w:ascii="Nirmala UI" w:hAnsi="Nirmala UI" w:eastAsia="Nirmala UI" w:cs="Nirmala UI"/>
        </w:rPr>
        <w:t>ସମାଧାନ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ପଥରକୁ</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ବସ୍ତ୍ର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ରଖିଲେ</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କୁଳରୁ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ପ୍ରତିନିଧିକୁ</w:t>
      </w:r>
      <w:r>
        <w:rPr>
          <w:rFonts w:ascii="Times New Roman" w:hAnsi="Times New Roman" w:eastAsia="Times New Roman" w:cs="Times New Roman"/>
        </w:rPr>
        <w:t xml:space="preserve"> </w:t>
      </w:r>
      <w:r>
        <w:rPr>
          <w:rFonts w:ascii="Nirmala UI" w:hAnsi="Nirmala UI" w:eastAsia="Nirmala UI" w:cs="Nirmala UI"/>
        </w:rPr>
        <w:t>ସେଥିକୁ</w:t>
      </w:r>
      <w:r>
        <w:rPr>
          <w:rFonts w:ascii="Times New Roman" w:hAnsi="Times New Roman" w:eastAsia="Times New Roman" w:cs="Times New Roman"/>
        </w:rPr>
        <w:t xml:space="preserve"> </w:t>
      </w:r>
      <w:r>
        <w:rPr>
          <w:rFonts w:ascii="Nirmala UI" w:hAnsi="Nirmala UI" w:eastAsia="Nirmala UI" w:cs="Nirmala UI"/>
        </w:rPr>
        <w:t>ଏକାସାଥି</w:t>
      </w:r>
      <w:r>
        <w:rPr>
          <w:rFonts w:ascii="Times New Roman" w:hAnsi="Times New Roman" w:eastAsia="Times New Roman" w:cs="Times New Roman"/>
        </w:rPr>
        <w:t xml:space="preserve"> </w:t>
      </w:r>
      <w:r>
        <w:rPr>
          <w:rFonts w:ascii="Nirmala UI" w:hAnsi="Nirmala UI" w:eastAsia="Nirmala UI" w:cs="Nirmala UI"/>
        </w:rPr>
        <w:t>ଉଠାଇବାକୁ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ଏକାସାଥି</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ବହନ</w:t>
      </w:r>
      <w:r>
        <w:rPr>
          <w:rFonts w:ascii="Times New Roman" w:hAnsi="Times New Roman" w:eastAsia="Times New Roman" w:cs="Times New Roman"/>
        </w:rPr>
        <w:t xml:space="preserve"> </w:t>
      </w:r>
      <w:r>
        <w:rPr>
          <w:rFonts w:ascii="Nirmala UI" w:hAnsi="Nirmala UI" w:eastAsia="Nirmala UI" w:cs="Nirmala UI"/>
        </w:rPr>
        <w:t>କରାଇଲେ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ନିର୍ଦ୍ଦିଷ୍ଟ</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ଘଟଣା</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ମକ୍କାର</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ବହୁତ</w:t>
      </w:r>
      <w:r>
        <w:rPr>
          <w:rFonts w:ascii="Times New Roman" w:hAnsi="Times New Roman" w:eastAsia="Times New Roman" w:cs="Times New Roman"/>
        </w:rPr>
        <w:t xml:space="preserve"> </w:t>
      </w:r>
      <w:r>
        <w:rPr>
          <w:rFonts w:ascii="Nirmala UI" w:hAnsi="Nirmala UI" w:eastAsia="Nirmala UI" w:cs="Nirmala UI"/>
        </w:rPr>
        <w:t>ସମ୍ମାନ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ଆଲ</w:t>
      </w:r>
      <w:r>
        <w:rPr>
          <w:rFonts w:ascii="Times New Roman" w:hAnsi="Times New Roman" w:eastAsia="Times New Roman" w:cs="Times New Roman"/>
        </w:rPr>
        <w:t>-</w:t>
      </w:r>
      <w:r>
        <w:rPr>
          <w:rFonts w:ascii="Nirmala UI" w:hAnsi="Nirmala UI" w:eastAsia="Nirmala UI" w:cs="Nirmala UI"/>
        </w:rPr>
        <w:t>ଆମିନ</w:t>
      </w:r>
      <w:r>
        <w:rPr>
          <w:rFonts w:ascii="Times New Roman" w:hAnsi="Times New Roman" w:eastAsia="Times New Roman" w:cs="Times New Roman"/>
        </w:rPr>
        <w:t xml:space="preserve"> (“</w:t>
      </w:r>
      <w:r>
        <w:rPr>
          <w:rFonts w:ascii="Nirmala UI" w:hAnsi="Nirmala UI" w:eastAsia="Nirmala UI" w:cs="Nirmala UI"/>
        </w:rPr>
        <w:t>ବିଶ୍ୱସ୍ତ</w:t>
      </w:r>
      <w:r>
        <w:rPr>
          <w:rFonts w:ascii="Times New Roman" w:hAnsi="Times New Roman" w:eastAsia="Times New Roman" w:cs="Times New Roman"/>
        </w:rPr>
        <w:t xml:space="preserve">”) </w:t>
      </w:r>
      <w:r>
        <w:rPr>
          <w:rFonts w:ascii="Nirmala UI" w:hAnsi="Nirmala UI" w:eastAsia="Nirmala UI" w:cs="Nirmala UI"/>
        </w:rPr>
        <w:t>ଉପାଧି</w:t>
      </w:r>
      <w:r>
        <w:rPr>
          <w:rFonts w:ascii="Times New Roman" w:hAnsi="Times New Roman" w:eastAsia="Times New Roman" w:cs="Times New Roman"/>
        </w:rPr>
        <w:t xml:space="preserve"> </w:t>
      </w:r>
      <w:r>
        <w:rPr>
          <w:rFonts w:ascii="Nirmala UI" w:hAnsi="Nirmala UI" w:eastAsia="Nirmala UI" w:cs="Nirmala UI"/>
        </w:rPr>
        <w:t>ଦେଲା।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କାଳକ୍ରମରେ</w:t>
      </w:r>
      <w:r>
        <w:rPr>
          <w:rFonts w:ascii="Times New Roman" w:hAnsi="Times New Roman" w:eastAsia="Times New Roman" w:cs="Times New Roman"/>
        </w:rPr>
        <w:t xml:space="preserve"> </w:t>
      </w:r>
      <w:r>
        <w:rPr>
          <w:rFonts w:ascii="Nirmala UI" w:hAnsi="Nirmala UI" w:eastAsia="Nirmala UI" w:cs="Nirmala UI"/>
        </w:rPr>
        <w:t>ଉଲ୍ଲେଖିତ</w:t>
      </w:r>
      <w:r>
        <w:rPr>
          <w:rFonts w:ascii="Times New Roman" w:hAnsi="Times New Roman" w:eastAsia="Times New Roman" w:cs="Times New Roman"/>
        </w:rPr>
        <w:t xml:space="preserve"> </w:t>
      </w:r>
      <w:r>
        <w:rPr>
          <w:rFonts w:ascii="Nirmala UI" w:hAnsi="Nirmala UI" w:eastAsia="Nirmala UI" w:cs="Nirmala UI"/>
        </w:rPr>
        <w:t>ମୁଖ୍ୟ</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w:t>
      </w:r>
      <w:r>
        <w:rPr>
          <w:rFonts w:ascii="Nirmala UI" w:hAnsi="Nirmala UI" w:eastAsia="Nirmala UI" w:cs="Nirmala UI"/>
        </w:rPr>
        <w:t>ଭବିଷ୍ୟଦ୍ଦର୍ଶୀୟ</w:t>
      </w:r>
      <w:r>
        <w:rPr>
          <w:rFonts w:ascii="Times New Roman" w:hAnsi="Times New Roman" w:eastAsia="Times New Roman" w:cs="Times New Roman"/>
        </w:rPr>
        <w:t xml:space="preserve"> </w:t>
      </w:r>
      <w:r>
        <w:rPr>
          <w:rFonts w:ascii="Nirmala UI" w:hAnsi="Nirmala UI" w:eastAsia="Nirmala UI" w:cs="Nirmala UI"/>
        </w:rPr>
        <w:t>ଘଟଣାମାନଙ୍କ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କୋଣଶିଳା</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ମହମ୍ମଦ</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ଭବିଷ୍ୟଦ୍ଦର୍ଶୀ</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ଅଟନ୍ତି।</w:t>
      </w:r>
      <w:r>
        <w:rPr>
          <w:rFonts w:ascii="Times New Roman" w:hAnsi="Times New Roman" w:eastAsia="Times New Roman" w:cs="Times New Roman"/>
        </w:rPr>
        <w:t xml:space="preserve"> </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କୋଣଶିଳା</w:t>
      </w:r>
      <w:r>
        <w:rPr>
          <w:rFonts w:ascii="Times New Roman" w:hAnsi="Times New Roman" w:eastAsia="Times New Roman" w:cs="Times New Roman"/>
        </w:rPr>
        <w:t xml:space="preserve"> </w:t>
      </w:r>
      <w:r>
        <w:rPr>
          <w:rFonts w:ascii="Nirmala UI" w:hAnsi="Nirmala UI" w:eastAsia="Nirmala UI" w:cs="Nirmala UI"/>
        </w:rPr>
        <w:t>କ୍ରିଷ୍ଟଙ୍କର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କୋଣଶିଳା</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ପ୍ରକାଶ୍ୟ</w:t>
      </w:r>
      <w:r>
        <w:rPr>
          <w:rFonts w:ascii="Times New Roman" w:hAnsi="Times New Roman" w:eastAsia="Times New Roman" w:cs="Times New Roman"/>
        </w:rPr>
        <w:t xml:space="preserve"> </w:t>
      </w:r>
      <w:r>
        <w:rPr>
          <w:rFonts w:ascii="Nirmala UI" w:hAnsi="Nirmala UI" w:eastAsia="Nirmala UI" w:cs="Nirmala UI"/>
        </w:rPr>
        <w:t>ଜାଲି</w:t>
      </w:r>
      <w:r>
        <w:rPr>
          <w:rFonts w:ascii="Times New Roman" w:hAnsi="Times New Roman" w:eastAsia="Times New Roman" w:cs="Times New Roman"/>
        </w:rPr>
        <w:t xml:space="preserve"> </w:t>
      </w:r>
      <w:r>
        <w:rPr>
          <w:rFonts w:ascii="Nirmala UI" w:hAnsi="Nirmala UI" w:eastAsia="Nirmala UI" w:cs="Nirmala UI"/>
        </w:rPr>
        <w:t>ଅନୁକରଣ</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ବର୍ଷକାଳ</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ମୂର୍ତ୍ତିମାନଙ୍କ</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କାଆବାର</w:t>
      </w:r>
      <w:r>
        <w:rPr>
          <w:rFonts w:ascii="Times New Roman" w:hAnsi="Times New Roman" w:eastAsia="Times New Roman" w:cs="Times New Roman"/>
        </w:rPr>
        <w:t xml:space="preserve"> </w:t>
      </w:r>
      <w:r>
        <w:rPr>
          <w:rFonts w:ascii="Nirmala UI" w:hAnsi="Nirmala UI" w:eastAsia="Nirmala UI" w:cs="Nirmala UI"/>
        </w:rPr>
        <w:t>ଗୃହର</w:t>
      </w:r>
      <w:r>
        <w:rPr>
          <w:rFonts w:ascii="Times New Roman" w:hAnsi="Times New Roman" w:eastAsia="Times New Roman" w:cs="Times New Roman"/>
        </w:rPr>
        <w:t xml:space="preserve"> </w:t>
      </w:r>
      <w:r>
        <w:rPr>
          <w:rFonts w:ascii="Nirmala UI" w:hAnsi="Nirmala UI" w:eastAsia="Nirmala UI" w:cs="Nirmala UI"/>
        </w:rPr>
        <w:t>ଦୂଷଣ</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ମହମ୍ମଦଙ୍କ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ସମାଧାନ</w:t>
      </w:r>
      <w:r>
        <w:rPr>
          <w:rFonts w:ascii="Times New Roman" w:hAnsi="Times New Roman" w:eastAsia="Times New Roman" w:cs="Times New Roman"/>
        </w:rPr>
        <w:t xml:space="preserve"> </w:t>
      </w:r>
      <w:r>
        <w:rPr>
          <w:rFonts w:ascii="Nirmala UI" w:hAnsi="Nirmala UI" w:eastAsia="Nirmala UI" w:cs="Nirmala UI"/>
        </w:rPr>
        <w:t>କରାଯାଇଥିଲା।</w:t>
      </w:r>
    </w:p>
    <w:p>
      <w:pPr>
        <w:pStyle w:val="ArticleBody"/>
        <w:jc w:val="left"/>
      </w:pPr>
      <w:r>
        <w:rPr>
          <w:rFonts w:ascii="Times New Roman" w:hAnsi="Times New Roman" w:eastAsia="Times New Roman" w:cs="Times New Roman"/>
        </w:rPr>
        <w:t>Ni nyuma y’uko Abakurayshi barenze ku Masezerano ya Hudaybiyyah, Muhammad yerekeje i Makka ayoboye ingabo z’Abayisilamu bagera ku 10,000. Uwo mujyi wemeye kwishyira mu maboko ye habayeho imirwano mike cyane. Hanyuma Muhammad yinjiye muri Kaaba, asenya ibigirwamana 360 byari birimo, maze yegurira uwo mutambiro bundi bushya ugusengwa kw’Imana imwe rukumbi (Allah). Bityo, Mohammed umwami wa Isilamu, ashyiraho ibuye ry’imfuruka, kandi yeza urusengero arukuramo gusenga ibigirwamana.</w:t>
      </w:r>
    </w:p>
    <w:p>
      <w:pPr>
        <w:pStyle w:val="ArticleBody"/>
        <w:jc w:val="left"/>
      </w:pP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परमप्रधान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बैठना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Wie bist du vom Himmel gefallen, o Luzifer, Sohn der Morgenröte! Wie bist du zu Boden geschmettert, der du die Nationen schwächtest! Denn du sprachst in deinem Herzen: Ich will zum Himmel emporsteigen, ich will meinen Thron über die Sterne Gottes erhöhen; auch will ich mich setzen auf den Berg der Versammlung, an die fernsten Seiten des Nordens; ich will emporsteigen über die Höhen der Wolken; ich will dem Höchsten gleich sein. Doch hinabgestürzt wirst du ins Totenreich, an die fernsten Seiten der Grube. Jesaja 14,12–15.</w:t>
      </w:r>
    </w:p>
    <w:p>
      <w:pPr>
        <w:pStyle w:val="ArticleBody"/>
        <w:jc w:val="left"/>
      </w:pPr>
      <w:r>
        <w:rPr>
          <w:rFonts w:ascii="Times New Roman" w:hAnsi="Times New Roman" w:eastAsia="Times New Roman" w:cs="Times New Roman"/>
        </w:rPr>
        <w:t>Le dragon de l’athéisme est monté de l’abîme dans Apocalypse 11, et la bête du catholicisme monte de l’abîme lorsque sa blessure mortelle est guérie.</w:t>
      </w:r>
    </w:p>
    <w:p>
      <w:pPr>
        <w:pStyle w:val="ArticleScripture"/>
        <w:jc w:val="left"/>
      </w:pPr>
      <w:r>
        <w:rPr>
          <w:rFonts w:ascii="Times New Roman" w:hAnsi="Times New Roman" w:eastAsia="Times New Roman" w:cs="Times New Roman"/>
        </w:rPr>
        <w:t>بەهیمەکەی کە بینییت، هەبوو و ئێستا نییە؛ و لە چاڵی بێ‌بن دەردەچێت و بۆ لەناوچوون دەڕوات؛ و ئەوانەی لەسەر زەوی نیشتەجێن سەرسام دەبن، ئەوانەی ناوەکانیان لە دامەزراندنی جیهانەوە لە پەرتووکی ژیاندا نەنووسراون، کاتێک تەماشای ئەو بەهیمە دەکەن کە هەبوو و ئێستا نییە، و هەرچەندە هەیە. ئاشکراکردنی 17:8</w:t>
      </w:r>
    </w:p>
    <w:p>
      <w:pPr>
        <w:pStyle w:val="ArticleBody"/>
        <w:jc w:val="left"/>
      </w:pPr>
      <w:r>
        <w:rPr>
          <w:rFonts w:ascii="Times New Roman" w:hAnsi="Times New Roman" w:eastAsia="Times New Roman" w:cs="Times New Roman"/>
        </w:rPr>
        <w:t>Ny bibi-dia ao amin’ny Katolisisma dia miakatra eo amin’ny seza fiandrianan’ny tany amin’ny lalàn’ny Alahady, rehefa tafapetraka ilay firaisana telo sosona. Tahaka ilay dragona, ny Katolisisma dia milaza ny tenany ho Andriamanitra, araka izay nolazain’i Paoly tamin’ny fomba tena mazava.</w:t>
      </w:r>
    </w:p>
    <w:p>
      <w:pPr>
        <w:pStyle w:val="ArticleScripture"/>
        <w:jc w:val="left"/>
      </w:pPr>
      <w:r>
        <w:rPr>
          <w:rFonts w:ascii="Times New Roman" w:hAnsi="Times New Roman" w:eastAsia="Times New Roman" w:cs="Times New Roman"/>
        </w:rPr>
        <w:t>Que nul ne vous séduise d’aucune manière; car ce jour ne viendra pas, qu’il n’y ait auparavant l’apostasie, et qu’ait été révélé l’homme du péché, le fils de perdition, lequel s’oppose et s’élève au-dessus de tout ce qu’on appelle Dieu, ou de ce qu’on adore; jusqu’à s’asseoir, comme Dieu, dans le temple de Dieu, se présentant lui-même comme étant Dieu. 2 Thessaloniciens 2:3, 4.</w:t>
      </w:r>
    </w:p>
    <w:p>
      <w:pPr>
        <w:pStyle w:val="ArticleBody"/>
        <w:jc w:val="left"/>
      </w:pPr>
      <w:r>
        <w:rPr>
          <w:rFonts w:ascii="Times New Roman" w:hAnsi="Times New Roman" w:eastAsia="Times New Roman" w:cs="Times New Roman"/>
        </w:rPr>
        <w:t>Sida masduulaagii, bahalka Kaatooliggu waa Masiix-diid; labaduba waxay sheegtaan inay Ilaah yihiin, labadubana baabba’ooda ugu dambaysta ah wuxuu la xidhiidhaa markhaatifurkooda kitaabiga ah, waayo masduulaagii waxaa lagu soo dejiyey jahannamada, bahalkuna waa wiilka halaagga. Halaaggu isagoo ah baabba’inta ugu dambaysa.</w:t>
      </w:r>
    </w:p>
    <w:p>
      <w:pPr>
        <w:pStyle w:val="ArticleScripture"/>
        <w:jc w:val="left"/>
      </w:pPr>
      <w:r>
        <w:rPr>
          <w:rFonts w:ascii="Times New Roman" w:hAnsi="Times New Roman" w:eastAsia="Times New Roman" w:cs="Times New Roman"/>
        </w:rPr>
        <w:t>“L’antéchrist est résolu à mener à bien la rébellion qu’il a commencée dans le ciel, et cette détermination continuera d’agir dans les enfants de la désobéissance.” Testimonies, volume 9, 230.</w:t>
      </w:r>
    </w:p>
    <w:p>
      <w:pPr>
        <w:pStyle w:val="ArticleScripture"/>
        <w:jc w:val="left"/>
      </w:pPr>
      <w:r>
        <w:rPr>
          <w:rFonts w:ascii="Times New Roman" w:hAnsi="Times New Roman" w:eastAsia="Times New Roman" w:cs="Times New Roman"/>
        </w:rPr>
        <w:t>«Na pope wa Roma, mosala moko oyo ezalaki kosalema na bisika ya lola liboso ya kobenganama ya mokonzi ya molili, ekobaki kosalema awa na mabele. Satana alukaki kobongisa mobeko ya Nzambe na lola, mpe kopesa mbongwana na ye moko. Atombolaki ekateli na ye moko likoló ya oyo ya Mozalisi na ye, mpe atyaki mokano na ye likoló ya mokano ya Yehova, mpe na lolenge oyo asakolaki mpenza ete Nzambe akoki kosala mabunga. Pope mpe alandi nzela yango moko mpe, wana azali komibanza ete azangi libunga, alukaka kobongisa mobeko ya Nzambe mpo ekokisa makanisi na ye moko, wana akanisaka ete azali na makoki ya kobongisa mabunga oyo amonaka lokola ezali na mibeko mpe mitindo ya Nkolo ya lola mpe ya mabele. Na solo nyonso, azali koloba na mokili ete: Nakopesa bino mibeko eleki oyo ya Yehova. Oyo ezali kofinga Nzambe ya lola ndenge nini!» Signs of the Times, November 19, 1894.</w:t>
      </w:r>
    </w:p>
    <w:p>
      <w:pPr>
        <w:pStyle w:val="ArticleBody"/>
        <w:jc w:val="left"/>
      </w:pPr>
      <w:r>
        <w:rPr>
          <w:rFonts w:ascii="Times New Roman" w:hAnsi="Times New Roman" w:eastAsia="Times New Roman" w:cs="Times New Roman"/>
        </w:rPr>
        <w:t>L’islam, représenté par Mohammed dans l’histoire du septième siècle, sortit lui aussi de l’abîme lorsque la clé qui avait été donnée à Mohammed fut tournée. Lorsque l’abîme fut ouvert, une « fumée » en sortit, qui obscurcit le soleil et l’air. Les pionniers ont identifié à juste titre que la « clé » qui ouvrit l’abîme était la bataille de Ninive.</w:t>
      </w:r>
    </w:p>
    <w:p>
      <w:pPr>
        <w:pStyle w:val="ArticleBody"/>
        <w:jc w:val="left"/>
      </w:pPr>
      <w:r>
        <w:rPr>
          <w:rFonts w:ascii="Times New Roman" w:hAnsi="Times New Roman" w:eastAsia="Times New Roman" w:cs="Times New Roman"/>
        </w:rPr>
        <w:t>Lorsque nous abordons les trois premiers versets du chapitre neuf de l’Apocalypse selon la compréhension des pionniers, dans le contexte d’une triple application de la prophétie, nous constatons que les caractéristiques prophétiques de ces versets, qui représentent le premier malheur, préfigurent les caractéristiques prophétiques du troisième malheur qui vient « promptement » lors du grand tremblement de terre. La loi dominicale est représentée par la bataille de Ninive.</w:t>
      </w:r>
    </w:p>
    <w:p>
      <w:pPr>
        <w:pStyle w:val="ArticleBody"/>
        <w:jc w:val="left"/>
      </w:pPr>
      <w:r>
        <w:rPr>
          <w:rFonts w:ascii="Times New Roman" w:hAnsi="Times New Roman" w:eastAsia="Times New Roman" w:cs="Times New Roman"/>
        </w:rPr>
        <w:t>Peeter vastutab vale ennustuse parandamise eest Nashville’i tulekerade kohta ning ta mõistab, et Ellen White’i hoiatuse õige kohaldamine Nashville’ile tähistab „peaaegu täielikult ebajumalakummardamisele antud tuhandete linnade hävitamise” algust.</w:t>
      </w:r>
    </w:p>
    <w:p>
      <w:pPr>
        <w:pStyle w:val="ArticleBody"/>
        <w:jc w:val="left"/>
      </w:pPr>
      <w:r>
        <w:rPr>
          <w:rFonts w:ascii="Times New Roman" w:hAnsi="Times New Roman" w:eastAsia="Times New Roman" w:cs="Times New Roman"/>
        </w:rPr>
        <w:t>Les boules de feu de Nashville marquent le début d’une période de destruction sur les villes, et elles marquent aussi le commencement de la proclamation du bref message du cri de minuit. Ce message commence par une attaque inattendue de l’islam et cette période s’achève par une attaque inattendue de l’islam lors du grand tremblement de terre. La période de la proclamation du cri de minuit marque la fin du temps du scellement des cent quarante-quatre mille, lequel a commencé avec l’attaque inattendue de l’islam le 11 septembre.</w:t>
      </w:r>
    </w:p>
    <w:p>
      <w:pPr>
        <w:pStyle w:val="ArticleBody"/>
        <w:jc w:val="left"/>
      </w:pPr>
      <w:r>
        <w:rPr>
          <w:rFonts w:ascii="Times New Roman" w:hAnsi="Times New Roman" w:eastAsia="Times New Roman" w:cs="Times New Roman"/>
        </w:rPr>
        <w:t>Le scellement des cent quarante-quatre mille commença alors en accord avec la ligne de Balaam et de l’ânesse, où se trouvent trois frappes qui culminent dans la loi du dimanche, mais où la seconde attaque inattendue inclut le 7 octobre 2023 contre l’antique et glorieux pays, puis les boules de feu de Nashville. Toutes les lignes concordent, et Pierre comprend que le descellement de ces vérités, représentées par l’homme au balai-brosse ramassant les joyaux dispersés et les jetant dans le coffret, est l’œuvre du Lion de la tribu de Juda.</w:t>
      </w:r>
    </w:p>
    <w:p>
      <w:pPr>
        <w:pStyle w:val="ArticleBody"/>
        <w:jc w:val="left"/>
      </w:pP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प्रतिपादित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एक्टियम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नीनवेह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“Kunjika” iliyotolewa kwa Mohammed, mfalme wa Uislamu, ambaye jina lake si tabia ya Uislamu tu, bali pia ni mahali pa ule uharibifu uliowekwa alama na vita vya Ninawi. Jina la mfalme huyo “kwa lugha ya Kiebrania ni Abadoni,” na “kwa lugha ya Kiyunani ana jina lake Apolioni.” Kiyunani na Kiebrania vinasisitiza Agano la Kale na Agano Jipya na kutufundisha kwamba Abadoni maana yake ni “mahali pa uharibifu” na Apolioni maana yake ni “mharibu.” Katika mstari wa kumi na mmoja wa Ufunuo tisa mfalme juu ya Uislamu ni Mohammed, lakini pia ni “malaika wa shimo lisilo na mwisho,” ambaye ni Shetani. Kama vile papa alivyo mpinga-Kristo akiwa mtu wa mkono wa kuume wa Shetani duniani, vivyo hivyo Mohammed pia anatawaliwa moja kwa moja na Shetani, malaika wa shimo lisilo na mwisho.</w:t>
      </w:r>
    </w:p>
    <w:p>
      <w:pPr>
        <w:pStyle w:val="ArticleBody"/>
        <w:jc w:val="left"/>
      </w:pPr>
      <w:r>
        <w:rPr>
          <w:rFonts w:ascii="Times New Roman" w:hAnsi="Times New Roman" w:eastAsia="Times New Roman" w:cs="Times New Roman"/>
        </w:rPr>
        <w:t>Roqshäni yakshanbe, ittiḥād-i sih-gāna bar jahān ba-zūr taḥmīl mī-gardad, va zakhm-i muhlikī ki dar sāl-i 1798 bar pāpāsī vārid shud va bidīn-sān pāyān-i Qurūn-i Tārīk rā nishān zad, shifā mī-yābad. Chun zakhm-i muhlik shifā yāft, dūr-i duvvum-i Qurūn-i Tārīk farā mī-rasad, va dar zalzala-yi buzurgī ki haman roqshäni yakshanbe ast, Islām kalīd rā mī-gardānad, va dūdī hamchūn az tanūrī sūzān khurshīd va sitāragān rā tār mī-sāzad, chūn tārīkī bāz mī-gardad. Nabard-i Naynawā dar roqshäni yakshanbe takrār mī-shavad, zīrā ān kalīdī ast ki dūr-i duvvum-i tārīkī rā farā mī-āvarad. Dar ān jā irtidād-i millī ba-kharābī-yi millī mi-anjāmad. Dar ān jā “istibdād-i fa‘‘āl” ba-tamāmī hukm mī-rānad, zīrā dūd-i Islām ki dar nabard-i Naynawā khurshīd va sitāragān rā tār mī-sāzad, hamchūn tanūrī sūzān ast. “Tanūr-i sūzān” yik unsur az ‘ahd-i Khudā bā Ibrāhīm būd.</w:t>
      </w:r>
    </w:p>
    <w:p>
      <w:pPr>
        <w:pStyle w:val="ArticleScripture"/>
        <w:jc w:val="left"/>
      </w:pPr>
      <w:r>
        <w:rPr>
          <w:rFonts w:ascii="Times New Roman" w:hAnsi="Times New Roman" w:eastAsia="Times New Roman" w:cs="Times New Roman"/>
        </w:rPr>
        <w:t>Oo tun de, nígbà tí oorun wọ̀, tí òkùnkùn sì ṣú, wò ó, iná ilé ìdáná tí ń mú èéfín jáde, àti fìtílà tí ń jóná, tí ó gba láàárín àwọn ẹ̀yà wọ̀nyẹn kọjá. Genesisi 15:17.</w:t>
      </w:r>
    </w:p>
    <w:p>
      <w:pPr>
        <w:pStyle w:val="ArticleBody"/>
        <w:jc w:val="left"/>
      </w:pPr>
      <w:r>
        <w:rPr>
          <w:rFonts w:ascii="Times New Roman" w:hAnsi="Times New Roman" w:eastAsia="Times New Roman" w:cs="Times New Roman"/>
        </w:rPr>
        <w:t>La fournaise fumante qui passa entre les offrandes de l’alliance d’Abram identifiait la servitude en Égypte représentée dans le passage au verset treize.</w:t>
      </w:r>
    </w:p>
    <w:p>
      <w:pPr>
        <w:pStyle w:val="ArticleScripture"/>
        <w:jc w:val="left"/>
      </w:pPr>
      <w:r>
        <w:rPr>
          <w:rFonts w:ascii="Times New Roman" w:hAnsi="Times New Roman" w:eastAsia="Times New Roman" w:cs="Times New Roman"/>
        </w:rPr>
        <w:t>I poþe ci to Abram, Wite mid gewisnysse þæt þin sæd bið elþeodig on lande þe nis heora, and hig him þeowian; and hig hi earfoþlice swencað feower hund geara. Genesis 15:13.</w:t>
      </w:r>
    </w:p>
    <w:p>
      <w:pPr>
        <w:pStyle w:val="ArticleBody"/>
        <w:jc w:val="left"/>
      </w:pPr>
      <w:r>
        <w:rPr>
          <w:rFonts w:ascii="Times New Roman" w:hAnsi="Times New Roman" w:eastAsia="Times New Roman" w:cs="Times New Roman"/>
        </w:rPr>
        <w:t>“</w:t>
      </w:r>
      <w:r>
        <w:rPr>
          <w:rFonts w:ascii="Nirmala UI" w:hAnsi="Nirmala UI" w:eastAsia="Nirmala UI" w:cs="Nirmala UI"/>
        </w:rPr>
        <w:t>ଆଗ୍ନିମୟ</w:t>
      </w:r>
      <w:r>
        <w:rPr>
          <w:rFonts w:ascii="Times New Roman" w:hAnsi="Times New Roman" w:eastAsia="Times New Roman" w:cs="Times New Roman"/>
        </w:rPr>
        <w:t xml:space="preserve"> </w:t>
      </w:r>
      <w:r>
        <w:rPr>
          <w:rFonts w:ascii="Nirmala UI" w:hAnsi="Nirmala UI" w:eastAsia="Nirmala UI" w:cs="Nirmala UI"/>
        </w:rPr>
        <w:t>ଭଟ୍ଟି</w:t>
      </w:r>
      <w:r>
        <w:rPr>
          <w:rFonts w:ascii="Times New Roman" w:hAnsi="Times New Roman" w:eastAsia="Times New Roman" w:cs="Times New Roman"/>
        </w:rPr>
        <w:t xml:space="preserve">,” </w:t>
      </w:r>
      <w:r>
        <w:rPr>
          <w:rFonts w:ascii="Nirmala UI" w:hAnsi="Nirmala UI" w:eastAsia="Nirmala UI" w:cs="Nirmala UI"/>
        </w:rPr>
        <w:t>ଯଥା</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ନେବୁଖଦ୍ନେଜ୍ଜରଙ୍କ</w:t>
      </w:r>
      <w:r>
        <w:rPr>
          <w:rFonts w:ascii="Times New Roman" w:hAnsi="Times New Roman" w:eastAsia="Times New Roman" w:cs="Times New Roman"/>
        </w:rPr>
        <w:t xml:space="preserve"> </w:t>
      </w:r>
      <w:r>
        <w:rPr>
          <w:rFonts w:ascii="Nirmala UI" w:hAnsi="Nirmala UI" w:eastAsia="Nirmala UI" w:cs="Nirmala UI"/>
        </w:rPr>
        <w:t>ଭଟ୍ଟି</w:t>
      </w:r>
      <w:r>
        <w:rPr>
          <w:rFonts w:ascii="Times New Roman" w:hAnsi="Times New Roman" w:eastAsia="Times New Roman" w:cs="Times New Roman"/>
        </w:rPr>
        <w:t xml:space="preserve">, </w:t>
      </w:r>
      <w:r>
        <w:rPr>
          <w:rFonts w:ascii="Nirmala UI" w:hAnsi="Nirmala UI" w:eastAsia="Nirmala UI" w:cs="Nirmala UI"/>
        </w:rPr>
        <w:t>ବନ୍ଧନ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ଦାସତ୍ୱର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ଶଦ୍ରକ</w:t>
      </w:r>
      <w:r>
        <w:rPr>
          <w:rFonts w:ascii="Times New Roman" w:hAnsi="Times New Roman" w:eastAsia="Times New Roman" w:cs="Times New Roman"/>
        </w:rPr>
        <w:t xml:space="preserve">, </w:t>
      </w:r>
      <w:r>
        <w:rPr>
          <w:rFonts w:ascii="Nirmala UI" w:hAnsi="Nirmala UI" w:eastAsia="Nirmala UI" w:cs="Nirmala UI"/>
        </w:rPr>
        <w:t>ମେଶକ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ଅବେଦ୍ନେଗୋଙ୍କ</w:t>
      </w:r>
      <w:r>
        <w:rPr>
          <w:rFonts w:ascii="Times New Roman" w:hAnsi="Times New Roman" w:eastAsia="Times New Roman" w:cs="Times New Roman"/>
        </w:rPr>
        <w:t xml:space="preserve"> </w:t>
      </w:r>
      <w:r>
        <w:rPr>
          <w:rFonts w:ascii="Nirmala UI" w:hAnsi="Nirmala UI" w:eastAsia="Nirmala UI" w:cs="Nirmala UI"/>
        </w:rPr>
        <w:t>ଅବସ୍ଥା</w:t>
      </w:r>
      <w:r>
        <w:rPr>
          <w:rFonts w:ascii="Times New Roman" w:hAnsi="Times New Roman" w:eastAsia="Times New Roman" w:cs="Times New Roman"/>
        </w:rPr>
        <w:t xml:space="preserve"> </w:t>
      </w:r>
      <w:r>
        <w:rPr>
          <w:rFonts w:ascii="Nirmala UI" w:hAnsi="Nirmala UI" w:eastAsia="Nirmala UI" w:cs="Nirmala UI"/>
        </w:rPr>
        <w:t>ଥିଲା।</w:t>
      </w:r>
    </w:p>
    <w:p>
      <w:pPr>
        <w:pStyle w:val="ArticleScripture"/>
        <w:jc w:val="left"/>
      </w:pPr>
      <w:r>
        <w:rPr>
          <w:rFonts w:ascii="Times New Roman" w:hAnsi="Times New Roman" w:eastAsia="Times New Roman" w:cs="Times New Roman"/>
        </w:rPr>
        <w:t>«Аммо худди ўзларига белгиланган йўлнинг улкан доирасида ҳаракат қилувчи юлдузлар каби, Худонинг мақсадларида на шошилиш, на кечикиш бор. Буюк қоронғулик ва тутунли ўчоқ рамзлари орқали Худо Иброҳимга Исроилнинг Мисрдаги қуллигини очиб берган ва уларнинг мусофирчилиги тўрт юз йил бўлишини эълон қилган эди. “Шундан кейин, — деди У, — улар катта бойлик билан чиқиб келадилар.” Ибтидо 15:14.» The Desire of Ages, 33.</w:t>
      </w:r>
    </w:p>
    <w:p>
      <w:pPr>
        <w:pStyle w:val="ArticleScripture"/>
        <w:jc w:val="left"/>
      </w:pPr>
      <w:r>
        <w:rPr>
          <w:rFonts w:ascii="Times New Roman" w:hAnsi="Times New Roman" w:eastAsia="Times New Roman" w:cs="Times New Roman"/>
        </w:rPr>
        <w:t>Tetapi TUHAN telah mengambil kamu dan membawa kamu keluar dari perapian besi itu, yakni dari Mesir, supaya kamu menjadi bagi-Nya umat milik pusaka, seperti keadaanmu pada hari ini. Ulangan 4:20.</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नीनवेह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घुमाई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धुआँ</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चन्द्रमा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अन्धकारमय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नीनवेह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627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पिर्रिक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हानिकारक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पदबंध</w:t>
      </w:r>
      <w:r>
        <w:rPr>
          <w:rFonts w:ascii="Times New Roman" w:hAnsi="Times New Roman" w:eastAsia="Times New Roman" w:cs="Times New Roman"/>
        </w:rPr>
        <w:t xml:space="preserve"> </w:t>
      </w:r>
      <w:r>
        <w:rPr>
          <w:rFonts w:ascii="Nirmala UI" w:hAnsi="Nirmala UI" w:eastAsia="Nirmala UI" w:cs="Nirmala UI"/>
        </w:rPr>
        <w:t>एपिरुस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पिर्रुस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(280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हेराक्लिया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279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अस्कुलुम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किंवदन्ती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combat de Ninive fut une victoire stratégique pour Rome; mais, une fois achevé, ni Rome ni la Perse n’avaient désormais la puissance de résister efficacement à l’assaut de l’islam. La Perse est les États-Unis et Rome est la papauté dans l’accomplissement moderne de la bataille de Ninive. La Médo-Perse, en tant que puissance à deux cornes, représente la puissance à deux cornes des États-Unis. Au moment de la loi dominicale, les États-Unis ne sont plus simplement qu’une seule corne, car, en vue de la loi dominicale, l’image de la bête a été formée, et cette formation consiste à réunir les deux cornes en une seule. Dans Daniel huit, il y a deux cornes représentant l’Empire médo-perse, et la corne perse s’éleva la dernière.</w:t>
      </w:r>
    </w:p>
    <w:p>
      <w:pPr>
        <w:pStyle w:val="ArticleScripture"/>
        <w:jc w:val="left"/>
      </w:pPr>
      <w:r>
        <w:rPr>
          <w:rFonts w:ascii="Times New Roman" w:hAnsi="Times New Roman" w:eastAsia="Times New Roman" w:cs="Times New Roman"/>
        </w:rPr>
        <w:t>Sa’an I watar dagi idona, na gani, sai ga wani rago a tsaye a gaban kogin, yana da ƙahoni biyu; ƙahonin nan biyu kuwa manya ne; amma ɗaya ya fi ɗaya tsawo, kuma mafi tsawon ya fito a baya. Daniel 8:3.</w:t>
      </w:r>
    </w:p>
    <w:p>
      <w:pPr>
        <w:pStyle w:val="ArticleBody"/>
        <w:jc w:val="left"/>
      </w:pPr>
      <w:r>
        <w:rPr>
          <w:rFonts w:ascii="Times New Roman" w:hAnsi="Times New Roman" w:eastAsia="Times New Roman" w:cs="Times New Roman"/>
        </w:rPr>
        <w:t>Les deux cornes des États-Unis, le républicanisme et le protestantisme, se fondent en une seule lorsque l’Église et l’État s’unissent pour former l’image de la bête. Cette formation est pleinement consommée lorsque la marque de la bête est imposée par la loi dominicale. Cela identifie les États-Unis comme n’étant rien d’autre que la Perse au moment de la loi dominicale. La Perse fut vaincue par Rome à la bataille de Ninive. La manière dont Rome vainquit la Perse revêt une importance historique, en raison des manœuvres d’Héraclius, l’empereur romain.</w:t>
      </w:r>
    </w:p>
    <w:p>
      <w:pPr>
        <w:pStyle w:val="ArticleBody"/>
        <w:jc w:val="left"/>
      </w:pPr>
      <w:r>
        <w:rPr>
          <w:rFonts w:ascii="Times New Roman" w:hAnsi="Times New Roman" w:eastAsia="Times New Roman" w:cs="Times New Roman"/>
        </w:rPr>
        <w:t>بە سادەیی، هێراکلیوس هێرشێکی لەناکاو ئەنجام دا، نەک هێرشێکی ڕاستەوخۆ و پێشڕەوانە. هەوڵەکانی بۆ ئەوەی ئەم لەناکاوییە بەدەست بهێنێت لە مێژوودا تۆمار کراون. ئەم لەناکاوییە بڕیاری ئەوەی لە خۆگرت کە لە زستاندا هێرش بکات، کە لەو سەردەمە مێژووییانەدا کاری باو نەبوو، بەڵام تەنها لەوەدا نەوەستایەوە. هێراکلیوس دەست بە داگیرکارییەکەی کرد لە ناوەڕاستی مانگی ئەیلوولی ساڵی 627 لە باکوورەوە (بلنداییەکانی ئەرمەنستان). لەبری ئەوەی ڕێگای چاوەڕوانکراو بگرێتەبەر بەرەو باشوور، ڕاستەوخۆ بۆ پایتەختی فارس، تیسفۆن، بەرفراوانییەکی کەوانەیی کرد و بەرەو ڕۆژهەڵاتی باشوور لە سنوورەکاندا جوڵایەوە (بە شێوەیەکی نزیک، سنووری ئێستای تورکیا–ئێران). پاشان ئاڕاستەی خۆی گۆڕی بەرەو باشوور و ڕۆژئاوا، و لە 1ی کانوونی یەکەمی 627 ڕووباری زابی گەورەی بڕییەوە. ئەمە سوپاکەی لە هەورازی نەینەوا (کەناری ڕۆژهەڵاتی ڕووباری دجلە) دانا، لە نزیکی وێرانەکانی نەینەوای کۆن. ئەم جوڵانەوەیە بە هەنداسەی سوپای فارسییەوە لە باشوور بەرەو باکوور بوو—پێچەوانەی ئەوەی فارسییەکان چاوەڕێی دەکرد. ئەوان چاوەڕێیان دەکرد بەردەوام بێت لە پەلهاویشتن بەرەو باشوور بۆ تیسفۆن. ئەمە فەرماندەی فارسی، ڕاهزاد، بەبێ ئاگادارکردنەوە گرت و ناچاری کرد هێراکلیوس تاوتوێ بکات بۆ ناو زەویەکی نالەبار. ئەمە ڕۆمانییەکانی هێشتەوە کە گۆڕەپانی جەنگ لە دەشتاییەکانی نزیک نەینەوا هەڵبژێرن. ئەم مانۆڤرە ڕێگری کرد لەوەی ڕۆمانییەکان لە نێوان هێزە فارسییەکاندا گیر بکەن، و ئەگەر پێویست بوو ڕێگای دەربازبوونیان بۆ هێشتەوە. کاتێک تەم لە ڕۆژی شەڕەکەدا و تاکتیکی کشانەوەی ساختە لە کاتی جەنگە ڕاستەقینەکەدا پێکەوە بن، چەندین ئاستی لەناکاویی هەبوو. ئەم داگیرکارییە بێ‌باکانەی زستانی و ئەم ڕێگای لاوەکییەی گەمارۆدانی قوڵ لە ناو خاکی فارسدا، بە یەکێک لە گەورەترین دەستکەوتە سەربازییەکانی هێراکلیوس دادەنرێت. یارمەتیی دا متمانەی فارسییەکان بشکێنێت و بە شێوەیەکی زۆر گرنگ بە سەرکەوتنی کۆتاییی ڕۆمان لەو شەڕە درێژخایەنەدا بەشدار بوو.</w:t>
      </w:r>
    </w:p>
    <w:p>
      <w:pPr>
        <w:pStyle w:val="ArticleScripture"/>
        <w:jc w:val="left"/>
      </w:pPr>
      <w:r>
        <w:rPr>
          <w:rFonts w:ascii="Times New Roman" w:hAnsi="Times New Roman" w:eastAsia="Times New Roman" w:cs="Times New Roman"/>
        </w:rPr>
        <w:t>«В битве при Ниневии, которая ожесточённо продолжалась от рассвета до одиннадцатого часа, у персов было захвачено двадцать восемь знамен, не считая тех, которые могли быть сломаны или разорваны; большая часть их войска была изрублена, и победители (римляне), скрывая собственные потери, провели ночь на поле битвы. Города и дворцы Ассирии впервые открылись римлянам. »</w:t>
      </w:r>
    </w:p>
    <w:p>
      <w:pPr>
        <w:pStyle w:val="ArticleScripture"/>
        <w:jc w:val="left"/>
      </w:pPr>
      <w:r>
        <w:rPr>
          <w:rFonts w:ascii="Times New Roman" w:hAnsi="Times New Roman" w:eastAsia="Times New Roman" w:cs="Times New Roman"/>
        </w:rPr>
        <w:t>«Mfalme wa Kirumi hakuimarishwa na ushindi alioupata; na wakati huohuo, na kwa njia hizo hizo, njia ilitayarishwa kwa makutano ya Wasaraceni kutoka Uarabuni, kama nzige watokao eneo hilo hilo, ambao, wakieneza katika mwendo wao imani ya Kiislamu ya Mohammed yenye giza na upotovu, upesi waliifunika kabisa himaya ya Uajemi na ya Kirumi.»</w:t>
      </w:r>
    </w:p>
    <w:p>
      <w:pPr>
        <w:pStyle w:val="ArticleScripture"/>
        <w:jc w:val="left"/>
      </w:pPr>
      <w:r>
        <w:rPr>
          <w:rFonts w:ascii="Times New Roman" w:hAnsi="Times New Roman" w:eastAsia="Times New Roman" w:cs="Times New Roman"/>
        </w:rPr>
        <w:t>«Дараҷаи пурратари тасвири ин воқеиятро аз суханони хотимавии боби Гиббон, ки иқтибосҳои пешина аз он гирифта шудаанд, наметавон орзу кард. “Гарчанде ки зери парчами Ҳераклий лашкари ғолибе ташкил ёфта буд, ин кӯшиши ғайритабиӣ, ба назар мерасад, нерӯи онҳоро бештар фарсуда кард, на ин ки онро ба кор андохта бошад. Дар ҳоле ки император дар Константинопол ё Ерусалим зафар меёфт, шаҳраки ноошное дар сарҳадҳои Сурия аз ҷониби сарасиниён ғорат карда шуд, ва онҳо баъзе аз қӯшунҳоеро, ки барои раҳоии он пеш рафта буданд, пора-пора карданд,—рӯйдоде маъмулӣ ва ночиз, агар он пешдаромади инқилоби азиме намебуд. Ин ғоратгарон ҳаввориёни Муҳаммад буданд; шуҷоати девонаворонаи онҳо аз биёбон сар бароварда буд; ва дар ҳашт соли охири салтанати худ, Ҳераклий ҳамон вилоятҳоро ба арабҳо аз даст дод, ки онҳоро аз форсиён бозпас гирифта буд. »</w:t>
      </w:r>
    </w:p>
    <w:p>
      <w:pPr>
        <w:pStyle w:val="ArticleScripture"/>
        <w:jc w:val="left"/>
      </w:pPr>
      <w:r>
        <w:rPr>
          <w:rFonts w:ascii="Times New Roman" w:hAnsi="Times New Roman" w:eastAsia="Times New Roman" w:cs="Times New Roman"/>
        </w:rPr>
        <w:t>«На земята бе пуснат „духът на измамата и на въодушевлението, чието обиталище не е в небесата“. За да се отвори бездънната пропаст, бе нужен само ключ, а този ключ бе падението на Хосрой. Той презрително бе разкъсал писмото на един незнаен жител на Мека. Но когато от своя „блясък на слава“ той потъна в „кулата на мрака“, в която никакво око не можеше да проникне, името на Хосрой изведнъж трябваше да потъне в забвение пред името на Мохамед; и полумесецът сякаш само очакваше своето изгряване до падането на звездата. Хосрой, след пълното си поражение и загубата на империята, бе убит в 628 година; а 629 година е отбелязана с „покоряването на Арабия“ и с „първата война на мохамеданите против Римската империя“. „И петият ангел затръби, и видях звезда, паднала от небето на земята; и на нея се даде ключът на бездънната пропаст. И отвори бездънната пропаст.“ Той падна на земята. Когато силата на Римската империя бе изтощена и великият цар на Изтока лежеше мъртъв в своята кула на мрака, разграбването на един незнаен град по границите на Сирия бе „предвестникът на могъща революция“. „Разбойниците бяха апостолите на Мохамед и тяхната безумна храброст изникна от пустинята.“ Uriah Smith, Daniel and the Revelation, 495–497.</w:t>
      </w:r>
    </w:p>
    <w:p>
      <w:pPr>
        <w:pStyle w:val="ArticleBody"/>
        <w:jc w:val="left"/>
      </w:pPr>
      <w:r>
        <w:rPr>
          <w:rFonts w:ascii="Times New Roman" w:hAnsi="Times New Roman" w:eastAsia="Times New Roman" w:cs="Times New Roman"/>
        </w:rPr>
        <w:t>La bataille de Ninive représente la Rome moderne conquérant les États-Unis lors de la loi dominicale, mais c’est une victoire à la Pyrrhus, car un jugement progressif contre Rome commence au moment de la loi dominicale.</w:t>
      </w:r>
    </w:p>
    <w:p>
      <w:pPr>
        <w:pStyle w:val="ArticleBody"/>
        <w:jc w:val="left"/>
      </w:pPr>
      <w:r>
        <w:rPr>
          <w:rFonts w:ascii="Nirmala UI" w:hAnsi="Nirmala UI" w:eastAsia="Nirmala UI" w:cs="Nirmala UI"/>
        </w:rPr>
        <w:t>ਖ਼ੁਸਰੋ</w:t>
      </w:r>
      <w:r>
        <w:rPr>
          <w:rFonts w:ascii="Times New Roman" w:hAnsi="Times New Roman" w:eastAsia="Times New Roman" w:cs="Times New Roman"/>
        </w:rPr>
        <w:t xml:space="preserve"> </w:t>
      </w:r>
      <w:r>
        <w:rPr>
          <w:rFonts w:ascii="Nirmala UI" w:hAnsi="Nirmala UI" w:eastAsia="Nirmala UI" w:cs="Nirmala UI"/>
        </w:rPr>
        <w:t>ਫ਼ਾਰਸੀ</w:t>
      </w:r>
      <w:r>
        <w:rPr>
          <w:rFonts w:ascii="Times New Roman" w:hAnsi="Times New Roman" w:eastAsia="Times New Roman" w:cs="Times New Roman"/>
        </w:rPr>
        <w:t xml:space="preserve"> </w:t>
      </w:r>
      <w:r>
        <w:rPr>
          <w:rFonts w:ascii="Nirmala UI" w:hAnsi="Nirmala UI" w:eastAsia="Nirmala UI" w:cs="Nirmala UI"/>
        </w:rPr>
        <w:t>ਸਾਮਰਾਜ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ਫ਼ਾਰਸ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ਅਵਸਥਾ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ਅਥਾਹ</w:t>
      </w:r>
      <w:r>
        <w:rPr>
          <w:rFonts w:ascii="Times New Roman" w:hAnsi="Times New Roman" w:eastAsia="Times New Roman" w:cs="Times New Roman"/>
        </w:rPr>
        <w:t xml:space="preserve"> </w:t>
      </w:r>
      <w:r>
        <w:rPr>
          <w:rFonts w:ascii="Nirmala UI" w:hAnsi="Nirmala UI" w:eastAsia="Nirmala UI" w:cs="Nirmala UI"/>
        </w:rPr>
        <w:t>ਖੱਡ</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ਖੋਲ੍ਹਦੀ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11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ਇਕੱਤੀ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ਇਕਤਾਲੀ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ਵਰਣਿਤ</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13 </w:t>
      </w:r>
      <w:r>
        <w:rPr>
          <w:rFonts w:ascii="Nirmala UI" w:hAnsi="Nirmala UI" w:eastAsia="Nirmala UI" w:cs="Nirmala UI"/>
        </w:rPr>
        <w:t>ਆਇਤ</w:t>
      </w:r>
      <w:r>
        <w:rPr>
          <w:rFonts w:ascii="Times New Roman" w:hAnsi="Times New Roman" w:eastAsia="Times New Roman" w:cs="Times New Roman"/>
        </w:rPr>
        <w:t xml:space="preserve"> 11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Remarquez les commentaires du pionnier Stephen Haskell sur les mêmes versets et la même histoire :</w:t>
      </w:r>
    </w:p>
    <w:p>
      <w:pPr>
        <w:pStyle w:val="ArticleScripture"/>
        <w:jc w:val="left"/>
      </w:pPr>
      <w:r>
        <w:rPr>
          <w:rFonts w:ascii="Times New Roman" w:hAnsi="Times New Roman" w:eastAsia="Times New Roman" w:cs="Times New Roman"/>
        </w:rPr>
        <w:t>العرب، أو السراسنة، لم يكونوا قد مارسوا قط أيَّ تأثير في الأرض. وفي تاريخ الأمم، كان هؤلاء الرجال الأحرار أبناء الصحراء قد مرّوا دون أن يُلتفت إليهم إلا نادرًا. وقد وحَّد المحمديةُ القبائلَ المتفرقة، وأرسلتهم خارجين كفاتحين للأمم. وكان التقدُّم السريع الذي صاحب سلاح السراسنة راجعًا، إلى حدٍّ كبير، إلى الصراع بين الرومان وكسرى، رأس الإمبراطورية الفارسية الحديثة. وقد أسفر هذا الصراع عن سقوط الأخير. وكانت فارس الحديثة قد وقفت كحائط صدّ، تكبح قوة محمد؛ ولكن لما سقطت تلك القوة، زال الحاجز، وانفتح «البئر الذي لا قرار له»، وأغرق السراسنة العالم. وعندما «فُتح البئر الذي لا قرار له، صعد دخان حجب وجه الشمس». وهذه الصورة شديدة القوة، إذ تمثل أثر المحمدية في الإظلام، حين انتشرت على وجه الأرض.” Stephen Haskell, The Story of the Seer of Patmos, 164, 165.</w:t>
      </w:r>
    </w:p>
    <w:p>
      <w:pPr>
        <w:pStyle w:val="ArticleBody"/>
        <w:jc w:val="left"/>
      </w:pPr>
      <w:r>
        <w:rPr>
          <w:rFonts w:ascii="Times New Roman" w:hAnsi="Times New Roman" w:eastAsia="Times New Roman" w:cs="Times New Roman"/>
        </w:rPr>
        <w:t>Fuuta ceŋol moƴƴere "ff" men. Waɗɗi ɗum ko ngol? So a waawi firo: - **Pulaar/Fulfulde** - walla wonndude goɗɗe ɗi "ff" Tiiɗno hollu ko ɗum waɗi “ff”, ngam mi waawi waɗde fassararol ngal no feewi e no ɗum waɗi.</w:t>
      </w:r>
    </w:p>
    <w:p>
      <w:pPr>
        <w:pStyle w:val="ArticleBody"/>
        <w:jc w:val="left"/>
      </w:pPr>
      <w:r>
        <w:rPr>
          <w:rFonts w:ascii="Times New Roman" w:hAnsi="Times New Roman" w:eastAsia="Times New Roman" w:cs="Times New Roman"/>
        </w:rPr>
        <w:t>A. T. Jones ka kõmante long alfa faet blong Nineveh:</w:t>
      </w:r>
    </w:p>
    <w:p>
      <w:pPr>
        <w:pStyle w:val="ArticleScripture"/>
        <w:jc w:val="left"/>
      </w:pPr>
      <w:r>
        <w:rPr>
          <w:rFonts w:ascii="Times New Roman" w:hAnsi="Times New Roman" w:eastAsia="Times New Roman" w:cs="Times New Roman"/>
        </w:rPr>
        <w:t>«در امور حکومت آشور، اوضاع از بد به بدتر گرایید، به‌گونه‌ای که در سال ۶۱۲ ق.م. بار دیگر شورشی بزرگ از سوی همان سه کشور، و این بار به رهبری خودِ نبوبلاسر، روی داد. این شورش کاملاً کامیاب شد: نینوا به توده‌ای از ویرانه‌ها مبدل گردید؛ و امپراتوری آشور به سه بخش بزرگ تقسیم شد: ماد، که شمال‌شرق و دورترین نواحی شمال را در اختیار داشت؛ بابل، که عیلام و سراسر دشت و دره‌های فرات و دجله را در دست داشت؛ و مصر، که تمامی سرزمینِ واقع در غرب فرات را در اختیار گرفت. مُهر این اتحاد میان بابل و ماد، ازدواجِ دخترِ پادشاه ماد با نبوکدنصر، پسرِ نبوبلاسر، بود. فرعون‌نخو، پادشاه مصر، در اجرای سهم خود در این اتحاد بر ضد آشور، بر ضد پادشاه آشور برآمد تا نزد کرکمیش بر فرات با او بجنگد؛ آنگاه که یوشیای پادشاه یهودا به مقابله با او بیرون آمد و در مَجِدّو کشته شد. سپس، از آنجا که تمامی این قلمرو غربی به پادشاه مصر تعلق یافته بود، او در اعمال حاکمیتِ مشروعِ خویش، که از راه فتح به دست آمده بود، شَلّوم، پسر یوشیا، را از پادشاهی یهودا برداشت و اِلْیاقیم را به جای او پادشاه یهودا گماشت، و نام او را به یهویاقیم تغییر داد، و بر آن سرزمین خراج نهاد.» 1 Chronicles 3:15؛ 2 Kings 23:31–35.» A. T. Jones, Review and Herald, March 15, 1898.</w:t>
      </w:r>
    </w:p>
    <w:p>
      <w:pPr>
        <w:pStyle w:val="ArticleBody"/>
        <w:jc w:val="left"/>
      </w:pPr>
      <w:r>
        <w:rPr>
          <w:rFonts w:ascii="Times New Roman" w:hAnsi="Times New Roman" w:eastAsia="Times New Roman" w:cs="Times New Roman"/>
        </w:rPr>
        <w:t>نا نبردِ آغازینِ نینوا در سال ۶۱۲ پیش از میلاد، امپراتوری آشور به پایان رسید، همان‌گونه که ششمین پادشاهیِ نبوتِ کتاب‌مقدس در قانونِ یک‌شنبه به پایان می‌رسد. پیروزِ آن نبرد اتحادی سه‌گانه از بابل، مصر و ماد بود. در جنگ‌های آن دوره، پادشاه یوشیا در مگیدو می‌میرد، و بدین‌سان پیش‌نمونی از آرماگدون می‌گردد. در نبردِ اومگاییِ نینوا در ۶۲۷، اسلامِ وایِ سوم رها می‌شود، هنگامی که دیوارِ محافظت در قانون اساسی برداشته می‌شود؛ چنان‌که به‌صورت نمادین، و همان‌گونه که هاسکل خاطرنشان ساخت، در شکستِ پارس، «دیوارِ حائل»ِ محافظتِ پارس برداشته شد. مرگِ پادشاه یوشیا در مگیدو، نخستین نبردِ نینوا را به‌عنوان نبردِ دوم در ایامِ آخر مشخص می‌سازد. آخرینِ آن دو نبردِ نینوا در ۶۲۷، هنگامی که کلید گردانده می‌شود و چاه گشوده می‌گردد، در ایامِ آخر نخستین است، زیرا اوّل آخر خواهد بود. نخستین نبردِ نینوا میان آشور و اتحادِ سه‌گانه به آرماگدون منتهی می‌شود. دورهٔ دومین اعصارِ تاریک با نبردِ نینوا آغاز می‌شود و با نبردِ نینوا پایان می‌یابد.</w:t>
      </w:r>
    </w:p>
    <w:p>
      <w:pPr>
        <w:pStyle w:val="ArticleBody"/>
        <w:jc w:val="left"/>
      </w:pPr>
      <w:r>
        <w:rPr>
          <w:rFonts w:ascii="Times New Roman" w:hAnsi="Times New Roman" w:eastAsia="Times New Roman" w:cs="Times New Roman"/>
        </w:rPr>
        <w:t>Maɗɗe buccol joyliiɗo ɗiɗo ngol, kono woni torraare arande nde Wahayu suraadju jeetatiɗi, ngoni ko arandiiɓe andi ɗum e seedaare taariika ɓurnde yiite e nder passage kala e deftere Wahayu. Uriah Smith hollii ndeen goonga nii:</w:t>
      </w:r>
    </w:p>
    <w:p>
      <w:pPr>
        <w:pStyle w:val="ArticleScripture"/>
        <w:jc w:val="left"/>
      </w:pPr>
      <w:r>
        <w:rPr>
          <w:rFonts w:ascii="Times New Roman" w:hAnsi="Times New Roman" w:eastAsia="Times New Roman" w:cs="Times New Roman"/>
        </w:rPr>
        <w:t>«1-кыстыырым айыыһыта. Уонна бэһис аҥаара ыҥыраата, уонна мин халлаантан сиргэ түскэн сулустааны көрдүм; уонна аҕан түпсүө суох дьиэ күүтүн күлүүсэ биэриллэ».</w:t>
      </w:r>
    </w:p>
    <w:p>
      <w:pPr>
        <w:pStyle w:val="ArticleScripture"/>
        <w:jc w:val="left"/>
      </w:pPr>
      <w:r>
        <w:rPr>
          <w:rFonts w:ascii="Times New Roman" w:hAnsi="Times New Roman" w:eastAsia="Times New Roman" w:cs="Times New Roman"/>
        </w:rPr>
        <w:t>“Kwa ufafanuzi wa parapanda hii, tena tutanukuu kutoka katika maandishi ya Bwana Keith. Mwandishi huyu asema kwa kweli: ‘Ni nadra sana kuwepo kwa mapatano yaliyo sawasawa namna hii miongoni mwa wafafanuzi kuhusu sehemu nyingine yo yote ya Ufunuo kama ilivyo kuhusu matumizi ya parapanda ya tano na ya sita, au ole wa kwanza na wa pili, kwa Wasaraceni na Waturuki. Jambo hili ni dhahiri sana hata haliwezi kwa urahisi kutoeleweka. Badala ya aya moja au mbili kumtaja kila mmoja, sura yote ya tisa ya Ufunuo, kwa sehemu zilizo sawasawa, imejazwa na maelezo ya wote wawili.’ Uriah Smith, Daniel na Ufunuo, 495.”</w:t>
      </w:r>
    </w:p>
    <w:p>
      <w:pPr>
        <w:pStyle w:val="ArticleBody"/>
        <w:jc w:val="left"/>
      </w:pPr>
      <w:r>
        <w:rPr>
          <w:rFonts w:ascii="Times New Roman" w:hAnsi="Times New Roman" w:eastAsia="Times New Roman" w:cs="Times New Roman"/>
        </w:rPr>
        <w:t>Pierre est à Panium avec la responsabilité de corriger le message des boules de feu de Nashville, et l’on voit pour la première fois que les éléments du premier malheur s’alignent parfaitement avec les éléments de la loi dominicale imminente. Le Lion de la tribu de Juda a descellé cette compréhension en accord avec d’autres lignes de prophétie qu’Il avait déjà mises en place. Les historiens rendront témoignage à l’importance de l’attaque-surprise accomplie par Rome contre les Perses en 627, et, ce faisant, ils relèveront les manœuvres d’Héraclius autour de la Perse et par derrière, en hiver, comme un stratagème destiné à demeurer caché jusqu’au moment de l’attaque.</w:t>
      </w:r>
    </w:p>
    <w:p>
      <w:pPr>
        <w:pStyle w:val="ArticleBody"/>
        <w:jc w:val="left"/>
      </w:pPr>
      <w:r>
        <w:rPr>
          <w:rFonts w:ascii="Times New Roman" w:hAnsi="Times New Roman" w:eastAsia="Times New Roman" w:cs="Times New Roman"/>
        </w:rPr>
        <w:t>Sœur White nous informe que Rome attend simplement un « terrain avantageux », puis elle frappera.</w:t>
      </w:r>
    </w:p>
    <w:p>
      <w:pPr>
        <w:pStyle w:val="ArticleScripture"/>
        <w:jc w:val="left"/>
      </w:pPr>
      <w:r>
        <w:rPr>
          <w:rFonts w:ascii="Times New Roman" w:hAnsi="Times New Roman" w:eastAsia="Times New Roman" w:cs="Times New Roman"/>
        </w:rPr>
        <w:t>“Ka ọrọ Ọlọrun ti fi ìkìlọ̀ hàn nípa ewu tí ń bọ̀; bí a bá kọ̀ ọ́ sílẹ̀, ayé Píròtẹ́sítántì yóò mọ ohun tí ìpinnu Róòmù jẹ́ ní tòótọ́, nígbà tí ó ti pẹ́ jù láti bọ́ lọ́wọ́ ìdẹkùn náà. Ó ń dàgbà sínú agbára ní ìdákẹ́jẹ́. Àwọn ẹ̀kọ́ rẹ̀ ń fi ipa wọn hàn ní àwọn gbọ̀ngàn aṣòfin, nínú àwọn ìjọ, àti nínú ọkàn àwọn ènìyàn. Ó ń kó àwọn ilé-gíga rẹ̀ tí ó lágbára, tí ó sì tóbi jọ, nínú àwọn ibi ìkọ̀kọ̀, níbi tí a ó ti tún ṣe àwọn inúnibíni rẹ̀ àtijọ́. Ní ọ̀nà àṣírí tí a kò sì fura sí, ó ń fún agbára rẹ̀ ní okun láti tẹ̀síwájú àwọn ète tirẹ̀ nígbà tí àkókò yóò dé fún un láti lù ú. Gbogbo ohun tí ó ń fẹ́ ni ipò àǹfààní, a sì ti ń fi èyí fún un tẹ́lẹ̀. Láìpẹ́ a ó rí, a ó sì ní ìrírí ohun tí ète apá Róòmù jẹ́. Ẹnikẹ́ni tí yóò gbà tí yóò sì ṣègbọràn sí ọrọ Ọlọrun yóò nípa bẹ́ẹ̀ fa ẹ̀gàn àti inúnibíni bá ara rẹ̀.” The Great Controversy, 581.</w:t>
      </w:r>
    </w:p>
    <w:p>
      <w:pPr>
        <w:pStyle w:val="ArticleBody"/>
        <w:jc w:val="left"/>
      </w:pPr>
      <w:r>
        <w:rPr>
          <w:rFonts w:ascii="Times New Roman" w:hAnsi="Times New Roman" w:eastAsia="Times New Roman" w:cs="Times New Roman"/>
        </w:rPr>
        <w:t>Tangut akka Emperor Heraclius de, papacy hei goal dungo “stealthily and unexpectedly” ningthina chatpa phang-i, Isaiah chapter twenty-three gi mapanna Tyre gi whore adu Bible prophecy gi sixth kingdom gi puwarida nungsiba oirammi. Heraclius gi secret surprise attack adu, 1798 dagi Sunday law phaoba malemna papacy adu nungsidraba oiba aduni. Line upon line, first woe aduna third amasung last woe adu lakpani. First woe-da, Islam gi puwari amasung one hundred and forty-four thousand gi sealing gi matung inna chanaba pronouncement ama hairi.</w:t>
      </w:r>
    </w:p>
    <w:p>
      <w:pPr>
        <w:pStyle w:val="ArticleScripture"/>
        <w:jc w:val="left"/>
      </w:pPr>
      <w:r>
        <w:rPr>
          <w:rFonts w:ascii="Times New Roman" w:hAnsi="Times New Roman" w:eastAsia="Times New Roman" w:cs="Times New Roman"/>
        </w:rPr>
        <w:t>Dan was opgedra aan hulle gegee dat hulle die gras van die aarde nie moes beskadig nie, ook geen groen plant en geen boom nie, maar slegs daardie mense wat nie die seël van God op hulle voorhoofde het nie. En aan hulle is gegee dat hulle dié mense nie moes doodmaak nie, maar dat hulle vyf maande lank gepynig moes word; en hulle pyniging was soos die pyniging van ’n skerpioen wanneer hy ’n mens steek. En in daardie dae sal die mense die dood soek en dit nie vind nie; en hulle sal begeer om te sterf, en die dood sal van hulle wegvlug. Openbaring 9:4–6.</w:t>
      </w:r>
    </w:p>
    <w:p>
      <w:pPr>
        <w:pStyle w:val="ArticleBody"/>
        <w:jc w:val="left"/>
      </w:pPr>
      <w:r>
        <w:rPr>
          <w:rFonts w:ascii="Times New Roman" w:hAnsi="Times New Roman" w:eastAsia="Times New Roman" w:cs="Times New Roman"/>
        </w:rPr>
        <w:t>Avant que la clé ne soit tournée lors de la bataille de Ninive, laquelle est la loi dominicale imminente, les cent quarante-quatre mille sont déjà scellés. Lors de la loi dominicale, la destruction des villes, amorcée par les boules de feu de Nashville, est représentée comme une période de « cinq mois », durant laquelle la guerre fait rage et le second bain de sang papal est déclenché en accomplissement de la réponse donnée aux martyrs du Moyen Âge dans le cinquième sceau.</w:t>
      </w:r>
    </w:p>
    <w:p>
      <w:pPr>
        <w:pStyle w:val="ArticleScripture"/>
        <w:jc w:val="left"/>
      </w:pP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মোহরটি</w:t>
      </w:r>
      <w:r>
        <w:rPr>
          <w:rFonts w:ascii="Times New Roman" w:hAnsi="Times New Roman" w:eastAsia="Times New Roman" w:cs="Times New Roman"/>
        </w:rPr>
        <w:t xml:space="preserve"> </w:t>
      </w:r>
      <w:r>
        <w:rPr>
          <w:rFonts w:ascii="Nirmala UI" w:hAnsi="Nirmala UI" w:eastAsia="Nirmala UI" w:cs="Nirmala UI"/>
        </w:rPr>
        <w:t>খুললেন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বেদীর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প্রাণসমূহ</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চিৎকার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সত্যময়</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অধিবাসীদের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প্রতিশোধ</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কতকাল</w:t>
      </w:r>
      <w:r>
        <w:rPr>
          <w:rFonts w:ascii="Times New Roman" w:hAnsi="Times New Roman" w:eastAsia="Times New Roman" w:cs="Times New Roman"/>
        </w:rPr>
        <w:t xml:space="preserve"> </w:t>
      </w:r>
      <w:r>
        <w:rPr>
          <w:rFonts w:ascii="Nirmala UI" w:hAnsi="Nirmala UI" w:eastAsia="Nirmala UI" w:cs="Nirmala UI"/>
        </w:rPr>
        <w:t>বিলম্ব</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প্রত্যেককে</w:t>
      </w:r>
      <w:r>
        <w:rPr>
          <w:rFonts w:ascii="Times New Roman" w:hAnsi="Times New Roman" w:eastAsia="Times New Roman" w:cs="Times New Roman"/>
        </w:rPr>
        <w:t xml:space="preserve"> </w:t>
      </w:r>
      <w:r>
        <w:rPr>
          <w:rFonts w:ascii="Nirmala UI" w:hAnsi="Nirmala UI" w:eastAsia="Nirmala UI" w:cs="Nirmala UI"/>
        </w:rPr>
        <w:t>শুভ্র</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অল্পকাল</w:t>
      </w:r>
      <w:r>
        <w:rPr>
          <w:rFonts w:ascii="Times New Roman" w:hAnsi="Times New Roman" w:eastAsia="Times New Roman" w:cs="Times New Roman"/>
        </w:rPr>
        <w:t xml:space="preserve"> </w:t>
      </w:r>
      <w:r>
        <w:rPr>
          <w:rFonts w:ascii="Nirmala UI" w:hAnsi="Nirmala UI" w:eastAsia="Nirmala UI" w:cs="Nirmala UI"/>
        </w:rPr>
        <w:t>বিশ্রাম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সহদাসেরাও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ভ্রাতৃগণও</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পূর্ণসংখ্যায়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৬</w:t>
      </w:r>
      <w:r>
        <w:rPr>
          <w:rFonts w:ascii="Times New Roman" w:hAnsi="Times New Roman" w:eastAsia="Times New Roman" w:cs="Times New Roman"/>
        </w:rPr>
        <w:t>:</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p>
    <w:p>
      <w:pPr>
        <w:pStyle w:val="ArticleBody"/>
        <w:jc w:val="left"/>
      </w:pPr>
      <w:r>
        <w:rPr>
          <w:rFonts w:ascii="Times New Roman" w:hAnsi="Times New Roman" w:eastAsia="Times New Roman" w:cs="Times New Roman"/>
        </w:rPr>
        <w:t>Aqueles que foram martirizados na Idade das Trevas constituem o primeiro grupo que prefigura os mártires da Roma Moderna durante a crise da lei dominical. Antes que essa crise chegue, os cento e quarenta e quatro mil são selados, e esse processo de selamento começou em 11 de setembro com a chegada do Islã do terceiro ai e o aspergir da chuva serôdia. Quando os mártires da primeira Idade das Trevas perguntaram quando o papado seria julgado, foi-lhes dito que haveria um segundo grupo de mártires quando a Idade das Trevas se repetisse, ocasião em que a chave da batalha de Nínive se cumpre na lei dominical que em breve virá. Antes que o segundo grupo de mártires se complete, os cento e quarenta e quatro mil são selados, e o período do selamento que começou em 11 de setembro é identificado no quinto selo, pois a conversação ali apresentada se encontra em Apocalipse capítulo seis, versículos NOVE até ONZE, assinalando assim o começo e o fim do selamento com 9/11. O fim introduz a destruição do Islã, conforme exposto em Apocalipse NOVE, ONZE, e aqueles que forem selados terão cumprido a experiência de Daniel representada em Daniel NOVE, ONZE.</w:t>
      </w:r>
    </w:p>
    <w:p>
      <w:pPr>
        <w:pStyle w:val="ArticleBody"/>
        <w:jc w:val="left"/>
      </w:pPr>
      <w:r>
        <w:rPr>
          <w:rFonts w:ascii="Times New Roman" w:hAnsi="Times New Roman" w:eastAsia="Times New Roman" w:cs="Times New Roman"/>
        </w:rPr>
        <w:t>Nous poursuivrons ces choses dans l’article suivant.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von Vers vierzig – Zahl dreizehn</dc:title>
  <dc:subject>Numéro treize</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