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ព្រះប្រវត្តិសាស្ត្រលាក់កំបាំងនៃខទីសែសិប</w:t>
      </w:r>
      <w:r>
        <w:rPr>
          <w:rFonts w:ascii="Arial" w:hAnsi="Arial" w:eastAsia="Arial" w:cs="Arial"/>
        </w:rPr>
        <w:t xml:space="preserve"> — </w:t>
      </w:r>
      <w:r>
        <w:rPr>
          <w:rFonts w:ascii="Leelawadee UI" w:hAnsi="Leelawadee UI" w:eastAsia="Leelawadee UI" w:cs="Leelawadee UI"/>
        </w:rPr>
        <w:t>លេខដប់ប្រាំ</w:t>
      </w:r>
    </w:p>
    <w:p>
      <w:pPr>
        <w:pStyle w:val="ArticleSubtitle"/>
        <w:jc w:val="left"/>
      </w:pPr>
      <w:r>
        <w:rPr>
          <w:rFonts w:ascii="Arial" w:hAnsi="Arial" w:eastAsia="Arial" w:cs="Arial"/>
        </w:rPr>
        <w:t>Tshiwo tsha Vhuvhili — Tshipiḓa tsha Vhuvhili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Soeur White souligne à plusieurs reprises que le passage d’Ésaïe que Jésus lut dans la synagogue de Nazareth n’annonçait pas seulement son œuvre, mais préfigurait aussi la nôtre. L’accomplissement parfait de cette œuvre d’onction est réalisé par ceux qui constituent l’étendard des cent quarante-quatre mille.</w:t>
      </w:r>
    </w:p>
    <w:p>
      <w:pPr>
        <w:pStyle w:val="ArticleScripture"/>
        <w:jc w:val="left"/>
      </w:pPr>
      <w:r>
        <w:rPr>
          <w:rFonts w:ascii="Times New Roman" w:hAnsi="Times New Roman" w:eastAsia="Times New Roman" w:cs="Times New Roman"/>
        </w:rPr>
        <w:t>Roho ya Bwana MUNGU i juu yangu; kwa sababu BWANA amenitia mafuta niwahubirie wenye upole habari njema; amenituma kuwafunga walio na moyo uliovunjika, kuwatangazia wafungwa uhuru wao, na kufunguliwa kwa gereza kwao waliofungwa; Kutangaza mwaka wa BWANA uliokubalika, na siku ya kisasi cha Mungu wetu; kuwafariji wote waombolezao; Kuwaagizia hao waombolezao katika Sayuni, kuwapa uzuri badala ya majivu, mafuta ya furaha badala ya kuomboleza, vazi la sifa badala ya roho ya uzito; ili waitwe miti ya haki, iliyopandwa na BWANA, apate kutukuzwa. Nao watajenga mahali pa kale palipoharibika, watainua mahali pa kwanza palipokuwa ukiwa, nao watatengeneza miji iliyoharibika, mahali palipokuwa ukiwa kwa vizazi vingi. Wageni watasimama na kulisha makundi yenu, na wana wa mgeni watakuwa walimaji wenu na watunzaji wa mizabibu yenu. Bali ninyi mtaitwa Makuhani wa BWANA; watu watawaita Wahudumu wa Mungu wetu; mtakula mali za mataifa, na katika utukufu wao mtajitukuza. Badala ya aibu yenu mtapata sehemu maradufu; na badala ya fedheha wataifurahia sehemu yao; kwa hiyo katika nchi yao watamiliki maradufu; furaha ya milele itakuwa yao. Isaya 61:1–7.</w:t>
      </w:r>
    </w:p>
    <w:p>
      <w:pPr>
        <w:pStyle w:val="ArticleBody"/>
        <w:jc w:val="left"/>
      </w:pPr>
      <w:r>
        <w:rPr>
          <w:rFonts w:ascii="Times New Roman" w:hAnsi="Times New Roman" w:eastAsia="Times New Roman" w:cs="Times New Roman"/>
        </w:rPr>
        <w:t>Dans l’article précédent, nous avons commencé à identifier « l’heure, le mois, le jour et l’année » qui constituaient la prophétie de temps de trois cent quatre-vingt-onze ans et quinze jours. Il n’y a plus de temps, de sorte que les quatre expressions du temps doivent être appliquées symboliquement dans les derniers jours, lorsque les caractéristiques prophétiques du premier et du second malheur se répètent dans le troisième malheur. « L’année » est « l’année de grâce de l’Éternel », et elle est aussi « le jour de la vengeance de notre Dieu ».</w:t>
      </w:r>
    </w:p>
    <w:p>
      <w:pPr>
        <w:pStyle w:val="ArticleBody"/>
        <w:jc w:val="left"/>
      </w:pPr>
      <w:r>
        <w:rPr>
          <w:rFonts w:ascii="Times New Roman" w:hAnsi="Times New Roman" w:eastAsia="Times New Roman" w:cs="Times New Roman"/>
        </w:rPr>
        <w:t>“Dita,” është “dita e fatkeqësisë”, një ditë e shpërblimit dhe e hakmarrjes, siç është paraqitur nga Moisiu.</w:t>
      </w:r>
    </w:p>
    <w:p>
      <w:pPr>
        <w:pStyle w:val="ArticleScripture"/>
        <w:jc w:val="left"/>
      </w:pPr>
      <w:r>
        <w:rPr>
          <w:rFonts w:ascii="Times New Roman" w:hAnsi="Times New Roman" w:eastAsia="Times New Roman" w:cs="Times New Roman"/>
        </w:rPr>
        <w:t>Kwangu mimi ni mali ya kisasi na malipo; mguu wao utateleza kwa wakati wake ulioamriwa; kwa maana siku ya msiba wao iko karibu, na mambo yatakayowapata yanaharakisha. Kumbukumbu la Torati 32:35.</w:t>
      </w:r>
    </w:p>
    <w:p>
      <w:pPr>
        <w:pStyle w:val="ArticleBody"/>
        <w:jc w:val="left"/>
      </w:pPr>
      <w:r>
        <w:rPr>
          <w:rFonts w:ascii="Times New Roman" w:hAnsi="Times New Roman" w:eastAsia="Times New Roman" w:cs="Times New Roman"/>
        </w:rPr>
        <w:t>Sa Isaias, ito ang “katanggap-tanggap na taon” at ang “araw ng paghihiganti,” at ang araw ng paghihiganti ay ang “araw ng kapahamakan” ni Moises, kung kailan dumudulas ang paa ng Laodicea habang kanilang tinatanggap ang kagantihan at paghihiganti. Ang oras ng malaking lindol, ang araw ng kapahamakan, ang katanggap-tanggap na taon, at ang unang buwan ay pawang magkakatugma sa batas ng Linggo. Ang salitang “buwan” sa Joel ay isang idinagdag na salita, subalit ang idinagdag na salitang iyon ay wasto. Idinagdag ng mga tagapagsalin ang salitang “buwan” alinsunod sa katotohanang ang huling ulan ay dumating sa unang buwan.</w:t>
      </w:r>
    </w:p>
    <w:p>
      <w:pPr>
        <w:pStyle w:val="ArticleScripture"/>
        <w:jc w:val="left"/>
      </w:pPr>
      <w:r>
        <w:rPr>
          <w:rFonts w:ascii="Times New Roman" w:hAnsi="Times New Roman" w:eastAsia="Times New Roman" w:cs="Times New Roman"/>
        </w:rPr>
        <w:t>Alors, enfants de Sion, soyez dans l’allégresse, et réjouissez-vous en l’Éternel, votre Dieu ; car il vous a donné la pluie de la première saison avec mesure, et il fera descendre pour vous la pluie, la pluie de la première saison et la pluie de l’arrière-saison, au premier mois. Joël 2:23.</w:t>
      </w:r>
    </w:p>
    <w:p>
      <w:pPr>
        <w:pStyle w:val="ArticleBody"/>
        <w:jc w:val="left"/>
      </w:pPr>
      <w:r>
        <w:rPr>
          <w:rFonts w:ascii="Times New Roman" w:hAnsi="Times New Roman" w:eastAsia="Times New Roman" w:cs="Times New Roman"/>
        </w:rPr>
        <w:t xml:space="preserve">“month” </w:t>
      </w:r>
      <w:r>
        <w:rPr>
          <w:rFonts w:ascii="Microsoft Himalaya" w:hAnsi="Microsoft Himalaya" w:eastAsia="Microsoft Himalaya" w:cs="Microsoft Himalaya"/>
        </w:rPr>
        <w:t>ཞེས་པའི་ཚིག་ནི་འགྲེལ་བ་ཞིག་ཡིན་གྱི།</w:t>
      </w:r>
      <w:r>
        <w:rPr>
          <w:rFonts w:ascii="Times New Roman" w:hAnsi="Times New Roman" w:eastAsia="Times New Roman" w:cs="Times New Roman"/>
        </w:rPr>
        <w:t xml:space="preserve"> </w:t>
      </w:r>
      <w:r>
        <w:rPr>
          <w:rFonts w:ascii="Microsoft Himalaya" w:hAnsi="Microsoft Himalaya" w:eastAsia="Microsoft Himalaya" w:cs="Microsoft Himalaya"/>
        </w:rPr>
        <w:t>དམ་པའི་སྔར་ཡོད་གསུང་རབ་ཀྱི་ཚིག་དངོས་མ་ཡིན།</w:t>
      </w:r>
      <w:r>
        <w:rPr>
          <w:rFonts w:ascii="Times New Roman" w:hAnsi="Times New Roman" w:eastAsia="Times New Roman" w:cs="Times New Roman"/>
        </w:rPr>
        <w:t xml:space="preserve"> </w:t>
      </w:r>
      <w:r>
        <w:rPr>
          <w:rFonts w:ascii="Microsoft Himalaya" w:hAnsi="Microsoft Himalaya" w:eastAsia="Microsoft Himalaya" w:cs="Microsoft Himalaya"/>
        </w:rPr>
        <w:t>ཧེ་བྲུ་ཡིག་ཏུ་སླར་ཡང་ཆར་པ་འབབ་པ་ནི</w:t>
      </w:r>
      <w:r>
        <w:rPr>
          <w:rFonts w:ascii="Times New Roman" w:hAnsi="Times New Roman" w:eastAsia="Times New Roman" w:cs="Times New Roman"/>
        </w:rPr>
        <w:t xml:space="preserve"> “</w:t>
      </w:r>
      <w:r>
        <w:rPr>
          <w:rFonts w:ascii="Microsoft Himalaya" w:hAnsi="Microsoft Himalaya" w:eastAsia="Microsoft Himalaya" w:cs="Microsoft Himalaya"/>
        </w:rPr>
        <w:t>ཐོག་མར</w:t>
      </w:r>
      <w:r>
        <w:rPr>
          <w:rFonts w:ascii="Times New Roman" w:hAnsi="Times New Roman" w:eastAsia="Times New Roman" w:cs="Times New Roman"/>
        </w:rPr>
        <w:t xml:space="preserve">” </w:t>
      </w:r>
      <w:r>
        <w:rPr>
          <w:rFonts w:ascii="Microsoft Himalaya" w:hAnsi="Microsoft Himalaya" w:eastAsia="Microsoft Himalaya" w:cs="Microsoft Himalaya"/>
        </w:rPr>
        <w:t>འམ་</w:t>
      </w:r>
      <w:r>
        <w:rPr>
          <w:rFonts w:ascii="Times New Roman" w:hAnsi="Times New Roman" w:eastAsia="Times New Roman" w:cs="Times New Roman"/>
        </w:rPr>
        <w:t xml:space="preserve"> “</w:t>
      </w:r>
      <w:r>
        <w:rPr>
          <w:rFonts w:ascii="Microsoft Himalaya" w:hAnsi="Microsoft Himalaya" w:eastAsia="Microsoft Himalaya" w:cs="Microsoft Himalaya"/>
        </w:rPr>
        <w:t>སྔར་བཞིན་དུ</w:t>
      </w:r>
      <w:r>
        <w:rPr>
          <w:rFonts w:ascii="Times New Roman" w:hAnsi="Times New Roman" w:eastAsia="Times New Roman" w:cs="Times New Roman"/>
        </w:rPr>
        <w:t xml:space="preserve">” </w:t>
      </w:r>
      <w:r>
        <w:rPr>
          <w:rFonts w:ascii="Microsoft Himalaya" w:hAnsi="Microsoft Himalaya" w:eastAsia="Microsoft Himalaya" w:cs="Microsoft Himalaya"/>
        </w:rPr>
        <w:t>ཞེས་སྨྲས་ཡོད་པ་ཙམ་ཡིན།</w:t>
      </w:r>
      <w:r>
        <w:rPr>
          <w:rFonts w:ascii="Times New Roman" w:hAnsi="Times New Roman" w:eastAsia="Times New Roman" w:cs="Times New Roman"/>
        </w:rPr>
        <w:t xml:space="preserve"> </w:t>
      </w:r>
      <w:r>
        <w:rPr>
          <w:rFonts w:ascii="Microsoft Himalaya" w:hAnsi="Microsoft Himalaya" w:eastAsia="Microsoft Himalaya" w:cs="Microsoft Himalaya"/>
        </w:rPr>
        <w:t>དེའི་དོན་ནི།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དཀོན་མཆོག་གིས་སྔར་གྱི་དུས་བཞིན་དུ་ཆར་པ་རང་གི་དུས་ལ་སླར་གསོ་གནང་བ་ཡིན།</w:t>
      </w:r>
      <w:r>
        <w:rPr>
          <w:rFonts w:ascii="Times New Roman" w:hAnsi="Times New Roman" w:eastAsia="Times New Roman" w:cs="Times New Roman"/>
        </w:rPr>
        <w:t xml:space="preserve"> Sister White </w:t>
      </w:r>
      <w:r>
        <w:rPr>
          <w:rFonts w:ascii="Microsoft Himalaya" w:hAnsi="Microsoft Himalaya" w:eastAsia="Microsoft Himalaya" w:cs="Microsoft Himalaya"/>
        </w:rPr>
        <w:t>ཡིས་</w:t>
      </w:r>
      <w:r>
        <w:rPr>
          <w:rFonts w:ascii="Times New Roman" w:hAnsi="Times New Roman" w:eastAsia="Times New Roman" w:cs="Times New Roman"/>
        </w:rPr>
        <w:t xml:space="preserve">1840 </w:t>
      </w:r>
      <w:r>
        <w:rPr>
          <w:rFonts w:ascii="Microsoft Himalaya" w:hAnsi="Microsoft Himalaya" w:eastAsia="Microsoft Himalaya" w:cs="Microsoft Himalaya"/>
        </w:rPr>
        <w:t>ནས་</w:t>
      </w:r>
      <w:r>
        <w:rPr>
          <w:rFonts w:ascii="Times New Roman" w:hAnsi="Times New Roman" w:eastAsia="Times New Roman" w:cs="Times New Roman"/>
        </w:rPr>
        <w:t xml:space="preserve">1844 </w:t>
      </w:r>
      <w:r>
        <w:rPr>
          <w:rFonts w:ascii="Microsoft Himalaya" w:hAnsi="Microsoft Himalaya" w:eastAsia="Microsoft Himalaya" w:cs="Microsoft Himalaya"/>
        </w:rPr>
        <w:t>བར་གྱི་མི་ལར་པའི་འགུལ་སྐྱོད་དེ་</w:t>
      </w:r>
      <w:r>
        <w:rPr>
          <w:rFonts w:ascii="Times New Roman" w:hAnsi="Times New Roman" w:eastAsia="Times New Roman" w:cs="Times New Roman"/>
        </w:rPr>
        <w:t xml:space="preserve"> Pentecost </w:t>
      </w:r>
      <w:r>
        <w:rPr>
          <w:rFonts w:ascii="Microsoft Himalaya" w:hAnsi="Microsoft Himalaya" w:eastAsia="Microsoft Himalaya" w:cs="Microsoft Himalaya"/>
        </w:rPr>
        <w:t>དང་ཡང་ཡང་བསྟུན་ཏེ།</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མཐའ་མའི་ཉིན་མོར་འབབ་པའི་ཕྱི་མའི་ཆར་པ་དེ་འགྲེལ་བཤད་གནང་གི་ཡོད།</w:t>
      </w:r>
      <w:r>
        <w:rPr>
          <w:rFonts w:ascii="Times New Roman" w:hAnsi="Times New Roman" w:eastAsia="Times New Roman" w:cs="Times New Roman"/>
        </w:rPr>
        <w:t xml:space="preserve"> </w:t>
      </w:r>
      <w:r>
        <w:rPr>
          <w:rFonts w:ascii="Microsoft Himalaya" w:hAnsi="Microsoft Himalaya" w:eastAsia="Microsoft Himalaya" w:cs="Microsoft Himalaya"/>
        </w:rPr>
        <w:t>ཕྱི་མའི་ཆར་པ་ནི</w:t>
      </w:r>
      <w:r>
        <w:rPr>
          <w:rFonts w:ascii="Times New Roman" w:hAnsi="Times New Roman" w:eastAsia="Times New Roman" w:cs="Times New Roman"/>
        </w:rPr>
        <w:t xml:space="preserve"> “</w:t>
      </w:r>
      <w:r>
        <w:rPr>
          <w:rFonts w:ascii="Microsoft Himalaya" w:hAnsi="Microsoft Himalaya" w:eastAsia="Microsoft Himalaya" w:cs="Microsoft Himalaya"/>
        </w:rPr>
        <w:t>སྔར་བཞིན་དུ</w:t>
      </w:r>
      <w:r>
        <w:rPr>
          <w:rFonts w:ascii="Times New Roman" w:hAnsi="Times New Roman" w:eastAsia="Times New Roman" w:cs="Times New Roman"/>
        </w:rPr>
        <w:t xml:space="preserve">” </w:t>
      </w:r>
      <w:r>
        <w:rPr>
          <w:rFonts w:ascii="Microsoft Himalaya" w:hAnsi="Microsoft Himalaya" w:eastAsia="Microsoft Himalaya" w:cs="Microsoft Himalaya"/>
        </w:rPr>
        <w:t>འབབ་པ་ཡིན་ལ།</w:t>
      </w:r>
      <w:r>
        <w:rPr>
          <w:rFonts w:ascii="Times New Roman" w:hAnsi="Times New Roman" w:eastAsia="Times New Roman" w:cs="Times New Roman"/>
        </w:rPr>
        <w:t xml:space="preserve"> </w:t>
      </w:r>
      <w:r>
        <w:rPr>
          <w:rFonts w:ascii="Microsoft Himalaya" w:hAnsi="Microsoft Himalaya" w:eastAsia="Microsoft Himalaya" w:cs="Microsoft Himalaya"/>
        </w:rPr>
        <w:t>དེ་ནི</w:t>
      </w:r>
      <w:r>
        <w:rPr>
          <w:rFonts w:ascii="Times New Roman" w:hAnsi="Times New Roman" w:eastAsia="Times New Roman" w:cs="Times New Roman"/>
        </w:rPr>
        <w:t xml:space="preserve"> Pentecost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དེ་ལས</w:t>
      </w:r>
      <w:r>
        <w:rPr>
          <w:rFonts w:ascii="Times New Roman" w:hAnsi="Times New Roman" w:eastAsia="Times New Roman" w:cs="Times New Roman"/>
        </w:rPr>
        <w:t xml:space="preserve"> Sister White </w:t>
      </w:r>
      <w:r>
        <w:rPr>
          <w:rFonts w:ascii="Microsoft Himalaya" w:hAnsi="Microsoft Himalaya" w:eastAsia="Microsoft Himalaya" w:cs="Microsoft Himalaya"/>
        </w:rPr>
        <w:t>ཡིས་ཡང་ཡང་</w:t>
      </w:r>
      <w:r>
        <w:rPr>
          <w:rFonts w:ascii="Times New Roman" w:hAnsi="Times New Roman" w:eastAsia="Times New Roman" w:cs="Times New Roman"/>
        </w:rPr>
        <w:t xml:space="preserve"> Sunday law </w:t>
      </w:r>
      <w:r>
        <w:rPr>
          <w:rFonts w:ascii="Microsoft Himalaya" w:hAnsi="Microsoft Himalaya" w:eastAsia="Microsoft Himalaya" w:cs="Microsoft Himalaya"/>
        </w:rPr>
        <w:t>དང་བསྟུན་པར་མཛད་ཡོད།</w:t>
      </w:r>
    </w:p>
    <w:p>
      <w:pPr>
        <w:pStyle w:val="ArticleScripture"/>
        <w:jc w:val="left"/>
      </w:pPr>
      <w:r>
        <w:rPr>
          <w:rFonts w:ascii="Times New Roman" w:hAnsi="Times New Roman" w:eastAsia="Times New Roman" w:cs="Times New Roman"/>
        </w:rPr>
        <w:t>“Anghelul care se unește în vestirea soliei îngerului al treilea trebuie să lumineze întregul pământ cu slava sa. Aici este prevestită o lucrare de întindere mondială și de o putere neobișnuită. Mișcarea adventă din 1840–44 a fost o manifestare glorioasă a puterii lui Dumnezeu; solia primului înger a fost dusă la fiecare stațiune misionară din lume și, în unele țări, a existat cel mai mare interes religios care a fost văzut în vreun ținut de la Reforma secolului al șaisprezecelea încoace; dar acestea urmează să fie întrecute de mișcarea puternică de sub ultima avertizare a îngerului al treilea.</w:t>
      </w:r>
    </w:p>
    <w:p>
      <w:pPr>
        <w:pStyle w:val="ArticleScripture"/>
        <w:jc w:val="left"/>
      </w:pPr>
      <w:r>
        <w:rPr>
          <w:rFonts w:ascii="Times New Roman" w:hAnsi="Times New Roman" w:eastAsia="Times New Roman" w:cs="Times New Roman"/>
        </w:rPr>
        <w:t>“Ïa dɔŋlɛlɛtɔ kɛ́ nyɛ ɖe Pentekɔst ŋkeke la tɔ nu. Ale si wotsɔ ‘tsidzadza gbãtɔ’ na, Kɔkɔe Gbɔgbɔ la ƒe kɔkɔe kɔkɔeɖeɖe me le nyanyui la ƒe gɔmedzedze dzi, be wòana be nyiku xɔasi la natsi; nenema kee woatsɔ ‘tsidzadza mamlɛtɔ’ na le eƒe nuwuwu me hena nuŋeɖi la ƒe nyadzraɖoɖo. ‘Ekema míanya, ne míayi edzi be míanya Yehowa: eƒe dzozro le klalo abe ŋdi ene; eye wòava mía gbɔ abe tsi ene, abe tsidzadza mamlɛtɔ kple tsidzadza gbãtɔ si dza anyigba la dzi ene.’ Hosea 6:3. ‘Ɖe dzidzɔ, mi Zion viwo, eye miadze dzidzɔ le Yehowa, miaƒe Mawu me: elabena etsɔ tsidzadza gbãtɔ na mi to dzidzenu me, eye wòana be tsi la nadza na mi, tsidzadza gbãtɔ la kple tsidzadza mamlɛtɔ la.’ Joel 2:23. ‘Le ŋkeke mamlɛawo me, Mawu gblɔe, matsɔ Nye Gbɔgbɔ akɔ ɖi ɖe ŋutilã katã dzi.’ ‘Eye ava me be amekae amekae ayɔ Yehowa ƒe ŋkɔ la, woaɖee.’ Acts 2:17, 21.”</w:t>
      </w:r>
    </w:p>
    <w:p>
      <w:pPr>
        <w:pStyle w:val="ArticleScripture"/>
        <w:jc w:val="left"/>
      </w:pPr>
      <w:r>
        <w:rPr>
          <w:rFonts w:ascii="Times New Roman" w:hAnsi="Times New Roman" w:eastAsia="Times New Roman" w:cs="Times New Roman"/>
        </w:rPr>
        <w:t>“Det store verk som evangeliet utretter, skal ikke avsluttes med en mindre åpenbaring av Guds kraft enn den som preget dets begynnelse. De profetier som ble oppfylt ved utgytelsen av den første regn ved evangeliets begynnelse, skal på ny oppfylles ved den sene regn ved dets avslutning. Her er «vederkvegelsens tider», som apostelen Peter så fram til da han sa: «Gjør derfor bot og omvend dere, for at deres synder må bli utslettet, for at vederkvegelsens tider kan komme fra Herrens åsyn, og han skal sende Jesus.» Apg 3:19, 20.” The Great Controversy, 611.</w:t>
      </w:r>
    </w:p>
    <w:p>
      <w:pPr>
        <w:pStyle w:val="ArticleBody"/>
        <w:jc w:val="left"/>
      </w:pPr>
      <w:r>
        <w:rPr>
          <w:rFonts w:ascii="Times New Roman" w:hAnsi="Times New Roman" w:eastAsia="Times New Roman" w:cs="Times New Roman"/>
        </w:rPr>
        <w:t>Pentecost ifj in the “opening” nang “beginning” bi gospel work ar by in latter rain sa “close” ifj by in “ending.” In first ay nagrrepresentar sa last. In first month ay nag-iidentify sa outpouring iti Holy Spirit sa Sunday law.</w:t>
      </w:r>
    </w:p>
    <w:p>
      <w:pPr>
        <w:pStyle w:val="ArticleScripture"/>
        <w:jc w:val="left"/>
      </w:pPr>
      <w:r>
        <w:rPr>
          <w:rFonts w:ascii="Times New Roman" w:hAnsi="Times New Roman" w:eastAsia="Times New Roman" w:cs="Times New Roman"/>
        </w:rPr>
        <w:t>« Aucun d’entre nous ne recevra jamais le sceau de Dieu tant que nos caractères porteront une seule tache ou souillure. Il nous appartient de remédier aux défauts de nos caractères, de purifier le temple de l’âme de toute impureté. Alors la pluie de l’arrière-saison tombera sur nous, comme la pluie de la première saison tomba sur les disciples au jour de la Pentecôte. … »</w:t>
      </w:r>
    </w:p>
    <w:p>
      <w:pPr>
        <w:pStyle w:val="ArticleScripture"/>
        <w:jc w:val="left"/>
      </w:pPr>
      <w:r>
        <w:rPr>
          <w:rFonts w:ascii="Times New Roman" w:hAnsi="Times New Roman" w:eastAsia="Times New Roman" w:cs="Times New Roman"/>
        </w:rPr>
        <w:t>“Mi fin alaa jirtu yaa obboloota, hojii guddaa qophii kana keessatti? Warri biyya lafaatii wajjin tokko taʼan boca biyya lafaatii fudhachaa jiru; mallattoo bineensichaa fudhachuufis qophaaʼaa jiru. Warri of irratti amantii hin qabne, warri of gad deebisanii Waaqayyo duratti of xinneessan, akkasumas dhugaaaf abboomamuudhaan lubbuu isaanii qulqulleessan, isaan kun boca samii fudhachaa jiru; adda isaanii irratti chaappaa Waaqayyoo fudhachuufis qophaaʼaa jiru. Yommuu labsiin sun baʼee chaappaan sun maxxanfamutti, amala isaanii bara baraan qulqulluu fi xurii hin qabne taʼee ni hafa.” Testimonies, volume 5, 214, 216.</w:t>
      </w:r>
    </w:p>
    <w:p>
      <w:pPr>
        <w:pStyle w:val="ArticleBody"/>
        <w:jc w:val="left"/>
      </w:pPr>
      <w:r>
        <w:rPr>
          <w:rFonts w:ascii="Times New Roman" w:hAnsi="Times New Roman" w:eastAsia="Times New Roman" w:cs="Times New Roman"/>
        </w:rPr>
        <w:t>Der erste „Monat“ ist das Sonntagsgesetz, die „Stunde“ des großen Erdbebens ist das Sonntagsgesetz, der „Tag“ des Unglücks, der Vergeltung und der Rache ist das Sonntagsgesetz, und das annehmbare „Jahr“ ist das Sonntagsgesetz. Die einhundertfünfzig Jahre der Prophezeiung des ersten Wehes enden beim Sonntagsgesetz, wo die dreihunderteinundneunzig Jahre und fünfzehn Tage beginnen.</w:t>
      </w:r>
    </w:p>
    <w:p>
      <w:pPr>
        <w:pStyle w:val="ArticleScripture"/>
        <w:jc w:val="left"/>
      </w:pPr>
      <w:r>
        <w:rPr>
          <w:rFonts w:ascii="Times New Roman" w:hAnsi="Times New Roman" w:eastAsia="Times New Roman" w:cs="Times New Roman"/>
        </w:rPr>
        <w:t>En disant au sixième ange qui avait la trompette : Délie les quatre anges qui sont liés sur le grand fleuve Euphrate. Et les quatre anges furent déliés, ceux qui étaient prêts pour une heure, un jour, un mois et une année, afin de tuer le tiers des hommes. Apocalypse 9:14, 15.</w:t>
      </w:r>
    </w:p>
    <w:p>
      <w:pPr>
        <w:pStyle w:val="ArticleBody"/>
        <w:jc w:val="left"/>
      </w:pPr>
      <w:r>
        <w:rPr>
          <w:rFonts w:ascii="Times New Roman" w:hAnsi="Times New Roman" w:eastAsia="Times New Roman" w:cs="Times New Roman"/>
        </w:rPr>
        <w:t>I “quattro angeli” che erano “legati sul gran fiume Eufrate” vengono “sciolti” all’ora della legge domenicale. Essi sono stati profeticamente “preparati” per l’ora, il giorno, il mese e l’anno del secondo guaio, per uccidere la terza parte degli uomini. Gli Stati Uniti vengono uccisi come il sesto regno della profezia biblica alla legge domenicale, e gli Stati Uniti costituiscono un terzo della triplice unione che viene stabilita alla legge domenicale. Il secondo guaio si ripete nel terzo guaio, proprio come il secondo angelo si ripete nel terzo angelo.</w:t>
      </w:r>
    </w:p>
    <w:p>
      <w:pPr>
        <w:pStyle w:val="ArticleBody"/>
        <w:jc w:val="left"/>
      </w:pPr>
      <w:r>
        <w:rPr>
          <w:rFonts w:ascii="Times New Roman" w:hAnsi="Times New Roman" w:eastAsia="Times New Roman" w:cs="Times New Roman"/>
        </w:rPr>
        <w:t>Akwatrew mframa no yii wɔn ano wɔ 9/11, de hyɛɛ ɔha aduanan anan ne apem no nsɔanohyɛ ase, na ntɛm ara wɔhyɛɛ wɔn so bio. Sɛ wɔn a wɔagyina hɔ ama wɔn a wɔwɔ Yesaia aduosia-baako mu a wɔredi awerɛhow no nya awerɛkyekye a, wɔde Honhom Kyɛfa no hwie gu koraa wɔn so wɔ Kwasida mmara no bere mu na ɛkyekye wɔn werɛ; eyi nso ne asasewosow kɛse no “dɔnhwerew” no. Wɔn a wɔredi awerɛhow wɔ afe a eye no mu no ara ne wɔn a wɔredi awerɛhow wɔ Hesekiel akron mu no, a wonya Onyankopɔn nsɔano no. Yesu fii ne som adwuma ase denam Yesaia aduosia-baako a ɔfaa ho asɛm no so, na Onua Bea White de Ne kasa yi toto yɛn adwuma no ho.</w:t>
      </w:r>
    </w:p>
    <w:p>
      <w:pPr>
        <w:pStyle w:val="ArticleScripture"/>
        <w:jc w:val="left"/>
      </w:pPr>
      <w:r>
        <w:rPr>
          <w:rFonts w:ascii="Times New Roman" w:hAnsi="Times New Roman" w:eastAsia="Times New Roman" w:cs="Times New Roman"/>
        </w:rPr>
        <w:t>“Kristus ilmoitti tehtävänsä maailmalle, kun hän Nasaretin synagogassa luki Jesajan profetiasta: ‘Herran Henki on minun päälläni, sentähden että hän on voidellut minut julistamaan evankeliumia köyhille; hän on lähettänyt minut parantamaan särjetyt sydämet, saarnaamaan vangituille vapautusta ja sokeille näkönsä palautumista, päästämään ruhjotut vapauteen, julistamaan Herran otollista vuotta.’ Mikä työ olikaan hänen edessään!—Julistaa Herran otollista vuotta. Tämä ajanjakso käsittää aikakauden toisensa jälkeen, ulottuu vuosisadasta vuosisataan, niin kauan kuin armonaika kestää. Jumala odottaa kuullakseen pyytämisen ja kolkuttamisen; hän tarkkaa nähdäkseen ihmiskunnan lähestyvän häntä, joka yksin voi meitä auttaa. Hän ikävöi antaa heidän syntinsä anteeksi, ottaa heidät omikseen. Hän ottaa vastaan jokaisen murtuneen sielun, joka tulee hänen tykönsä; sillä juuri tätä työtä varten Jumala voiteli ainoasyntyisen Poikansa.”</w:t>
      </w:r>
    </w:p>
    <w:p>
      <w:pPr>
        <w:pStyle w:val="ArticleScripture"/>
        <w:jc w:val="left"/>
      </w:pPr>
      <w:r>
        <w:rPr>
          <w:rFonts w:ascii="Times New Roman" w:hAnsi="Times New Roman" w:eastAsia="Times New Roman" w:cs="Times New Roman"/>
        </w:rPr>
        <w:t>«Ma allora perché Cristo non completò l’affermazione riportata in Isaia? Perché omise la clausola: “e il giorno della vendetta del nostro Dio”? La parte finale di questa frase era verità tanto quanto la prima; e Cristo non negò la verità con il suo silenzio, trattenendo una parte delle sue stesse parole date al suo profeta eletto. Ma quest’ultima clausola era precisamente quella sulla quale i suoi uditori si compiacevano di soffermarsi, e che erano inclini a mettere in pratica, pronunciando giudizio su tutti coloro che non appartenevano alla loro fede religiosa. Invece di dare al popolo parole di verità, di giustizia e di perdono, avevano insegnato loro che Dio odiava tutto il mondo pagano. Il carattere paterno di Dio era stato travisato e sepolto sotto le tradizioni umane. Signs of the Times, 14 gennaio 1897.»</w:t>
      </w:r>
    </w:p>
    <w:p>
      <w:pPr>
        <w:pStyle w:val="ArticleScripture"/>
        <w:jc w:val="left"/>
      </w:pPr>
      <w:r>
        <w:rPr>
          <w:rFonts w:ascii="Times New Roman" w:hAnsi="Times New Roman" w:eastAsia="Times New Roman" w:cs="Times New Roman"/>
        </w:rPr>
        <w:t>“L’essiènge d’la mission du peuple de Dieu dens ch’t’âge est tracée dens les paroles inspirées qui décrivent l’œuvre du Messie : ‘L’Esprit du Seigneur, l’Éternel, est sur moi, parce que l’Éternel m’a oint pour porter de bonnes nouvelles aux débonnaires ; il m’a envoyé pour guérir ceux qui ont le cœur brisé, pour proclamer la liberté aux captifs, et l’ouverture de la prison à ceux qui sont liés ; pour proclamer une année de grâce de l’Éternel, et le jour de la vengeance de notre Dieu ; pour consoler tous ceux qui mènent deuil, pour accorder à ceux qui mènent deuil en Sion, pour leur donner un diadème au lieu de la cendre, une huile de joie au lieu du deuil, un vêtement de louange au lieu d’un esprit abattu ; afin qu’on les appelle térébinthes de justice, plantation de l’Éternel, pour servir à sa gloire.’”</w:t>
      </w:r>
    </w:p>
    <w:p>
      <w:pPr>
        <w:pStyle w:val="ArticleScripture"/>
        <w:jc w:val="left"/>
      </w:pPr>
      <w:r>
        <w:rPr>
          <w:rFonts w:ascii="Times New Roman" w:hAnsi="Times New Roman" w:eastAsia="Times New Roman" w:cs="Times New Roman"/>
        </w:rPr>
        <w:t>«“Na bakotonga lisusu bisika ya kala oyo ebebisamaki, bakotelemisa lisusu mabebi ya liboso, mpe bakobongisa bingumba oyo ekómaki bitika, mabebi ya bikeke mingi.”» Lake Union Herald, 11 Sanza ya Zomi na Moko, 1908.</w:t>
      </w:r>
    </w:p>
    <w:p>
      <w:pPr>
        <w:pStyle w:val="ArticleBody"/>
        <w:jc w:val="left"/>
      </w:pPr>
      <w:r>
        <w:rPr>
          <w:rFonts w:ascii="Times New Roman" w:hAnsi="Times New Roman" w:eastAsia="Times New Roman" w:cs="Times New Roman"/>
        </w:rPr>
        <w:t>Kabla hatujaendelea zaidi katika kurudiwa kwa ole ya pili ndani ya ole ya tatu, yapasa tukumbuke kwamba ujumbe huu unapaswa kueleweka kwa kuleta “mstari juu ya mstari.” Hili linaonyesha kwamba kila “saa,” “siku,” “mwezi” na “mwaka” katika Neno lililovuviwa, linalolingana na muktadha wa sheria ya Jumapili, linapaswa pia kutumiwa katika maandalizi ya Uislamu kuipiga sheria ya Jumapili.</w:t>
      </w:r>
    </w:p>
    <w:p>
      <w:pPr>
        <w:pStyle w:val="ArticleBody"/>
        <w:jc w:val="left"/>
      </w:pPr>
      <w:r>
        <w:rPr>
          <w:rFonts w:ascii="Times New Roman" w:hAnsi="Times New Roman" w:eastAsia="Times New Roman" w:cs="Times New Roman"/>
        </w:rPr>
        <w:t>Fa’ita’iga: o le upu “itula” e na o le tasi le tusi o le Feagaiga Tuai e maua ai, ma o lea tusi o le tusi a Tanielu. I le tusi a Tanielu, e lima taimi e ta’ua ai le “itula.”</w:t>
      </w:r>
    </w:p>
    <w:p>
      <w:pPr>
        <w:pStyle w:val="ArticleScripture"/>
        <w:jc w:val="left"/>
      </w:pPr>
      <w:r>
        <w:rPr>
          <w:rFonts w:ascii="Times New Roman" w:hAnsi="Times New Roman" w:eastAsia="Times New Roman" w:cs="Times New Roman"/>
        </w:rPr>
        <w:t>Na nyonso oyo akokwea te mpe akosambela te, na ngonga yango moko akobwakama na katikati ya litumbu ya mótɔ oyo ezali kopela makasi. … Sikawa, soki bozali pene, ete na ntango nyonso bokoyoka lokito ya kelelo, flite, lindanda, sakabute, nzembo ya bibɛtɛlo, mpe dulcimer, mpe lolenge nyonso ya miziki, bokwea mpe bosambela ekeko oyo nasali; malamu: kasi soki bosambeli te, na ngonga yango moko bokobwakama na katikati ya litumbu ya mótɔ oyo ezali kopela makasi; mpe Nzambe nini yango oyo akobikisa bino na mabɔkɔ na ngai? Daniel 3:6, 15.</w:t>
      </w:r>
    </w:p>
    <w:p>
      <w:pPr>
        <w:pStyle w:val="ArticleBody"/>
        <w:jc w:val="left"/>
      </w:pPr>
      <w:r>
        <w:rPr>
          <w:rFonts w:ascii="Nirmala UI" w:hAnsi="Nirmala UI" w:eastAsia="Nirmala UI" w:cs="Nirmala UI"/>
        </w:rPr>
        <w:t>বারতহৌ</w:t>
      </w:r>
      <w:r>
        <w:rPr>
          <w:rFonts w:ascii="Times New Roman" w:hAnsi="Times New Roman" w:eastAsia="Times New Roman" w:cs="Times New Roman"/>
        </w:rPr>
        <w:t xml:space="preserve"> </w:t>
      </w:r>
      <w:r>
        <w:rPr>
          <w:rFonts w:ascii="Nirmala UI" w:hAnsi="Nirmala UI" w:eastAsia="Nirmala UI" w:cs="Nirmala UI"/>
        </w:rPr>
        <w:t>साहेबा</w:t>
      </w:r>
      <w:r>
        <w:rPr>
          <w:rFonts w:ascii="Times New Roman" w:hAnsi="Times New Roman" w:eastAsia="Times New Roman" w:cs="Times New Roman"/>
        </w:rPr>
        <w:t xml:space="preserve"> </w:t>
      </w:r>
      <w:r>
        <w:rPr>
          <w:rFonts w:ascii="Nirmala UI" w:hAnsi="Nirmala UI" w:eastAsia="Nirmala UI" w:cs="Nirmala UI"/>
        </w:rPr>
        <w:t>ডানিয়েলের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অধ্যায়কে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ক্ষণ</w:t>
      </w:r>
      <w:r>
        <w:rPr>
          <w:rFonts w:ascii="Times New Roman" w:hAnsi="Times New Roman" w:eastAsia="Times New Roman" w:cs="Times New Roman"/>
        </w:rPr>
        <w:t>”-</w:t>
      </w:r>
      <w:r>
        <w:rPr>
          <w:rFonts w:ascii="Nirmala UI" w:hAnsi="Nirmala UI" w:eastAsia="Nirmala UI" w:cs="Nirmala UI"/>
        </w:rPr>
        <w:t>কেও</w:t>
      </w:r>
      <w:r>
        <w:rPr>
          <w:rFonts w:ascii="Times New Roman" w:hAnsi="Times New Roman" w:eastAsia="Times New Roman" w:cs="Times New Roman"/>
        </w:rPr>
        <w:t xml:space="preserve">, </w:t>
      </w:r>
      <w:r>
        <w:rPr>
          <w:rFonts w:ascii="Nirmala UI" w:hAnsi="Nirmala UI" w:eastAsia="Nirmala UI" w:cs="Nirmala UI"/>
        </w:rPr>
        <w:t>বারবার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প্রয়োগ</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ডানিয়েলের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নেবূখদ্</w:t>
      </w:r>
      <w:r>
        <w:rPr>
          <w:rFonts w:ascii="Times New Roman" w:hAnsi="Times New Roman" w:eastAsia="Times New Roman" w:cs="Times New Roman"/>
        </w:rPr>
        <w:t>‌</w:t>
      </w:r>
      <w:r>
        <w:rPr>
          <w:rFonts w:ascii="Nirmala UI" w:hAnsi="Nirmala UI" w:eastAsia="Nirmala UI" w:cs="Nirmala UI"/>
        </w:rPr>
        <w:t>নেজ্</w:t>
      </w:r>
      <w:r>
        <w:rPr>
          <w:rFonts w:ascii="Times New Roman" w:hAnsi="Times New Roman" w:eastAsia="Times New Roman" w:cs="Times New Roman"/>
        </w:rPr>
        <w:t>‌</w:t>
      </w:r>
      <w:r>
        <w:rPr>
          <w:rFonts w:ascii="Nirmala UI" w:hAnsi="Nirmala UI" w:eastAsia="Nirmala UI" w:cs="Nirmala UI"/>
        </w:rPr>
        <w:t>সরের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ডানিয়েল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ক্ষণ</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বিমূঢ়</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থাকেন।</w:t>
      </w:r>
    </w:p>
    <w:p>
      <w:pPr>
        <w:pStyle w:val="ArticleScripture"/>
        <w:jc w:val="left"/>
      </w:pPr>
      <w:r>
        <w:rPr>
          <w:rFonts w:ascii="Times New Roman" w:hAnsi="Times New Roman" w:eastAsia="Times New Roman" w:cs="Times New Roman"/>
        </w:rPr>
        <w:t>Kagyat si Daniel, nga ginganlan man Belteshazzar, nahitingala sulod sa usa ka takna, ug ang iyang mga hunahuna nakasamok kaniya. Ang hari misulti ug miingon, Belteshazzar, ayaw itugot nga ang damgo, o ang paghubad niana, makasamok kanimo. Si Belteshazzar mitubag ug miingon, Ginoo ko, hinaut unta nga ang damgo maadto kanila nga nagadumot kanimo, ug ang paghubad niana maadto sa imong mga kaaway. Daniel 4:19.</w:t>
      </w:r>
    </w:p>
    <w:p>
      <w:pPr>
        <w:pStyle w:val="ArticleBody"/>
        <w:jc w:val="left"/>
      </w:pPr>
      <w:r>
        <w:rPr>
          <w:rFonts w:ascii="Nirmala UI" w:hAnsi="Nirmala UI" w:eastAsia="Nirmala UI" w:cs="Nirmala UI"/>
        </w:rPr>
        <w:t>ਡਾਨੀਏਲ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ਹੈਰਾਨ</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ਸੁਚਨਾ</w:t>
      </w:r>
      <w:r>
        <w:rPr>
          <w:rFonts w:ascii="Times New Roman" w:hAnsi="Times New Roman" w:eastAsia="Times New Roman" w:cs="Times New Roman"/>
        </w:rPr>
        <w:t xml:space="preserve"> </w:t>
      </w:r>
      <w:r>
        <w:rPr>
          <w:rFonts w:ascii="Nirmala UI" w:hAnsi="Nirmala UI" w:eastAsia="Nirmala UI" w:cs="Nirmala UI"/>
        </w:rPr>
        <w:t>ਕਿਵੇਂ</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ਡਾਨੀਏਲ</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ਸੰਦੇਸ਼ਵਾਹਕ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ਨੇਬੂਕਦਨੇੱਸਰ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ਲਿਆਇਆ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Saati iyo saa’addaas ayaa waxii lagu xukumay Nebukadnesar ku rumowday; oo dadka waa laga eryay, cawsna wuxuu u cunay sida dibiyada, jidhkiisuna wuxuu ku qoyay sayaxa samada, ilaa timihiisii u koreen sida baalasha gorgorrada, oo cidiyihiisiina sida haadadka qoolleyahooda. Daanyeel 4:33.</w:t>
      </w:r>
    </w:p>
    <w:p>
      <w:pPr>
        <w:pStyle w:val="ArticleBody"/>
        <w:jc w:val="left"/>
      </w:pPr>
      <w:r>
        <w:rPr>
          <w:rFonts w:ascii="Nirmala UI" w:hAnsi="Nirmala UI" w:eastAsia="Nirmala UI" w:cs="Nirmala UI"/>
        </w:rPr>
        <w:t>ડેનિયલ</w:t>
      </w:r>
      <w:r>
        <w:rPr>
          <w:rFonts w:ascii="Times New Roman" w:hAnsi="Times New Roman" w:eastAsia="Times New Roman" w:cs="Times New Roman"/>
        </w:rPr>
        <w:t xml:space="preserve"> </w:t>
      </w:r>
      <w:r>
        <w:rPr>
          <w:rFonts w:ascii="Nirmala UI" w:hAnsi="Nirmala UI" w:eastAsia="Nirmala UI" w:cs="Nirmala UI"/>
        </w:rPr>
        <w:t>આવનાર</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બાબેલોન</w:t>
      </w:r>
      <w:r>
        <w:rPr>
          <w:rFonts w:ascii="Times New Roman" w:hAnsi="Times New Roman" w:eastAsia="Times New Roman" w:cs="Times New Roman"/>
        </w:rPr>
        <w:t xml:space="preserve"> </w:t>
      </w:r>
      <w:r>
        <w:rPr>
          <w:rFonts w:ascii="Nirmala UI" w:hAnsi="Nirmala UI" w:eastAsia="Nirmala UI" w:cs="Nirmala UI"/>
        </w:rPr>
        <w:t>ઉપરના</w:t>
      </w:r>
      <w:r>
        <w:rPr>
          <w:rFonts w:ascii="Times New Roman" w:hAnsi="Times New Roman" w:eastAsia="Times New Roman" w:cs="Times New Roman"/>
        </w:rPr>
        <w:t xml:space="preserve"> </w:t>
      </w:r>
      <w:r>
        <w:rPr>
          <w:rFonts w:ascii="Nirmala UI" w:hAnsi="Nirmala UI" w:eastAsia="Nirmala UI" w:cs="Nirmala UI"/>
        </w:rPr>
        <w:t>ન્યાયની</w:t>
      </w:r>
      <w:r>
        <w:rPr>
          <w:rFonts w:ascii="Times New Roman" w:hAnsi="Times New Roman" w:eastAsia="Times New Roman" w:cs="Times New Roman"/>
        </w:rPr>
        <w:t xml:space="preserve"> “</w:t>
      </w:r>
      <w:r>
        <w:rPr>
          <w:rFonts w:ascii="Nirmala UI" w:hAnsi="Nirmala UI" w:eastAsia="Nirmala UI" w:cs="Nirmala UI"/>
        </w:rPr>
        <w:t>ઘડી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ઘડીઓ</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ભૂકંપની</w:t>
      </w:r>
      <w:r>
        <w:rPr>
          <w:rFonts w:ascii="Times New Roman" w:hAnsi="Times New Roman" w:eastAsia="Times New Roman" w:cs="Times New Roman"/>
        </w:rPr>
        <w:t xml:space="preserve"> </w:t>
      </w:r>
      <w:r>
        <w:rPr>
          <w:rFonts w:ascii="Nirmala UI" w:hAnsi="Nirmala UI" w:eastAsia="Nirmala UI" w:cs="Nirmala UI"/>
        </w:rPr>
        <w:t>ઘડી</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નેબૂખદનેઝ્ઝર</w:t>
      </w:r>
      <w:r>
        <w:rPr>
          <w:rFonts w:ascii="Times New Roman" w:hAnsi="Times New Roman" w:eastAsia="Times New Roman" w:cs="Times New Roman"/>
        </w:rPr>
        <w:t xml:space="preserve"> </w:t>
      </w:r>
      <w:r>
        <w:rPr>
          <w:rFonts w:ascii="Nirmala UI" w:hAnsi="Nirmala UI" w:eastAsia="Nirmala UI" w:cs="Nirmala UI"/>
        </w:rPr>
        <w:t>બાબેલોનની</w:t>
      </w:r>
      <w:r>
        <w:rPr>
          <w:rFonts w:ascii="Times New Roman" w:hAnsi="Times New Roman" w:eastAsia="Times New Roman" w:cs="Times New Roman"/>
        </w:rPr>
        <w:t xml:space="preserve"> </w:t>
      </w:r>
      <w:r>
        <w:rPr>
          <w:rFonts w:ascii="Nirmala UI" w:hAnsi="Nirmala UI" w:eastAsia="Nirmala UI" w:cs="Nirmala UI"/>
        </w:rPr>
        <w:t>વાર્તાનો</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બેલ્શજ્ઝર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રાત્રે</w:t>
      </w:r>
      <w:r>
        <w:rPr>
          <w:rFonts w:ascii="Times New Roman" w:hAnsi="Times New Roman" w:eastAsia="Times New Roman" w:cs="Times New Roman"/>
        </w:rPr>
        <w:t xml:space="preserve"> </w:t>
      </w:r>
      <w:r>
        <w:rPr>
          <w:rFonts w:ascii="Nirmala UI" w:hAnsi="Nirmala UI" w:eastAsia="Nirmala UI" w:cs="Nirmala UI"/>
        </w:rPr>
        <w:t>દિવાલ</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હાથનું</w:t>
      </w:r>
      <w:r>
        <w:rPr>
          <w:rFonts w:ascii="Times New Roman" w:hAnsi="Times New Roman" w:eastAsia="Times New Roman" w:cs="Times New Roman"/>
        </w:rPr>
        <w:t xml:space="preserve"> </w:t>
      </w:r>
      <w:r>
        <w:rPr>
          <w:rFonts w:ascii="Nirmala UI" w:hAnsi="Nirmala UI" w:eastAsia="Nirmala UI" w:cs="Nirmala UI"/>
        </w:rPr>
        <w:t>લખાણ</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રાત્રે</w:t>
      </w:r>
      <w:r>
        <w:rPr>
          <w:rFonts w:ascii="Times New Roman" w:hAnsi="Times New Roman" w:eastAsia="Times New Roman" w:cs="Times New Roman"/>
        </w:rPr>
        <w:t xml:space="preserve"> </w:t>
      </w:r>
      <w:r>
        <w:rPr>
          <w:rFonts w:ascii="Nirmala UI" w:hAnsi="Nirmala UI" w:eastAsia="Nirmala UI" w:cs="Nirmala UI"/>
        </w:rPr>
        <w:t>બેલ્શજ્ઝર</w:t>
      </w:r>
      <w:r>
        <w:rPr>
          <w:rFonts w:ascii="Times New Roman" w:hAnsi="Times New Roman" w:eastAsia="Times New Roman" w:cs="Times New Roman"/>
        </w:rPr>
        <w:t xml:space="preserve"> </w:t>
      </w:r>
      <w:r>
        <w:rPr>
          <w:rFonts w:ascii="Nirmala UI" w:hAnsi="Nirmala UI" w:eastAsia="Nirmala UI" w:cs="Nirmala UI"/>
        </w:rPr>
        <w:t>માર્યો</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cette même heure, les doigts d’une main d’homme apparurent, et ils écrivirent, vis-à-vis du chandelier, sur le plâtre de la muraille du palais royal ; et le roi vit l’extrémité de la main qui écrivait. Daniel 5:5.</w:t>
      </w:r>
    </w:p>
    <w:p>
      <w:pPr>
        <w:pStyle w:val="ArticleBody"/>
        <w:jc w:val="left"/>
      </w:pP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भित्तामा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भित्तो</w:t>
      </w:r>
      <w:r>
        <w:rPr>
          <w:rFonts w:ascii="Times New Roman" w:hAnsi="Times New Roman" w:eastAsia="Times New Roman" w:cs="Times New Roman"/>
        </w:rPr>
        <w:t xml:space="preserve">” </w:t>
      </w:r>
      <w:r>
        <w:rPr>
          <w:rFonts w:ascii="Nirmala UI" w:hAnsi="Nirmala UI" w:eastAsia="Nirmala UI" w:cs="Nirmala UI"/>
        </w:rPr>
        <w:t>भत्काउँछ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अमेरिकाजस्तै</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तेइसमा</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टायरकी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बिर्सिएकी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दिनहरू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बेलशज्जरको</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पतनले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पतनको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भित्तामाथिको</w:t>
      </w:r>
      <w:r>
        <w:rPr>
          <w:rFonts w:ascii="Times New Roman" w:hAnsi="Times New Roman" w:eastAsia="Times New Roman" w:cs="Times New Roman"/>
        </w:rPr>
        <w:t xml:space="preserve"> </w:t>
      </w:r>
      <w:r>
        <w:rPr>
          <w:rFonts w:ascii="Nirmala UI" w:hAnsi="Nirmala UI" w:eastAsia="Nirmala UI" w:cs="Nirmala UI"/>
        </w:rPr>
        <w:t>हस्तलेख</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अजिङ्गरझैँ</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कार्यसँग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p>
    <w:p>
      <w:pPr>
        <w:pStyle w:val="ArticleBody"/>
        <w:jc w:val="left"/>
      </w:pPr>
      <w:r>
        <w:rPr>
          <w:rFonts w:ascii="Times New Roman" w:hAnsi="Times New Roman" w:eastAsia="Times New Roman" w:cs="Times New Roman"/>
        </w:rPr>
        <w:t>V Ufunuo kumi na nane hukumu juu ya Babeli huanza katika sheria ya Jumapili katika mstari wa nne, wakati sauti ya pili inatambulisha kwamba hukumu yake huja katika saa moja na pia katika siku moja.</w:t>
      </w:r>
    </w:p>
    <w:p>
      <w:pPr>
        <w:pStyle w:val="ArticleScripture"/>
        <w:jc w:val="left"/>
      </w:pPr>
      <w:r>
        <w:rPr>
          <w:rFonts w:ascii="Times New Roman" w:hAnsi="Times New Roman" w:eastAsia="Times New Roman" w:cs="Times New Roman"/>
        </w:rPr>
        <w:t>Ndzi twa rito rin’wana ri huma etilweni, ri ku: Humesani eka yena, n’wina vanhu va mina, leswaku mi nga vi vadyi va swidyoho swa yena, ni leswaku mi nga amukeli makhombo ya yena. Hikuva swidyoho swa yena swi fikelela etilweni, naswona Xikwembu xi tsundzuke ku homboloka ka yena. N’wi hakeleni hilaha na yena a va hakeleke hakona, mi tlhela mi n’wi nyika kambirhi hi mpimo wa mintirho ya yena: eka xinwelo lexi a xi tatiseke, mi n’wi tatisa kambirhi. Hi mpimo lowu a tikuriseke ha wona, ni ku hanya hi ku tiantswisa, n’wi nyikeni ku xaniseka ni gome hi mpimo wolowo: hikuva u vula embilwini ya yena a ku: Ndzi tshame tanihi hosi ya xisati, naswona a ndzi noni, naswona a ndzi nge pfuki ndzi vona gome. Hikokwalaho makhombo ya yena ma ta fika hi siku rin’we, rifu, ni ku rila, ni ndlala; naswona u ta hisiwa hi ndzilo hi ku helela: hikuva u ni matimba Hosi Xikwembu lexi n’wi avanyisaka. Kutani tihosi ta misava, leti endleke vugangu ni ku hanya hi ku tiantswisa na yena, ti ta n’wi rilela, ti n’wi vekela swililo, loko ti vona musi wa ku hisiwa ka yena, ti yime ekule hikwalaho ka ku chava ku xaniseka ka yena, ti ku: Yowee, yowee, muti lowukulu Babilona, muti wolowo wa matimba! hikuva ku avanyisiwa ka wena ku fike hi nkarhi wa awara yin’we. Nhlavutelo 18:4–10.</w:t>
      </w:r>
    </w:p>
    <w:p>
      <w:pPr>
        <w:pStyle w:val="ArticleBody"/>
        <w:jc w:val="left"/>
      </w:pPr>
      <w:r>
        <w:rPr>
          <w:rFonts w:ascii="Times New Roman" w:hAnsi="Times New Roman" w:eastAsia="Times New Roman" w:cs="Times New Roman"/>
        </w:rPr>
        <w:t>A bayyane yake cewa hukuncin da ke sauka a kan Babila a hankali yana farawa ne daga dokar Lahadi ta aya ta huɗu, sa’ad da ake kiran sauran garken Allah su fito daga Babila. Yahaya ya bayyana lokacin hukuncinta duka a matsayin “rana” da kuma “sa’a,” yana tabbatar da cewa alamomin lokaci ya kamata a fahimce su a ma’anar alama.</w:t>
      </w:r>
    </w:p>
    <w:p>
      <w:pPr>
        <w:pStyle w:val="ArticleBody"/>
        <w:jc w:val="left"/>
      </w:pPr>
      <w:r>
        <w:rPr>
          <w:rFonts w:ascii="Times New Roman" w:hAnsi="Times New Roman" w:eastAsia="Times New Roman" w:cs="Times New Roman"/>
        </w:rPr>
        <w:t>La Pâque devait être observée au premier mois, et la Pâque correspond à la croix, laquelle, à son tour, correspond à la loi du dimanche.</w:t>
      </w:r>
    </w:p>
    <w:p>
      <w:pPr>
        <w:pStyle w:val="ArticleScripture"/>
        <w:jc w:val="left"/>
      </w:pPr>
      <w:r>
        <w:rPr>
          <w:rFonts w:ascii="Times New Roman" w:hAnsi="Times New Roman" w:eastAsia="Times New Roman" w:cs="Times New Roman"/>
        </w:rPr>
        <w:t>ANdriamanitra niteny tamin’i Mosesy sy Arona tany amin’ny tany Egypta ka nanao hoe: Ity volana ity no ho fiandohan’ny volana ho anareo; dia izy no ho volana voalohany amin’ny taona ho anareo. Mitenena amin’ny fiangonan’Israely rehetra hoe: Amin’ny andro fahafolo amin’ity volana ity dia samy haka zanak’ondry ho azy avy ny olona rehetra, araka ny ankohonan-drainy, dia zanak’ondry iray ho an’ny isan-trano; ary raha vitsy loatra ny ao amin’ny ankohonana ka tsy ampy ho an’ny zanak’ondry, dia izy sy ny namany akaiky indrindra amin’ny tranony no hiaraka haka azy, araka ny isan’ny olona; samy araka izay fihinany avy no hanisanareo ny amin’ilay zanak’ondry. Ny zanak’ondrinareo dia tsy maintsy tsy misy kilema, lahy iray taona; avy amin’ny ondry na avy amin’ny osy no hakareo azy; ary hotehirizinareo izany mandra-pahatongan’ny andro fahefatra ambin’ny folo amin’izany volana izany; dia hovonoin’ny fiangonan’Israely manontolo amin’ny hariva izany. Eksodosy 12:1–6.</w:t>
      </w:r>
    </w:p>
    <w:p>
      <w:pPr>
        <w:pStyle w:val="ArticleBody"/>
        <w:jc w:val="left"/>
      </w:pPr>
      <w:r>
        <w:rPr>
          <w:rFonts w:ascii="Nirmala UI" w:hAnsi="Nirmala UI" w:eastAsia="Nirmala UI" w:cs="Nirmala UI"/>
        </w:rPr>
        <w:t>फसह</w:t>
      </w:r>
      <w:r>
        <w:rPr>
          <w:rFonts w:ascii="Times New Roman" w:hAnsi="Times New Roman" w:eastAsia="Times New Roman" w:cs="Times New Roman"/>
        </w:rPr>
        <w:t xml:space="preserve"> </w:t>
      </w:r>
      <w:r>
        <w:rPr>
          <w:rFonts w:ascii="Nirmala UI" w:hAnsi="Nirmala UI" w:eastAsia="Nirmala UI" w:cs="Nirmala UI"/>
        </w:rPr>
        <w:t>पिन्तेकुस्ती</w:t>
      </w:r>
      <w:r>
        <w:rPr>
          <w:rFonts w:ascii="Times New Roman" w:hAnsi="Times New Roman" w:eastAsia="Times New Roman" w:cs="Times New Roman"/>
        </w:rPr>
        <w:t xml:space="preserve"> </w:t>
      </w:r>
      <w:r>
        <w:rPr>
          <w:rFonts w:ascii="Nirmala UI" w:hAnsi="Nirmala UI" w:eastAsia="Nirmala UI" w:cs="Nirmala UI"/>
        </w:rPr>
        <w:t>ऋतुको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पिन्तेकुस्तलाई</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तम्बू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महिनाको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झण्डाका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कलीसियाको</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हायको</w:t>
      </w:r>
      <w:r>
        <w:rPr>
          <w:rFonts w:ascii="Times New Roman" w:hAnsi="Times New Roman" w:eastAsia="Times New Roman" w:cs="Times New Roman"/>
        </w:rPr>
        <w:t xml:space="preserve"> “</w:t>
      </w:r>
      <w:r>
        <w:rPr>
          <w:rFonts w:ascii="Nirmala UI" w:hAnsi="Nirmala UI" w:eastAsia="Nirmala UI" w:cs="Nirmala UI"/>
        </w:rPr>
        <w:t>घण्टा</w:t>
      </w:r>
      <w:r>
        <w:rPr>
          <w:rFonts w:ascii="Times New Roman" w:hAnsi="Times New Roman" w:eastAsia="Times New Roman" w:cs="Times New Roman"/>
        </w:rPr>
        <w:t>,” “</w:t>
      </w:r>
      <w:r>
        <w:rPr>
          <w:rFonts w:ascii="Nirmala UI" w:hAnsi="Nirmala UI" w:eastAsia="Nirmala UI" w:cs="Nirmala UI"/>
        </w:rPr>
        <w:t>दिन</w:t>
      </w:r>
      <w:r>
        <w:rPr>
          <w:rFonts w:ascii="Times New Roman" w:hAnsi="Times New Roman" w:eastAsia="Times New Roman" w:cs="Times New Roman"/>
        </w:rPr>
        <w:t>,”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प्रसङ्ग</w:t>
      </w:r>
      <w:r>
        <w:rPr>
          <w:rFonts w:ascii="Times New Roman" w:hAnsi="Times New Roman" w:eastAsia="Times New Roman" w:cs="Times New Roman"/>
        </w:rPr>
        <w:t xml:space="preserve"> </w:t>
      </w:r>
      <w:r>
        <w:rPr>
          <w:rFonts w:ascii="Nirmala UI" w:hAnsi="Nirmala UI" w:eastAsia="Nirmala UI" w:cs="Nirmala UI"/>
        </w:rPr>
        <w:t>अनुकूल</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पङ्क्तिमाथि</w:t>
      </w:r>
      <w:r>
        <w:rPr>
          <w:rFonts w:ascii="Times New Roman" w:hAnsi="Times New Roman" w:eastAsia="Times New Roman" w:cs="Times New Roman"/>
        </w:rPr>
        <w:t xml:space="preserve"> </w:t>
      </w:r>
      <w:r>
        <w:rPr>
          <w:rFonts w:ascii="Nirmala UI" w:hAnsi="Nirmala UI" w:eastAsia="Nirmala UI" w:cs="Nirmala UI"/>
        </w:rPr>
        <w:t>पङ्क्ति</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अभिव्यक्तिहरू</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खान्छन्।</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सतावटको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1,260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शहीदहरूलाई</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मोहोरमा</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प्रश्नसहित</w:t>
      </w:r>
      <w:r>
        <w:rPr>
          <w:rFonts w:ascii="Times New Roman" w:hAnsi="Times New Roman" w:eastAsia="Times New Roman" w:cs="Times New Roman"/>
        </w:rPr>
        <w:t xml:space="preserve"> </w:t>
      </w:r>
      <w:r>
        <w:rPr>
          <w:rFonts w:ascii="Nirmala UI" w:hAnsi="Nirmala UI" w:eastAsia="Nirmala UI" w:cs="Nirmala UI"/>
        </w:rPr>
        <w:t>प्रभुलाई</w:t>
      </w:r>
      <w:r>
        <w:rPr>
          <w:rFonts w:ascii="Times New Roman" w:hAnsi="Times New Roman" w:eastAsia="Times New Roman" w:cs="Times New Roman"/>
        </w:rPr>
        <w:t xml:space="preserve"> </w:t>
      </w:r>
      <w:r>
        <w:rPr>
          <w:rFonts w:ascii="Nirmala UI" w:hAnsi="Nirmala UI" w:eastAsia="Nirmala UI" w:cs="Nirmala UI"/>
        </w:rPr>
        <w:t>पुकार्न</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शक्तिमाथि</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नहुने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रक्तपातको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चरणमा</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सतावट</w:t>
      </w:r>
      <w:r>
        <w:rPr>
          <w:rFonts w:ascii="Times New Roman" w:hAnsi="Times New Roman" w:eastAsia="Times New Roman" w:cs="Times New Roman"/>
        </w:rPr>
        <w:t xml:space="preserve"> </w:t>
      </w:r>
      <w:r>
        <w:rPr>
          <w:rFonts w:ascii="Nirmala UI" w:hAnsi="Nirmala UI" w:eastAsia="Nirmala UI" w:cs="Nirmala UI"/>
        </w:rPr>
        <w:t>भोग्दा</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चिन्ता</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Lakini watakapowaongoza na kuwapeleka ili msalitiwe, msitangulie kufikiri mtakayosema, wala msitafakari mapema; bali lo lote mtakalopewa katika saa ile, lisemeni hilo; kwa maana si ninyi msemao, bali ni Roho Mtakatifu. Marko 13:11.</w:t>
      </w:r>
    </w:p>
    <w:p>
      <w:pPr>
        <w:pStyle w:val="ArticleBody"/>
        <w:jc w:val="left"/>
      </w:pPr>
      <w:r>
        <w:rPr>
          <w:rFonts w:ascii="Times New Roman" w:hAnsi="Times New Roman" w:eastAsia="Times New Roman" w:cs="Times New Roman"/>
        </w:rPr>
        <w:t>Ɔhaw a edi kan no mu no, wɔyɛɛ nnipa ayayade mfe ɔha ne aduonum. Saa mfe no fii ase wɔ July 27, 1299, na ɛbaa awiei wɔ July 27, 1449, bere a abɔfo baanan no gyaee mframa baanan a wɔasiesie wɔn ama dɔnhwerew, da, ɔsram, ne afe no, sɛ wokunkum nnipa mu nkyem abiɛsa mu baako no. Ayayade bere no gyina hɔ ma aboa no honi no siw bere a ɛrekɔ so wɔ United States no. Saa bere no ne nnansa dunum a egyina hɔ wɔ Leviticus aduonu mmiɛnsa mu fi ntorobɛntohyɛn afahyɛ no so de kosi Pentecost. Aboa no honi no nhyehyɛe bere no fi 9/11 de kosi Sunday mmara no, nanso anadwo mfinimfini sufrɛ nkrasɛm no mpaebɔ bere no yɛ fractal a ɛfa aboa no honi no nhyehyɛe no ho fi 9/11 de kosi Sunday mmara no.</w:t>
      </w:r>
    </w:p>
    <w:p>
      <w:pPr>
        <w:pStyle w:val="ArticleBody"/>
        <w:jc w:val="left"/>
      </w:pPr>
      <w:r>
        <w:rPr>
          <w:rFonts w:ascii="Times New Roman" w:hAnsi="Times New Roman" w:eastAsia="Times New Roman" w:cs="Times New Roman"/>
        </w:rPr>
        <w:t>Le commencement et l’achèvement du scellement sont aussi l’alpha et l’oméga de la formation de l’image de la bête. Une classe forme un caractère en vue du sceau de Dieu; l’autre forme une image de la bête. Cette période aux États-Unis correspond à la même période dans le monde, laquelle commence à la loi du dimanche. Le « mois » est un symbole du tourment qui contraint à l’établissement de l’image; ainsi, le mois à la loi du dimanche, tel qu’il est représenté par le verset quinze d’Apocalypse neuf, représente aussi le tourment islamique durant l’établissement de l’image de la bête dans le monde.</w:t>
      </w:r>
    </w:p>
    <w:p>
      <w:pPr>
        <w:pStyle w:val="ArticleBody"/>
        <w:jc w:val="left"/>
      </w:pPr>
      <w:r>
        <w:rPr>
          <w:rFonts w:ascii="Times New Roman" w:hAnsi="Times New Roman" w:eastAsia="Times New Roman" w:cs="Times New Roman"/>
        </w:rPr>
        <w:t>Tunatna matumizi mengine ya kinabii yanayoonyesha jinsi unabii wa ole ya pili, na saa yake, siku, mwezi, na mwaka wake, vinavyowakilisha sheria ya Jumapili na kuachiwa huru kwa Uislamu kuipiga Marekani, lakini imetupasa kuendelea hadi kwenye hoja nyingine.</w:t>
      </w:r>
    </w:p>
    <w:p>
      <w:pPr>
        <w:pStyle w:val="ArticleBody"/>
        <w:jc w:val="left"/>
      </w:pPr>
      <w:r>
        <w:rPr>
          <w:rFonts w:ascii="Times New Roman" w:hAnsi="Times New Roman" w:eastAsia="Times New Roman" w:cs="Times New Roman"/>
        </w:rPr>
        <w:t>Au cours de la période récente, durant les six derniers mois environ, j’ai insisté sur le fait que l’islam des trois malheurs est lié prophétiquement aux trois anges. Depuis la prédiction des derniers jours de Jacob, selon laquelle Juda est la « vigne » attachée à l’« âne », jusqu’au Christ détachant l’âne en prévision de Son entrée triomphale, ainsi que selon d’autres lignes de pensée, l’islam du premier et du second malheur représente le message prophétique qui a donné puissance aux messages du premier et du second ange, et l’islam du troisième malheur représente le message prophétique du troisième ange.</w:t>
      </w:r>
    </w:p>
    <w:p>
      <w:pPr>
        <w:pStyle w:val="ArticleBody"/>
        <w:jc w:val="left"/>
      </w:pPr>
      <w:r>
        <w:rPr>
          <w:rFonts w:ascii="Microsoft YaHei" w:hAnsi="Microsoft YaHei" w:eastAsia="Microsoft YaHei" w:cs="Microsoft YaHei"/>
        </w:rPr>
        <w:t>最近</w:t>
      </w:r>
      <w:r>
        <w:rPr>
          <w:rFonts w:ascii="Times New Roman" w:hAnsi="Times New Roman" w:eastAsia="Times New Roman" w:cs="Times New Roman"/>
        </w:rPr>
        <w:t>,</w:t>
      </w:r>
      <w:r>
        <w:rPr>
          <w:rFonts w:ascii="Microsoft YaHei" w:hAnsi="Microsoft YaHei" w:eastAsia="Microsoft YaHei" w:cs="Microsoft YaHei"/>
        </w:rPr>
        <w:t>有人提到</w:t>
      </w:r>
      <w:r>
        <w:rPr>
          <w:rFonts w:ascii="Times New Roman" w:hAnsi="Times New Roman" w:eastAsia="Times New Roman" w:cs="Times New Roman"/>
        </w:rPr>
        <w:t xml:space="preserve"> A. T. Jones </w:t>
      </w:r>
      <w:r>
        <w:rPr>
          <w:rFonts w:ascii="Microsoft YaHei" w:hAnsi="Microsoft YaHei" w:eastAsia="Microsoft YaHei" w:cs="Microsoft YaHei"/>
        </w:rPr>
        <w:t>所著一书中的一章</w:t>
      </w:r>
      <w:r>
        <w:rPr>
          <w:rFonts w:ascii="Times New Roman" w:hAnsi="Times New Roman" w:eastAsia="Times New Roman" w:cs="Times New Roman"/>
        </w:rPr>
        <w:t>;</w:t>
      </w:r>
      <w:r>
        <w:rPr>
          <w:rFonts w:ascii="Microsoft YaHei" w:hAnsi="Microsoft YaHei" w:eastAsia="Microsoft YaHei" w:cs="Microsoft YaHei"/>
        </w:rPr>
        <w:t>该章从另一种进路指出了同一事实</w:t>
      </w:r>
      <w:r>
        <w:rPr>
          <w:rFonts w:ascii="Times New Roman" w:hAnsi="Times New Roman" w:eastAsia="Times New Roman" w:cs="Times New Roman"/>
        </w:rPr>
        <w:t xml:space="preserve">.Jones </w:t>
      </w:r>
      <w:r>
        <w:rPr>
          <w:rFonts w:ascii="Microsoft YaHei" w:hAnsi="Microsoft YaHei" w:eastAsia="Microsoft YaHei" w:cs="Microsoft YaHei"/>
        </w:rPr>
        <w:t>运用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的语法与结构</w:t>
      </w:r>
      <w:r>
        <w:rPr>
          <w:rFonts w:ascii="Times New Roman" w:hAnsi="Times New Roman" w:eastAsia="Times New Roman" w:cs="Times New Roman"/>
        </w:rPr>
        <w:t>,</w:t>
      </w:r>
      <w:r>
        <w:rPr>
          <w:rFonts w:ascii="Microsoft YaHei" w:hAnsi="Microsoft YaHei" w:eastAsia="Microsoft YaHei" w:cs="Microsoft YaHei"/>
        </w:rPr>
        <w:t>表明末后三枝祸号与三位天使的信息根本不可能彼此分离</w:t>
      </w:r>
      <w:r>
        <w:rPr>
          <w:rFonts w:ascii="Times New Roman" w:hAnsi="Times New Roman" w:eastAsia="Times New Roman" w:cs="Times New Roman"/>
        </w:rPr>
        <w:t>.</w:t>
      </w:r>
      <w:r>
        <w:rPr>
          <w:rFonts w:ascii="Microsoft YaHei" w:hAnsi="Microsoft YaHei" w:eastAsia="Microsoft YaHei" w:cs="Microsoft YaHei"/>
        </w:rPr>
        <w:t>他所强调的是：第一位天使不能与第二位分开</w:t>
      </w:r>
      <w:r>
        <w:rPr>
          <w:rFonts w:ascii="Times New Roman" w:hAnsi="Times New Roman" w:eastAsia="Times New Roman" w:cs="Times New Roman"/>
        </w:rPr>
        <w:t>,</w:t>
      </w:r>
      <w:r>
        <w:rPr>
          <w:rFonts w:ascii="Microsoft YaHei" w:hAnsi="Microsoft YaHei" w:eastAsia="Microsoft YaHei" w:cs="Microsoft YaHei"/>
        </w:rPr>
        <w:t>而第三位也不能与前两位分开</w:t>
      </w:r>
      <w:r>
        <w:rPr>
          <w:rFonts w:ascii="Times New Roman" w:hAnsi="Times New Roman" w:eastAsia="Times New Roman" w:cs="Times New Roman"/>
        </w:rPr>
        <w:t xml:space="preserve">.Jones </w:t>
      </w:r>
      <w:r>
        <w:rPr>
          <w:rFonts w:ascii="Microsoft YaHei" w:hAnsi="Microsoft YaHei" w:eastAsia="Microsoft YaHei" w:cs="Microsoft YaHei"/>
        </w:rPr>
        <w:t>的论述重点在于这三位天使</w:t>
      </w:r>
      <w:r>
        <w:rPr>
          <w:rFonts w:ascii="Times New Roman" w:hAnsi="Times New Roman" w:eastAsia="Times New Roman" w:cs="Times New Roman"/>
        </w:rPr>
        <w:t>;</w:t>
      </w:r>
      <w:r>
        <w:rPr>
          <w:rFonts w:ascii="Microsoft YaHei" w:hAnsi="Microsoft YaHei" w:eastAsia="Microsoft YaHei" w:cs="Microsoft YaHei"/>
        </w:rPr>
        <w:t>当他论证三位天使之间那不可分割的关系时</w:t>
      </w:r>
      <w:r>
        <w:rPr>
          <w:rFonts w:ascii="Times New Roman" w:hAnsi="Times New Roman" w:eastAsia="Times New Roman" w:cs="Times New Roman"/>
        </w:rPr>
        <w:t>,</w:t>
      </w:r>
      <w:r>
        <w:rPr>
          <w:rFonts w:ascii="Microsoft YaHei" w:hAnsi="Microsoft YaHei" w:eastAsia="Microsoft YaHei" w:cs="Microsoft YaHei"/>
        </w:rPr>
        <w:t>他也借着完全相同的逻辑证明了：</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第九章的号筒</w:t>
      </w:r>
      <w:r>
        <w:rPr>
          <w:rFonts w:ascii="Times New Roman" w:hAnsi="Times New Roman" w:eastAsia="Times New Roman" w:cs="Times New Roman"/>
        </w:rPr>
        <w:t>,</w:t>
      </w:r>
      <w:r>
        <w:rPr>
          <w:rFonts w:ascii="Microsoft YaHei" w:hAnsi="Microsoft YaHei" w:eastAsia="Microsoft YaHei" w:cs="Microsoft YaHei"/>
        </w:rPr>
        <w:t>同样不能与</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第十四章的三位天使分离</w:t>
      </w:r>
      <w:r>
        <w:rPr>
          <w:rFonts w:ascii="Times New Roman" w:hAnsi="Times New Roman" w:eastAsia="Times New Roman" w:cs="Times New Roman"/>
        </w:rPr>
        <w:t>.</w:t>
      </w:r>
      <w:r>
        <w:rPr>
          <w:rFonts w:ascii="Microsoft YaHei" w:hAnsi="Microsoft YaHei" w:eastAsia="Microsoft YaHei" w:cs="Microsoft YaHei"/>
        </w:rPr>
        <w:t>我们将以</w:t>
      </w:r>
      <w:r>
        <w:rPr>
          <w:rFonts w:ascii="Times New Roman" w:hAnsi="Times New Roman" w:eastAsia="Times New Roman" w:cs="Times New Roman"/>
        </w:rPr>
        <w:t xml:space="preserve"> Jones </w:t>
      </w:r>
      <w:r>
        <w:rPr>
          <w:rFonts w:ascii="Microsoft YaHei" w:hAnsi="Microsoft YaHei" w:eastAsia="Microsoft YaHei" w:cs="Microsoft YaHei"/>
        </w:rPr>
        <w:t>的这一章结束本文</w:t>
      </w:r>
      <w:r>
        <w:rPr>
          <w:rFonts w:ascii="Times New Roman" w:hAnsi="Times New Roman" w:eastAsia="Times New Roman" w:cs="Times New Roman"/>
        </w:rPr>
        <w:t>.</w:t>
      </w:r>
    </w:p>
    <w:p>
      <w:pPr>
        <w:pStyle w:val="ArticleHeading"/>
        <w:jc w:val="left"/>
      </w:pPr>
      <w:r>
        <w:rPr>
          <w:rFonts w:ascii="Arial" w:hAnsi="Arial" w:eastAsia="Arial" w:cs="Arial"/>
        </w:rPr>
        <w:t>BANGO XI. UJUMBE WA MALAIKA WA TATU</w:t>
      </w:r>
    </w:p>
    <w:p>
      <w:pPr>
        <w:pStyle w:val="ArticleScripture"/>
        <w:jc w:val="left"/>
      </w:pPr>
      <w:r>
        <w:rPr>
          <w:rFonts w:ascii="Times New Roman" w:hAnsi="Times New Roman" w:eastAsia="Times New Roman" w:cs="Times New Roman"/>
        </w:rPr>
        <w:t>«Сегодня на этот важный вопрос: “Что нам делать?” — можно с уверенностью дать ответ на основании Семи труб и положения великих народов нашего времени; ибо ответ даётся словом Божиим именно на этом основании. »</w:t>
      </w:r>
    </w:p>
    <w:p>
      <w:pPr>
        <w:pStyle w:val="ArticleScripture"/>
        <w:jc w:val="left"/>
      </w:pPr>
      <w:r>
        <w:rPr>
          <w:rFonts w:ascii="Times New Roman" w:hAnsi="Times New Roman" w:eastAsia="Times New Roman" w:cs="Times New Roman"/>
        </w:rPr>
        <w:t>“Me do ta sigil se, tris Las Trumpeta bilong dispela Seven Trumpets, ol i pas wantaim tru long Three Woes na i no inap long bruk. Long namel stret bilong dispela Seven Trumpets—bihain long pinis bilong Fourth Trumpet, na bipo long stat bilong Fifth Trumpet—i gat tok i stap olsem: ‘Na mi lukim, na harim wanpela ensel i flai long namel bilong heven, na i tok strong long bikpela nek, Sori, sori, sori, long ol manmeri i stap long graun, long as bilong ol narapela nek bilong trumpet bilong ol tripela ensel we ol i no winim taim yet long winim.’ Revelation 8:13.”</w:t>
      </w:r>
    </w:p>
    <w:p>
      <w:pPr>
        <w:pStyle w:val="ArticleScripture"/>
        <w:jc w:val="left"/>
      </w:pPr>
      <w:r>
        <w:rPr>
          <w:rFonts w:ascii="Times New Roman" w:hAnsi="Times New Roman" w:eastAsia="Times New Roman" w:cs="Times New Roman"/>
        </w:rPr>
        <w:t>“Yokuba ooYeha abaThathu badityaniswe ngokungenakwahlulwa nabathathu bokugqibela beeXilongo ezisixhenxe, omnye nomnye ngalinye, kubekwa ngaphaya kwayo yonke intandabuzo yinyaniso yokuba, xa ukuvuthela kweNgelosi yesiHlanu kuphelile, kubhaliwe kwathiwa: ‘Lidlulile ilishwa elinye; yaye, khangelani, kuseza amanye amabini amashwa emva kwalo.’ ISityhilelo 9:12. Kanti ke xa ixilongo lesiThandathu liphelile, kubhaliwe kwathiwa: ‘Lidlulile ilishwa lesibini; yaye, khangelani, isiza kamsinya ilishwa lesithathu. Yaza yavuthela ingelosi yesixhenxe.’ ISityhilelo 11:15.”</w:t>
      </w:r>
    </w:p>
    <w:p>
      <w:pPr>
        <w:pStyle w:val="ArticleScripture"/>
        <w:jc w:val="left"/>
      </w:pPr>
      <w:r>
        <w:rPr>
          <w:rFonts w:ascii="Times New Roman" w:hAnsi="Times New Roman" w:eastAsia="Times New Roman" w:cs="Times New Roman"/>
        </w:rPr>
        <w:t>« Or, inséparablement lié à cet ange qui proclame la venue des trois malheurs, lesquels sont inséparablement liés aux trois dernières des sept trompettes, se trouve le “troisième ange” d’Apocalypse 14. »</w:t>
      </w:r>
    </w:p>
    <w:p>
      <w:pPr>
        <w:pStyle w:val="ArticleScripture"/>
        <w:jc w:val="left"/>
      </w:pPr>
      <w:r>
        <w:rPr>
          <w:rFonts w:ascii="Times New Roman" w:hAnsi="Times New Roman" w:eastAsia="Times New Roman" w:cs="Times New Roman"/>
        </w:rPr>
        <w:t>«Որպեսզի դա ևս դիտվի իբրև անվիճելիորեն հաստատ, սկսենք Հայտնություն 14-ի Երրորդ Հրեշտակի Լուրից և հետագծենք նրա անմիջական կապերը՝ հետընթաց մինչև դրանց սկիզբը»։</w:t>
      </w:r>
    </w:p>
    <w:p>
      <w:pPr>
        <w:pStyle w:val="ArticleScripture"/>
        <w:jc w:val="left"/>
      </w:pPr>
      <w:r>
        <w:rPr>
          <w:rFonts w:ascii="Times New Roman" w:hAnsi="Times New Roman" w:eastAsia="Times New Roman" w:cs="Times New Roman"/>
        </w:rPr>
        <w:t>“Motsi oa pele tlalehong mabapi le ‘Lengeloi la Boraro’ ke ana: ‘Mme lengeloi la boraro la ba sala morao.’ Tšenolo 14:9. Sena se bontša hore ba bang ba ile ba etella pele, bao Lengeloi la Boraro ‘le ileng la ba sala morao.’”</w:t>
      </w:r>
    </w:p>
    <w:p>
      <w:pPr>
        <w:pStyle w:val="ArticleScripture"/>
        <w:jc w:val="left"/>
      </w:pPr>
      <w:r>
        <w:rPr>
          <w:rFonts w:ascii="Times New Roman" w:hAnsi="Times New Roman" w:eastAsia="Times New Roman" w:cs="Times New Roman"/>
        </w:rPr>
        <w:t>«Alors, prenez le verset précédent : “Et un autre ange suivit.” Cela montre qu’un ange a aussi précédé celui-ci, lequel, lorsque celui-ci le suit, en fait “un autre”.»</w:t>
      </w:r>
    </w:p>
    <w:p>
      <w:pPr>
        <w:pStyle w:val="ArticleScripture"/>
        <w:jc w:val="left"/>
      </w:pPr>
      <w:r>
        <w:rPr>
          <w:rFonts w:ascii="Times New Roman" w:hAnsi="Times New Roman" w:eastAsia="Times New Roman" w:cs="Times New Roman"/>
        </w:rPr>
        <w:t>«Тепер повернімося до шостого вірша: “І я побачив іншого Ангола”. Це також засвідчує, що перед тим уже з’явився ангел, через що цей, коли він летить серед неба, є “іншим”.»</w:t>
      </w:r>
    </w:p>
    <w:p>
      <w:pPr>
        <w:pStyle w:val="ArticleScripture"/>
        <w:jc w:val="left"/>
      </w:pPr>
      <w:r>
        <w:rPr>
          <w:rFonts w:ascii="Times New Roman" w:hAnsi="Times New Roman" w:eastAsia="Times New Roman" w:cs="Times New Roman"/>
        </w:rPr>
        <w:t>“En remontant plus loin dans le livre de l’Apocalypse, nous ne trouvons aucun ange, si ce n’est l’ange de la Septième Trompette, jusqu’à ce que nous arrivions au premier verset du chapitre dix ; et là nous lisons : ‘Et je vis un autre ange puissant.’ Cette expression, comme précédemment, atteste que, avant celui-ci, il y a un ange, ce qui, lorsque celui-ci paraît, fait qu’il est désigné comme ‘un autre’.”</w:t>
      </w:r>
    </w:p>
    <w:p>
      <w:pPr>
        <w:pStyle w:val="ArticleScripture"/>
        <w:jc w:val="left"/>
      </w:pPr>
      <w:r>
        <w:rPr>
          <w:rFonts w:ascii="Times New Roman" w:hAnsi="Times New Roman" w:eastAsia="Times New Roman" w:cs="Times New Roman"/>
        </w:rPr>
        <w:t>«Појдувајќи уште понатаму наназад, не наоѓаме ангели, освен ангелите на Шестата и Петтата Труба, сѐ додека не стигнеме до последниот стих од осмата глава; и таму стигнуваме до првобитното, зашто читаме: „И видов, и чув еден ангел“ — не „друг ангел“, туку, првично, „еден ангел“.»</w:t>
      </w:r>
    </w:p>
    <w:p>
      <w:pPr>
        <w:pStyle w:val="ArticleScripture"/>
        <w:jc w:val="left"/>
      </w:pPr>
      <w:r>
        <w:rPr>
          <w:rFonts w:ascii="Times New Roman" w:hAnsi="Times New Roman" w:eastAsia="Times New Roman" w:cs="Times New Roman"/>
        </w:rPr>
        <w:t>« Ainsi, à partir d’Apocalypse 8:13, il y a une série ininterrompue d’anges reliés par le mot “un autre”, et cela se poursuit sans interruption jusqu’au Troisième Ange d’Apocalypse 14, avec son message. Ainsi : »</w:t>
      </w:r>
    </w:p>
    <w:p>
      <w:pPr>
        <w:pStyle w:val="ArticleScripture"/>
        <w:jc w:val="left"/>
      </w:pPr>
      <w:r>
        <w:rPr>
          <w:rFonts w:ascii="Times New Roman" w:hAnsi="Times New Roman" w:eastAsia="Times New Roman" w:cs="Times New Roman"/>
        </w:rPr>
        <w:t>« Je regardai, et j’entendis un ange. » Apocalypse 8:13.</w:t>
      </w:r>
    </w:p>
    <w:p>
      <w:pPr>
        <w:pStyle w:val="ArticleScripture"/>
        <w:jc w:val="left"/>
      </w:pPr>
      <w:r>
        <w:rPr>
          <w:rFonts w:ascii="Times New Roman" w:hAnsi="Times New Roman" w:eastAsia="Times New Roman" w:cs="Times New Roman"/>
        </w:rPr>
        <w:t>« Et je vis un autre ange puissant. » Apocalypse 10:1.</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ចំពោះខ្ញុំ</w:t>
      </w:r>
      <w:r>
        <w:rPr>
          <w:rFonts w:ascii="Times New Roman" w:hAnsi="Times New Roman" w:eastAsia="Times New Roman" w:cs="Times New Roman"/>
        </w:rPr>
        <w:t xml:space="preserve"> </w:t>
      </w:r>
      <w:r>
        <w:rPr>
          <w:rFonts w:ascii="Leelawadee UI" w:hAnsi="Leelawadee UI" w:eastAsia="Leelawadee UI" w:cs="Leelawadee UI"/>
        </w:rPr>
        <w:t>ខ្ញុំបានឃើញទេវតាម្នាក់ទៀត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14:6</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“‘Et un autre ange suivit.’ Verset 8.”</w:t>
      </w:r>
    </w:p>
    <w:p>
      <w:pPr>
        <w:pStyle w:val="ArticleScripture"/>
        <w:jc w:val="left"/>
      </w:pPr>
      <w:r>
        <w:rPr>
          <w:rFonts w:ascii="Times New Roman" w:hAnsi="Times New Roman" w:eastAsia="Times New Roman" w:cs="Times New Roman"/>
        </w:rPr>
        <w:t>« Et le troisième ange les suivit. » Verset 9.</w:t>
      </w:r>
    </w:p>
    <w:p>
      <w:pPr>
        <w:pStyle w:val="ArticleScripture"/>
        <w:jc w:val="left"/>
      </w:pPr>
      <w:r>
        <w:rPr>
          <w:rFonts w:ascii="Times New Roman" w:hAnsi="Times New Roman" w:eastAsia="Times New Roman" w:cs="Times New Roman"/>
        </w:rPr>
        <w:t>«Возможно, следующая простая схема поможет ясно показать связь между ангелом, возвещающим Три горя последних трёх из Семи труб, и вестью Третьего ангела из Откровения 14:»</w:t>
      </w:r>
    </w:p>
    <w:p>
      <w:pPr>
        <w:pStyle w:val="ArticleScripture"/>
        <w:jc w:val="left"/>
      </w:pPr>
      <w:r>
        <w:rPr>
          <w:rFonts w:ascii="Times New Roman" w:hAnsi="Times New Roman" w:eastAsia="Times New Roman" w:cs="Times New Roman"/>
        </w:rPr>
        <w:t>«Первая труба Откровение 8:7»</w:t>
      </w:r>
    </w:p>
    <w:p>
      <w:pPr>
        <w:pStyle w:val="ArticleScripture"/>
        <w:jc w:val="left"/>
      </w:pPr>
      <w:r>
        <w:rPr>
          <w:rFonts w:ascii="Times New Roman" w:hAnsi="Times New Roman" w:eastAsia="Times New Roman" w:cs="Times New Roman"/>
        </w:rPr>
        <w:t>«La 2e Trompette — Apocalypse 8:8»</w:t>
      </w:r>
    </w:p>
    <w:p>
      <w:pPr>
        <w:pStyle w:val="ArticleScripture"/>
        <w:jc w:val="left"/>
      </w:pPr>
      <w:r>
        <w:rPr>
          <w:rFonts w:ascii="Times New Roman" w:hAnsi="Times New Roman" w:eastAsia="Times New Roman" w:cs="Times New Roman"/>
        </w:rPr>
        <w:t>« Troisième Trompette Apocalypse 8:10 »</w:t>
      </w:r>
    </w:p>
    <w:p>
      <w:pPr>
        <w:pStyle w:val="ArticleScripture"/>
        <w:jc w:val="left"/>
      </w:pPr>
      <w:r>
        <w:rPr>
          <w:rFonts w:ascii="Times New Roman" w:hAnsi="Times New Roman" w:eastAsia="Times New Roman" w:cs="Times New Roman"/>
        </w:rPr>
        <w:t>«La 4e Trompette — Apocalypse 8:12 : “Un ange” — Malheur, malheur, malheur. Apocalypse 8:13.»</w:t>
      </w:r>
    </w:p>
    <w:p>
      <w:pPr>
        <w:pStyle w:val="ArticleScripture"/>
        <w:jc w:val="left"/>
      </w:pPr>
      <w:r>
        <w:rPr>
          <w:rFonts w:ascii="Times New Roman" w:hAnsi="Times New Roman" w:eastAsia="Times New Roman" w:cs="Times New Roman"/>
        </w:rPr>
        <w:t>« La 5e Trompette — Apocalypse 9:1–11 / Premier malheur »</w:t>
      </w:r>
    </w:p>
    <w:p>
      <w:pPr>
        <w:pStyle w:val="ArticleScripture"/>
        <w:jc w:val="left"/>
      </w:pPr>
      <w:r>
        <w:rPr>
          <w:rFonts w:ascii="Times New Roman" w:hAnsi="Times New Roman" w:eastAsia="Times New Roman" w:cs="Times New Roman"/>
        </w:rPr>
        <w:t>“Sixième trompette Apocalypse 9:13 à 11:13 Deuxième malheur « Un autre ange puissant. » Apocalypse 10:1”</w:t>
      </w:r>
    </w:p>
    <w:p>
      <w:pPr>
        <w:pStyle w:val="ArticleScripture"/>
        <w:jc w:val="left"/>
      </w:pPr>
      <w:r>
        <w:rPr>
          <w:rFonts w:ascii="Times New Roman" w:hAnsi="Times New Roman" w:eastAsia="Times New Roman" w:cs="Times New Roman"/>
        </w:rPr>
        <w:t>«Забури 7-ум, Ваҳй 11:13–19, Войи сеюм: “Фариштаи дигар”. Ваҳй 14:6»</w:t>
      </w:r>
    </w:p>
    <w:p>
      <w:pPr>
        <w:pStyle w:val="ArticleScripture"/>
        <w:jc w:val="left"/>
      </w:pPr>
      <w:r>
        <w:rPr>
          <w:rFonts w:ascii="Times New Roman" w:hAnsi="Times New Roman" w:eastAsia="Times New Roman" w:cs="Times New Roman"/>
        </w:rPr>
        <w:t>«S’en suivit un autre.» Apocalypse 14:6</w:t>
      </w:r>
    </w:p>
    <w:p>
      <w:pPr>
        <w:pStyle w:val="ArticleScripture"/>
        <w:jc w:val="left"/>
      </w:pPr>
      <w:r>
        <w:rPr>
          <w:rFonts w:ascii="Times New Roman" w:hAnsi="Times New Roman" w:eastAsia="Times New Roman" w:cs="Times New Roman"/>
        </w:rPr>
        <w:t>“‘Malaika wa tatu akawafuata.’ Ufunuo 14:9.</w:t>
      </w:r>
    </w:p>
    <w:p>
      <w:pPr>
        <w:pStyle w:val="ArticleScripture"/>
        <w:jc w:val="left"/>
      </w:pPr>
      <w:r>
        <w:rPr>
          <w:rFonts w:ascii="Times New Roman" w:hAnsi="Times New Roman" w:eastAsia="Times New Roman" w:cs="Times New Roman"/>
        </w:rPr>
        <w:t>«Связь всего этого теперь может быть более полно увидена через рассмотрение того, чем в действительности является сама по себе Весть третьего ангела: по самому своему выражению слова „третий ангел“ ясно указывают на третьего в ряду трёх ангелов. Как уже было показано, этот ряд из трёх ангелов, каждый из которых несёт весть, находится в четырнадцатой главе Откровения, стихи 6–12. Вести этих трёх ангелов сливаются и достигают своей кульминации в третьей, которая не перестаёт звучать до тех пор, пока жатва земли не созреет и не будет приготовлена к пришествию Господа, чтобы Ему пожать её.»</w:t>
      </w:r>
    </w:p>
    <w:p>
      <w:pPr>
        <w:pStyle w:val="ArticleScripture"/>
        <w:jc w:val="left"/>
      </w:pPr>
      <w:r>
        <w:rPr>
          <w:rFonts w:ascii="Times New Roman" w:hAnsi="Times New Roman" w:eastAsia="Times New Roman" w:cs="Times New Roman"/>
        </w:rPr>
        <w:t>«پیام فرشتهٔ سوم» خود، چنان‌که در سخنان فرشتهٔ سوم اعلام شده است، بدین قرار است: «و فرشتهٔ سوم از پی ایشان آمد و به آواز بلند گفت: اگر کسی وحش و صورت او را پرستش کند و نشان او را بر پیشانی خود یا بر دست خود پذیرد، او نیز از شراب غضب خدا خواهد نوشید، آن شرابی که بی‌آمیختگی در جام خشم او ریخته شده است؛ و در حضور فرشتگان مقدّس و در حضور برّه، به آتش و گوگرد عذاب خواهد یافت. و دود عذاب ایشان تا ابدالآباد بالا می‌رود؛ و آنان که وحش و صورت او را می‌پرستند و هر که نشان نام او را می‌پذیرد، نه روز آرامی دارند و نه شب. این است صبر مقدّسان؛ اینان‌اند که احکام خدا و ایمان عیسی را نگاه می‌دارند.»</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这就是第三位天使的信息</w:t>
      </w:r>
      <w:r>
        <w:rPr>
          <w:rFonts w:ascii="Times New Roman" w:hAnsi="Times New Roman" w:eastAsia="Times New Roman" w:cs="Times New Roman"/>
        </w:rPr>
        <w:t>,</w:t>
      </w:r>
      <w:r>
        <w:rPr>
          <w:rFonts w:ascii="Microsoft YaHei" w:hAnsi="Microsoft YaHei" w:eastAsia="Microsoft YaHei" w:cs="Microsoft YaHei"/>
        </w:rPr>
        <w:t>就其本身而论</w:t>
      </w:r>
      <w:r>
        <w:rPr>
          <w:rFonts w:ascii="Times New Roman" w:hAnsi="Times New Roman" w:eastAsia="Times New Roman" w:cs="Times New Roman"/>
        </w:rPr>
        <w:t>,</w:t>
      </w:r>
      <w:r>
        <w:rPr>
          <w:rFonts w:ascii="Microsoft YaHei" w:hAnsi="Microsoft YaHei" w:eastAsia="Microsoft YaHei" w:cs="Microsoft YaHei"/>
        </w:rPr>
        <w:t>是与前两位分开的</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事实上</w:t>
      </w:r>
      <w:r>
        <w:rPr>
          <w:rFonts w:ascii="Times New Roman" w:hAnsi="Times New Roman" w:eastAsia="Times New Roman" w:cs="Times New Roman"/>
        </w:rPr>
        <w:t>,</w:t>
      </w:r>
      <w:r>
        <w:rPr>
          <w:rFonts w:ascii="Microsoft YaHei" w:hAnsi="Microsoft YaHei" w:eastAsia="Microsoft YaHei" w:cs="Microsoft YaHei"/>
        </w:rPr>
        <w:t>它不能被看作是孤立的</w:t>
      </w:r>
      <w:r>
        <w:rPr>
          <w:rFonts w:ascii="Times New Roman" w:hAnsi="Times New Roman" w:eastAsia="Times New Roman" w:cs="Times New Roman"/>
        </w:rPr>
        <w:t>;</w:t>
      </w:r>
      <w:r>
        <w:rPr>
          <w:rFonts w:ascii="Microsoft YaHei" w:hAnsi="Microsoft YaHei" w:eastAsia="Microsoft YaHei" w:cs="Microsoft YaHei"/>
        </w:rPr>
        <w:t>也不能被置于一旁</w:t>
      </w:r>
      <w:r>
        <w:rPr>
          <w:rFonts w:ascii="Times New Roman" w:hAnsi="Times New Roman" w:eastAsia="Times New Roman" w:cs="Times New Roman"/>
        </w:rPr>
        <w:t>,</w:t>
      </w:r>
      <w:r>
        <w:rPr>
          <w:rFonts w:ascii="Microsoft YaHei" w:hAnsi="Microsoft YaHei" w:eastAsia="Microsoft YaHei" w:cs="Microsoft YaHei"/>
        </w:rPr>
        <w:t>仿佛它本身就是一则单独、分别向世界发出的信息</w:t>
      </w:r>
      <w:r>
        <w:rPr>
          <w:rFonts w:ascii="Times New Roman" w:hAnsi="Times New Roman" w:eastAsia="Times New Roman" w:cs="Times New Roman"/>
        </w:rPr>
        <w:t>;</w:t>
      </w:r>
      <w:r>
        <w:rPr>
          <w:rFonts w:ascii="Microsoft YaHei" w:hAnsi="Microsoft YaHei" w:eastAsia="Microsoft YaHei" w:cs="Microsoft YaHei"/>
        </w:rPr>
        <w:t>因为关于它最起首的话乃是：</w:t>
      </w:r>
      <w:r>
        <w:rPr>
          <w:rFonts w:ascii="Times New Roman" w:hAnsi="Times New Roman" w:eastAsia="Times New Roman" w:cs="Times New Roman"/>
        </w:rPr>
        <w:t>‘</w:t>
      </w:r>
      <w:r>
        <w:rPr>
          <w:rFonts w:ascii="Microsoft YaHei" w:hAnsi="Microsoft YaHei" w:eastAsia="Microsoft YaHei" w:cs="Microsoft YaHei"/>
        </w:rPr>
        <w:t>第三位天使接着他们而来</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借着这信息本身最初的话</w:t>
      </w:r>
      <w:r>
        <w:rPr>
          <w:rFonts w:ascii="Times New Roman" w:hAnsi="Times New Roman" w:eastAsia="Times New Roman" w:cs="Times New Roman"/>
        </w:rPr>
        <w:t>,</w:t>
      </w:r>
      <w:r>
        <w:rPr>
          <w:rFonts w:ascii="Microsoft YaHei" w:hAnsi="Microsoft YaHei" w:eastAsia="Microsoft YaHei" w:cs="Microsoft YaHei"/>
        </w:rPr>
        <w:t>我们所被引到的</w:t>
      </w:r>
      <w:r>
        <w:rPr>
          <w:rFonts w:ascii="Times New Roman" w:hAnsi="Times New Roman" w:eastAsia="Times New Roman" w:cs="Times New Roman"/>
        </w:rPr>
        <w:t>,</w:t>
      </w:r>
      <w:r>
        <w:rPr>
          <w:rFonts w:ascii="Microsoft YaHei" w:hAnsi="Microsoft YaHei" w:eastAsia="Microsoft YaHei" w:cs="Microsoft YaHei"/>
        </w:rPr>
        <w:t>不仅是那一位</w:t>
      </w:r>
      <w:r>
        <w:rPr>
          <w:rFonts w:ascii="Times New Roman" w:hAnsi="Times New Roman" w:eastAsia="Times New Roman" w:cs="Times New Roman"/>
        </w:rPr>
        <w:t>,</w:t>
      </w:r>
      <w:r>
        <w:rPr>
          <w:rFonts w:ascii="Microsoft YaHei" w:hAnsi="Microsoft YaHei" w:eastAsia="Microsoft YaHei" w:cs="Microsoft YaHei"/>
        </w:rPr>
        <w:t>乃是那先于它的两位</w:t>
      </w:r>
      <w:r>
        <w:rPr>
          <w:rFonts w:ascii="Times New Roman" w:hAnsi="Times New Roman" w:eastAsia="Times New Roman" w:cs="Times New Roman"/>
        </w:rPr>
        <w:t>.</w:t>
      </w:r>
      <w:r>
        <w:rPr>
          <w:rFonts w:ascii="Microsoft YaHei" w:hAnsi="Microsoft YaHei" w:eastAsia="Microsoft YaHei" w:cs="Microsoft YaHei"/>
        </w:rPr>
        <w:t>而那被译作</w:t>
      </w:r>
      <w:r>
        <w:rPr>
          <w:rFonts w:ascii="Times New Roman" w:hAnsi="Times New Roman" w:eastAsia="Times New Roman" w:cs="Times New Roman"/>
        </w:rPr>
        <w:t>‘</w:t>
      </w:r>
      <w:r>
        <w:rPr>
          <w:rFonts w:ascii="Microsoft YaHei" w:hAnsi="Microsoft YaHei" w:eastAsia="Microsoft YaHei" w:cs="Microsoft YaHei"/>
        </w:rPr>
        <w:t>接着</w:t>
      </w:r>
      <w:r>
        <w:rPr>
          <w:rFonts w:ascii="Times New Roman" w:hAnsi="Times New Roman" w:eastAsia="Times New Roman" w:cs="Times New Roman"/>
        </w:rPr>
        <w:t>’</w:t>
      </w:r>
      <w:r>
        <w:rPr>
          <w:rFonts w:ascii="Microsoft YaHei" w:hAnsi="Microsoft YaHei" w:eastAsia="Microsoft YaHei" w:cs="Microsoft YaHei"/>
        </w:rPr>
        <w:t>的希腊字</w:t>
      </w:r>
      <w:r>
        <w:rPr>
          <w:rFonts w:ascii="Times New Roman" w:hAnsi="Times New Roman" w:eastAsia="Times New Roman" w:cs="Times New Roman"/>
        </w:rPr>
        <w:t>,</w:t>
      </w:r>
      <w:r>
        <w:rPr>
          <w:rFonts w:ascii="Microsoft YaHei" w:hAnsi="Microsoft YaHei" w:eastAsia="Microsoft YaHei" w:cs="Microsoft YaHei"/>
        </w:rPr>
        <w:t>其意义并不是分开地跟随</w:t>
      </w:r>
      <w:r>
        <w:rPr>
          <w:rFonts w:ascii="Times New Roman" w:hAnsi="Times New Roman" w:eastAsia="Times New Roman" w:cs="Times New Roman"/>
        </w:rPr>
        <w:t>,</w:t>
      </w:r>
      <w:r>
        <w:rPr>
          <w:rFonts w:ascii="Microsoft YaHei" w:hAnsi="Microsoft YaHei" w:eastAsia="Microsoft YaHei" w:cs="Microsoft YaHei"/>
        </w:rPr>
        <w:t>也不只是单纯地跟随</w:t>
      </w:r>
      <w:r>
        <w:rPr>
          <w:rFonts w:ascii="Times New Roman" w:hAnsi="Times New Roman" w:eastAsia="Times New Roman" w:cs="Times New Roman"/>
        </w:rPr>
        <w:t>,</w:t>
      </w:r>
      <w:r>
        <w:rPr>
          <w:rFonts w:ascii="Microsoft YaHei" w:hAnsi="Microsoft YaHei" w:eastAsia="Microsoft YaHei" w:cs="Microsoft YaHei"/>
        </w:rPr>
        <w:t>乃是</w:t>
      </w:r>
      <w:r>
        <w:rPr>
          <w:rFonts w:ascii="Times New Roman" w:hAnsi="Times New Roman" w:eastAsia="Times New Roman" w:cs="Times New Roman"/>
        </w:rPr>
        <w:t>‘</w:t>
      </w:r>
      <w:r>
        <w:rPr>
          <w:rFonts w:ascii="Microsoft YaHei" w:hAnsi="Microsoft YaHei" w:eastAsia="Microsoft YaHei" w:cs="Microsoft YaHei"/>
        </w:rPr>
        <w:t>随着而行</w:t>
      </w:r>
      <w:r>
        <w:rPr>
          <w:rFonts w:ascii="Times New Roman" w:hAnsi="Times New Roman" w:eastAsia="Times New Roman" w:cs="Times New Roman"/>
        </w:rPr>
        <w:t>’,</w:t>
      </w:r>
      <w:r>
        <w:rPr>
          <w:rFonts w:ascii="Microsoft YaHei" w:hAnsi="Microsoft YaHei" w:eastAsia="Microsoft YaHei" w:cs="Microsoft YaHei"/>
        </w:rPr>
        <w:t>如同士兵跟随他们的元帅</w:t>
      </w:r>
      <w:r>
        <w:rPr>
          <w:rFonts w:ascii="Times New Roman" w:hAnsi="Times New Roman" w:eastAsia="Times New Roman" w:cs="Times New Roman"/>
        </w:rPr>
        <w:t>,</w:t>
      </w:r>
      <w:r>
        <w:rPr>
          <w:rFonts w:ascii="Microsoft YaHei" w:hAnsi="Microsoft YaHei" w:eastAsia="Microsoft YaHei" w:cs="Microsoft YaHei"/>
        </w:rPr>
        <w:t>或仆人跟随他们的主人</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就是</w:t>
      </w:r>
      <w:r>
        <w:rPr>
          <w:rFonts w:ascii="Times New Roman" w:hAnsi="Times New Roman" w:eastAsia="Times New Roman" w:cs="Times New Roman"/>
        </w:rPr>
        <w:t>‘</w:t>
      </w:r>
      <w:r>
        <w:rPr>
          <w:rFonts w:ascii="Microsoft YaHei" w:hAnsi="Microsoft YaHei" w:eastAsia="Microsoft YaHei" w:cs="Microsoft YaHei"/>
        </w:rPr>
        <w:t>在一件事上跟随某人</w:t>
      </w:r>
      <w:r>
        <w:rPr>
          <w:rFonts w:ascii="Times New Roman" w:hAnsi="Times New Roman" w:eastAsia="Times New Roman" w:cs="Times New Roman"/>
        </w:rPr>
        <w:t>;</w:t>
      </w:r>
      <w:r>
        <w:rPr>
          <w:rFonts w:ascii="Microsoft YaHei" w:hAnsi="Microsoft YaHei" w:eastAsia="Microsoft YaHei" w:cs="Microsoft YaHei"/>
        </w:rPr>
        <w:t>任凭自己被某人引导</w:t>
      </w:r>
      <w:r>
        <w:rPr>
          <w:rFonts w:ascii="Times New Roman" w:hAnsi="Times New Roman" w:eastAsia="Times New Roman" w:cs="Times New Roman"/>
        </w:rPr>
        <w:t>.’</w:t>
      </w:r>
      <w:r>
        <w:rPr>
          <w:rFonts w:ascii="Microsoft YaHei" w:hAnsi="Microsoft YaHei" w:eastAsia="Microsoft YaHei" w:cs="Microsoft YaHei"/>
        </w:rPr>
        <w:t>当这字用于事物时</w:t>
      </w:r>
      <w:r>
        <w:rPr>
          <w:rFonts w:ascii="Times New Roman" w:hAnsi="Times New Roman" w:eastAsia="Times New Roman" w:cs="Times New Roman"/>
        </w:rPr>
        <w:t>,</w:t>
      </w:r>
      <w:r>
        <w:rPr>
          <w:rFonts w:ascii="Microsoft YaHei" w:hAnsi="Microsoft YaHei" w:eastAsia="Microsoft YaHei" w:cs="Microsoft YaHei"/>
        </w:rPr>
        <w:t>它的意思乃是作为结果而随之而来</w:t>
      </w:r>
      <w:r>
        <w:rPr>
          <w:rFonts w:ascii="Times New Roman" w:hAnsi="Times New Roman" w:eastAsia="Times New Roman" w:cs="Times New Roman"/>
        </w:rPr>
        <w:t>;</w:t>
      </w:r>
      <w:r>
        <w:rPr>
          <w:rFonts w:ascii="Microsoft YaHei" w:hAnsi="Microsoft YaHei" w:eastAsia="Microsoft YaHei" w:cs="Microsoft YaHei"/>
        </w:rPr>
        <w:t>乃是跟随而来</w:t>
      </w:r>
      <w:r>
        <w:rPr>
          <w:rFonts w:ascii="Times New Roman" w:hAnsi="Times New Roman" w:eastAsia="Times New Roman" w:cs="Times New Roman"/>
        </w:rPr>
        <w:t>,‘</w:t>
      </w:r>
      <w:r>
        <w:rPr>
          <w:rFonts w:ascii="Microsoft YaHei" w:hAnsi="Microsoft YaHei" w:eastAsia="Microsoft YaHei" w:cs="Microsoft YaHei"/>
        </w:rPr>
        <w:t>作为先前已经发生之事的结果</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就人而言</w:t>
      </w:r>
      <w:r>
        <w:rPr>
          <w:rFonts w:ascii="Times New Roman" w:hAnsi="Times New Roman" w:eastAsia="Times New Roman" w:cs="Times New Roman"/>
        </w:rPr>
        <w:t>,</w:t>
      </w:r>
      <w:r>
        <w:rPr>
          <w:rFonts w:ascii="Microsoft YaHei" w:hAnsi="Microsoft YaHei" w:eastAsia="Microsoft YaHei" w:cs="Microsoft YaHei"/>
        </w:rPr>
        <w:t>第三位天使是随着那先于它的两位而来的</w:t>
      </w:r>
      <w:r>
        <w:rPr>
          <w:rFonts w:ascii="Times New Roman" w:hAnsi="Times New Roman" w:eastAsia="Times New Roman" w:cs="Times New Roman"/>
        </w:rPr>
        <w:t>;</w:t>
      </w:r>
      <w:r>
        <w:rPr>
          <w:rFonts w:ascii="Microsoft YaHei" w:hAnsi="Microsoft YaHei" w:eastAsia="Microsoft YaHei" w:cs="Microsoft YaHei"/>
        </w:rPr>
        <w:t>而就其信息作为一件事而言</w:t>
      </w:r>
      <w:r>
        <w:rPr>
          <w:rFonts w:ascii="Times New Roman" w:hAnsi="Times New Roman" w:eastAsia="Times New Roman" w:cs="Times New Roman"/>
        </w:rPr>
        <w:t>,</w:t>
      </w:r>
      <w:r>
        <w:rPr>
          <w:rFonts w:ascii="Microsoft YaHei" w:hAnsi="Microsoft YaHei" w:eastAsia="Microsoft YaHei" w:cs="Microsoft YaHei"/>
        </w:rPr>
        <w:t>它乃是作为那先前之事的结果</w:t>
      </w:r>
      <w:r>
        <w:rPr>
          <w:rFonts w:ascii="Times New Roman" w:hAnsi="Times New Roman" w:eastAsia="Times New Roman" w:cs="Times New Roman"/>
        </w:rPr>
        <w:t>,</w:t>
      </w:r>
      <w:r>
        <w:rPr>
          <w:rFonts w:ascii="Microsoft YaHei" w:hAnsi="Microsoft YaHei" w:eastAsia="Microsoft YaHei" w:cs="Microsoft YaHei"/>
        </w:rPr>
        <w:t>或后果</w:t>
      </w:r>
      <w:r>
        <w:rPr>
          <w:rFonts w:ascii="Times New Roman" w:hAnsi="Times New Roman" w:eastAsia="Times New Roman" w:cs="Times New Roman"/>
        </w:rPr>
        <w:t>,</w:t>
      </w:r>
      <w:r>
        <w:rPr>
          <w:rFonts w:ascii="Microsoft YaHei" w:hAnsi="Microsoft YaHei" w:eastAsia="Microsoft YaHei" w:cs="Microsoft YaHei"/>
        </w:rPr>
        <w:t>而随之而来的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“Lakini kuhusu yule wa Pili pia imeandikwa: ‘Kisha akafuata malaika mwingine.’ Kama ilivyo kwa Malaika wa Tatu anayemfuata wa Pili, ndivyo ilivyo kwa Malaika wa Pili anayemfuata wa Kwanza. Naye kuhusu yule wa Kwanza imeandikwa: ‘Nami nikamwona malaika mwingine akiruka,’ n.k. Huyu ndiye wa kwanza katika mfululizo huu wa watatu. Mwingine humfuata; naye Malaika wa Tatu huwafuata. Kuna mfululizo katika mpangilio wa kuinuka kwao; lakini, hao watatu wanapokuwa wameinuka kwa mfululizo, ndipo huendelea pamoja kama mmoja. Wa Kwanza hutangaza ujumbe wake; wa Pili humfuata na kuungana na wa Kwanza; wa Tatu huwafuata, naye huungana nao; hivyo basi, hao watatu wanapounganishwa, na kuendelea pamoja katika nguvu yao ya umoja, huunda ujumbe mkuu wenye sauti kuu wa namna tatu. Vyote vinahitajika ili kuufanya Ujumbe wa Malaika wa Tatu kuwa mkamilifu; wala Ujumbe wa Malaika wa Tatu hauwezi kutolewa kwa kweli pasipo kutolewa kwa yote.”</w:t>
      </w:r>
    </w:p>
    <w:p>
      <w:pPr>
        <w:pStyle w:val="ArticleScripture"/>
        <w:jc w:val="left"/>
      </w:pPr>
      <w:r>
        <w:rPr>
          <w:rFonts w:ascii="Times New Roman" w:hAnsi="Times New Roman" w:eastAsia="Times New Roman" w:cs="Times New Roman"/>
        </w:rPr>
        <w:t>«پس، پیامِ سه‌گانه در بخش‌های respective آن چیست؟—اینک نخستین آن: “و فرشته‌ای دیگر را دیدم که در میان آسمان پرواز می‌کرد، و انجیلِ جاودانی را داشت تا آن را به ساکنان زمین، و به هر امت و قبیله و زبان و قوم بشارت دهد، و به آواز بلند می‌گفت: از خدا بترسید و او را جلال دهید؛ زیرا ساعتِ داوریِ او فرارسیده است؛ و او را که آسمان و زمین و دریا و چشمه‌سارهای آب را آفرید، پرستش کنید.”»</w:t>
      </w:r>
    </w:p>
    <w:p>
      <w:pPr>
        <w:pStyle w:val="ArticleScripture"/>
        <w:jc w:val="left"/>
      </w:pPr>
      <w:r>
        <w:rPr>
          <w:rFonts w:ascii="Times New Roman" w:hAnsi="Times New Roman" w:eastAsia="Times New Roman" w:cs="Times New Roman"/>
        </w:rPr>
        <w:t>«Voici le second : “Et un autre ange suivit, disant : Babylone est tombée, elle est tombée, cette grande ville, parce qu’elle a fait boire à toutes les nations du vin de la colère de sa fornication.”»</w:t>
      </w:r>
    </w:p>
    <w:p>
      <w:pPr>
        <w:pStyle w:val="ArticleScripture"/>
        <w:jc w:val="left"/>
      </w:pPr>
      <w:r>
        <w:rPr>
          <w:rFonts w:ascii="Times New Roman" w:hAnsi="Times New Roman" w:eastAsia="Times New Roman" w:cs="Times New Roman"/>
        </w:rPr>
        <w:t>« Et voici le Troisième : “Et le Troisième Ange les suivit, disant d’une voix forte : Si quelqu’un adore la bête et son image, et reçoit sa marque sur son front ou sur sa main, celui-là boira, lui aussi, du vin de la colère de Dieu, versé sans mélange dans la coupe de son indignation ; et il sera tourmenté dans le feu et le soufre en présence des saints anges et en présence de l’Agneau. Et la fumée de leur tourment monte aux siècles des siècles ; et ils n’ont de repos ni jour ni nuit, ceux qui adorent la Bête et son Image, et quiconque reçoit la marque de son nom. Voici la persévérance des saints : voici ceux qui gardent les commandements de Dieu et la foi de Jésus.” »</w:t>
      </w:r>
    </w:p>
    <w:p>
      <w:pPr>
        <w:pStyle w:val="ArticleScripture"/>
        <w:jc w:val="left"/>
      </w:pPr>
      <w:r>
        <w:rPr>
          <w:rFonts w:ascii="Times New Roman" w:hAnsi="Times New Roman" w:eastAsia="Times New Roman" w:cs="Times New Roman"/>
        </w:rPr>
        <w:t>«شاید با نگاهی به عبارت هر یک از این پیام‌ها روشن گردد که در واژهٔ یونانیِ ترجمه‌شده به «پیروی کرد»، این اندیشه نهفته است که معنای آن «در پی آمدن به‌عنوان نتیجه» است. فرشتهٔ اوّل، انجیل جاودانی را دارد تا آن را به هر مخلوق موعظه کند، و همگان را فرامی‌خواند که از خدا بترسند و او را جلال دهند و او را پرستش کنند؛ زیرا ساعت داوری او فرا رسیده است. ردّ این پیام، وضعیتی را پدید می‌آورد که، به‌عنوان نتیجهٔ چنین ردّی، در سخنان فرشتهٔ دوّم ـ که در پی آن می‌آید ـ توصیف شده است. و به سبب ردّ پیام اوّل؛ و به سبب پیامدهای آن ردّ، چنان‌که در پیام دوّم اعلام شده است؛ وضعیتی پدید می‌آید که، به‌عنوان نتیجه‌ای دیگر، اقتضا می‌کند که فرشتهٔ سوّم در پی آن دو بیاید و با آواز بلند، هشدار هولناک خود را بر ضدّ شرارت‌های سهمگینی اعلام کند که به‌عنوان پیامد دوگانهٔ ردّ پیام اوّل پدید آمده‌اند.»</w:t>
      </w:r>
    </w:p>
    <w:p>
      <w:pPr>
        <w:pStyle w:val="ArticleScripture"/>
        <w:jc w:val="left"/>
      </w:pP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सकेगी</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«Со следните зборови по завршетокот на Третиот ангел се вели: „И чув глас од небото како ми вели: Пиши: Блажени се мртвите, кои умираат во Господа отсега“ — од ова време натаму. Откровение 14:13. А веднаш по ова следат зборовите: „И погледнав, и ете, бел облак, и на облакот седеше некој сличен на Синот Човечки, со златен венец на главата Своја и во раката Своја остар срп. И друг ангел излезе од храмот, викајќи со силен глас кон Оној што седеше на облакот: Пушти го српот Свој и жнеј, зашто дојде часот да се жнее; бидејќи жетвата на земјата е созреана. И Оној што седеше на облакот го пушти српот Свој на земјата; и земјата беше пожнеана.“ Откровение 14:14–16. А „жетвата е крајот на светот.“ Матеј 13:39.»</w:t>
      </w:r>
    </w:p>
    <w:p>
      <w:pPr>
        <w:pStyle w:val="ArticleScripture"/>
        <w:jc w:val="left"/>
      </w:pPr>
      <w:r>
        <w:rPr>
          <w:rFonts w:ascii="Times New Roman" w:hAnsi="Times New Roman" w:eastAsia="Times New Roman" w:cs="Times New Roman"/>
        </w:rPr>
        <w:t>« Encore : le Troisième Ange avertit particulièrement tous les hommes contre l’adoration de la bête et de son image, quelles qu’elles puissent être ; et, d’après Apocalypse 19:11–21, nous constatons que la bête et son image sont « vivantes » lorsque le Seigneur vient sur les nuées du ciel, et qu’elles sont « toutes deux » détruites par l’éclat de son avènement. »</w:t>
      </w:r>
    </w:p>
    <w:p>
      <w:pPr>
        <w:pStyle w:val="ArticleScripture"/>
        <w:jc w:val="left"/>
      </w:pPr>
      <w:r>
        <w:rPr>
          <w:rFonts w:ascii="Times New Roman" w:hAnsi="Times New Roman" w:eastAsia="Times New Roman" w:cs="Times New Roman"/>
        </w:rPr>
        <w:t>Ces faits montrent que le message du troisième ange est un message puissant, triple, proclamé d’une voix forte, qui va vers toute nation, toute tribu, toute langue et tout peuple, juste avant la seconde venue du Seigneur; et qui mène à maturité la moisson de la terre, et prépare un peuple disposé pour le Seigneur, tout comme le message de Jean-Baptiste prépara la voie pour la première venue du Seigneur. Ainsi, c’est le dernier, l’ultime, message de Dieu au monde.</w:t>
      </w:r>
    </w:p>
    <w:p>
      <w:pPr>
        <w:pStyle w:val="ArticleScripture"/>
        <w:jc w:val="left"/>
      </w:pPr>
      <w:r>
        <w:rPr>
          <w:rFonts w:ascii="Times New Roman" w:hAnsi="Times New Roman" w:eastAsia="Times New Roman" w:cs="Times New Roman"/>
        </w:rPr>
        <w:t>“Et maintenant, ayant ainsi une compréhension de ce qu’est en elle-même le Message du Troisième Ange, le rapport de ce message avec les grandes nations d’aujourd’hui peut être mieux discerné par un examen du Temps du Message du Troisième Ange.”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ព្រះប្រវត្តិសាស្ត្រលាក់កំបាំងនៃខទីសែសិប — លេខដប់ប្រាំ</dc:title>
  <dc:subject>Tshiwo tsha Vhuvhili — Tshipiḓa tsha Vhuvhili</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