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w:t>
      </w:r>
      <w:r>
        <w:rPr>
          <w:rFonts w:ascii="Arial" w:hAnsi="Arial" w:eastAsia="Arial" w:cs="Arial"/>
        </w:rPr>
        <w:t xml:space="preserve"> </w:t>
      </w:r>
      <w:r>
        <w:rPr>
          <w:rFonts w:ascii="Ebrima" w:hAnsi="Ebrima" w:eastAsia="Ebrima" w:cs="Ebrima"/>
        </w:rPr>
        <w:t>ቁጥር</w:t>
      </w:r>
      <w:r>
        <w:rPr>
          <w:rFonts w:ascii="Arial" w:hAnsi="Arial" w:eastAsia="Arial" w:cs="Arial"/>
        </w:rPr>
        <w:t xml:space="preserve"> </w:t>
      </w:r>
      <w:r>
        <w:rPr>
          <w:rFonts w:ascii="Ebrima" w:hAnsi="Ebrima" w:eastAsia="Ebrima" w:cs="Ebrima"/>
        </w:rPr>
        <w:t>ስውር</w:t>
      </w:r>
      <w:r>
        <w:rPr>
          <w:rFonts w:ascii="Arial" w:hAnsi="Arial" w:eastAsia="Arial" w:cs="Arial"/>
        </w:rPr>
        <w:t xml:space="preserve"> </w:t>
      </w:r>
      <w:r>
        <w:rPr>
          <w:rFonts w:ascii="Ebrima" w:hAnsi="Ebrima" w:eastAsia="Ebrima" w:cs="Ebrima"/>
        </w:rPr>
        <w:t>ታሪክ</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አስራ</w:t>
      </w:r>
      <w:r>
        <w:rPr>
          <w:rFonts w:ascii="Arial" w:hAnsi="Arial" w:eastAsia="Arial" w:cs="Arial"/>
        </w:rPr>
        <w:t xml:space="preserve"> </w:t>
      </w:r>
      <w:r>
        <w:rPr>
          <w:rFonts w:ascii="Ebrima" w:hAnsi="Ebrima" w:eastAsia="Ebrima" w:cs="Ebrima"/>
        </w:rPr>
        <w:t>ስድስት</w:t>
      </w:r>
    </w:p>
    <w:p>
      <w:pPr>
        <w:pStyle w:val="ArticleSubtitle"/>
        <w:jc w:val="left"/>
      </w:pPr>
      <w:r>
        <w:rPr>
          <w:rFonts w:ascii="Arial" w:hAnsi="Arial" w:eastAsia="Arial" w:cs="Arial"/>
        </w:rPr>
        <w:t>Nne Tsirivɔ si no Ɔfa a Ɛto so Abiɛsa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Logička Jonesa</w:t>
      </w:r>
    </w:p>
    <w:p>
      <w:pPr>
        <w:pStyle w:val="ArticleBody"/>
        <w:jc w:val="left"/>
      </w:pPr>
      <w:r>
        <w:rPr>
          <w:rFonts w:ascii="Nirmala UI" w:hAnsi="Nirmala UI" w:eastAsia="Nirmala UI" w:cs="Nirmala UI"/>
        </w:rPr>
        <w:t>যুক্তিটি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স্বর্গদূতকে</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শিলাসম</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তূর্যধ্বনিকারী</w:t>
      </w:r>
      <w:r>
        <w:rPr>
          <w:rFonts w:ascii="Times New Roman" w:hAnsi="Times New Roman" w:eastAsia="Times New Roman" w:cs="Times New Roman"/>
        </w:rPr>
        <w:t xml:space="preserve"> </w:t>
      </w:r>
      <w:r>
        <w:rPr>
          <w:rFonts w:ascii="Nirmala UI" w:hAnsi="Nirmala UI" w:eastAsia="Nirmala UI" w:cs="Nirmala UI"/>
        </w:rPr>
        <w:t>স্বর্গদূতদের</w:t>
      </w:r>
      <w:r>
        <w:rPr>
          <w:rFonts w:ascii="Times New Roman" w:hAnsi="Times New Roman" w:eastAsia="Times New Roman" w:cs="Times New Roman"/>
        </w:rPr>
        <w:t xml:space="preserve"> </w:t>
      </w:r>
      <w:r>
        <w:rPr>
          <w:rFonts w:ascii="Nirmala UI" w:hAnsi="Nirmala UI" w:eastAsia="Nirmala UI" w:cs="Nirmala UI"/>
        </w:rPr>
        <w:t>গঠনগত</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সনাক্তকরণ</w:t>
      </w:r>
      <w:r>
        <w:rPr>
          <w:rFonts w:ascii="Times New Roman" w:hAnsi="Times New Roman" w:eastAsia="Times New Roman" w:cs="Times New Roman"/>
        </w:rPr>
        <w:t xml:space="preserve"> </w:t>
      </w:r>
      <w:r>
        <w:rPr>
          <w:rFonts w:ascii="Nirmala UI" w:hAnsi="Nirmala UI" w:eastAsia="Nirmala UI" w:cs="Nirmala UI"/>
        </w:rPr>
        <w:t>একেবারেই</w:t>
      </w:r>
      <w:r>
        <w:rPr>
          <w:rFonts w:ascii="Times New Roman" w:hAnsi="Times New Roman" w:eastAsia="Times New Roman" w:cs="Times New Roman"/>
        </w:rPr>
        <w:t xml:space="preserve"> </w:t>
      </w:r>
      <w:r>
        <w:rPr>
          <w:rFonts w:ascii="Nirmala UI" w:hAnsi="Nirmala UI" w:eastAsia="Nirmala UI" w:cs="Nirmala UI"/>
        </w:rPr>
        <w:t>অখণ্ডনীয়।</w:t>
      </w:r>
      <w:r>
        <w:rPr>
          <w:rFonts w:ascii="Times New Roman" w:hAnsi="Times New Roman" w:eastAsia="Times New Roman" w:cs="Times New Roman"/>
        </w:rPr>
        <w:t xml:space="preserve"> </w:t>
      </w:r>
      <w:r>
        <w:rPr>
          <w:rFonts w:ascii="Nirmala UI" w:hAnsi="Nirmala UI" w:eastAsia="Nirmala UI" w:cs="Nirmala UI"/>
        </w:rPr>
        <w:t>নিঃসন্দেহে</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অবিচ্ছেদ্য</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ক্ষেত্রেও</w:t>
      </w:r>
      <w:r>
        <w:rPr>
          <w:rFonts w:ascii="Times New Roman" w:hAnsi="Times New Roman" w:eastAsia="Times New Roman" w:cs="Times New Roman"/>
        </w:rPr>
        <w:t xml:space="preserve"> </w:t>
      </w:r>
      <w:r>
        <w:rPr>
          <w:rFonts w:ascii="Nirmala UI" w:hAnsi="Nirmala UI" w:eastAsia="Nirmala UI" w:cs="Nirmala UI"/>
        </w:rPr>
        <w:t>সমানভাবে</w:t>
      </w:r>
      <w:r>
        <w:rPr>
          <w:rFonts w:ascii="Times New Roman" w:hAnsi="Times New Roman" w:eastAsia="Times New Roman" w:cs="Times New Roman"/>
        </w:rPr>
        <w:t xml:space="preserve"> </w:t>
      </w:r>
      <w:r>
        <w:rPr>
          <w:rFonts w:ascii="Nirmala UI" w:hAnsi="Nirmala UI" w:eastAsia="Nirmala UI" w:cs="Nirmala UI"/>
        </w:rPr>
        <w:t>বৈধ।</w:t>
      </w:r>
    </w:p>
    <w:p>
      <w:pPr>
        <w:pStyle w:val="ArticleBody"/>
        <w:jc w:val="left"/>
      </w:pPr>
      <w:r>
        <w:rPr>
          <w:rFonts w:ascii="Times New Roman" w:hAnsi="Times New Roman" w:eastAsia="Times New Roman" w:cs="Times New Roman"/>
        </w:rPr>
        <w:t>Eftersom han koncentrerade sig på de tre änglarna i Uppenbarelseboken fjorton, fullföljde han inte sin egen logik till dess yttersta slutsats. Ytterst sett innebar den logik han använde för att knyta den femte, sjätte och sjunde veropunen till de tre änglarna i Uppenbarelseboken fjorton också att trumpetskildringens linje måste föras hela vägen tillbaka till den förste av de sju basunänglarna.</w:t>
      </w:r>
    </w:p>
    <w:p>
      <w:pPr>
        <w:pStyle w:val="ArticleScripture"/>
        <w:jc w:val="left"/>
      </w:pPr>
      <w:r>
        <w:rPr>
          <w:rFonts w:ascii="Times New Roman" w:hAnsi="Times New Roman" w:eastAsia="Times New Roman" w:cs="Times New Roman"/>
        </w:rPr>
        <w:t>Y vi a los siete ángeles que estaban en pie ante Dios; y se les dieron siete trompetas. … Y los siete ángeles que tenían las siete trompetas se dispusieron a tocarlas. Apocalipsis 8:2, 6.</w:t>
      </w:r>
    </w:p>
    <w:p>
      <w:pPr>
        <w:pStyle w:val="ArticleBody"/>
        <w:jc w:val="left"/>
      </w:pPr>
      <w:r>
        <w:rPr>
          <w:rFonts w:ascii="Times New Roman" w:hAnsi="Times New Roman" w:eastAsia="Times New Roman" w:cs="Times New Roman"/>
        </w:rPr>
        <w:t>The series of angels begins with the “seven” trumpet angels, and the line of angels in Revelation begins with the first trumpet all the way through to the third angel’s warning of the mark of the beast. Jones is correct for identifying a distinction from the first four trumpets and the last three woe trumpets, for that “four and three” prophetic structure is also found in the churches and the seals. Established upon three witnesses in the book of Revelation allows those who choose to see that seven as a symbol, also contains four as a symbol and three as a symbol.</w:t>
      </w:r>
    </w:p>
    <w:p>
      <w:pPr>
        <w:pStyle w:val="ArticleHeading"/>
        <w:jc w:val="left"/>
      </w:pPr>
      <w:r>
        <w:rPr>
          <w:rFonts w:ascii="Arial" w:hAnsi="Arial" w:eastAsia="Arial" w:cs="Arial"/>
        </w:rPr>
        <w:t>ڕابطەیەکی خودایی</w:t>
      </w:r>
    </w:p>
    <w:p>
      <w:pPr>
        <w:pStyle w:val="ArticleBody"/>
        <w:jc w:val="left"/>
      </w:pPr>
      <w:r>
        <w:rPr>
          <w:rFonts w:ascii="Times New Roman" w:hAnsi="Times New Roman" w:eastAsia="Times New Roman" w:cs="Times New Roman"/>
        </w:rPr>
        <w:t>Hivi karibuni tumekuwa tukitambua kwamba malaika wa kwanza na wa pili wa Ufunuo kumi na nne wanapewa uwezo kwa njia ya unabii wa wakati unaohusu Uislamu wa ole wa kwanza na wa pili, na kwamba kutiwa nguvu kwa malaika wa tatu kunatimizwa kwa kutimizwa kwa ole wa tatu mnamo 9/11. Matumizi ya Jones yanatambulisha, (ingawa hakutoa hoja yangu), kwamba kila malaika kuanzia malaika wa kwanza wa tarumbeta wa Ufunuo nane hadi tarumbeta ya ole wa tatu ya Ufunuo kumi na moja ameunganishwa bila kutenganishwa na wale malaika watatu wa Ufunuo kumi na nne. Ni alama ndani ya mstari uleule wa unabii. Yanapaswa kutambuliwa hivyo ili kuelewa majukumu mbalimbali ambayo kila mmoja wa malaika hao anawakilisha. Kwa hiyo, kama vile makanisa saba, mihuri saba na tarumbeta saba vinavyowakilisha saba, na pia alama ya nne na tatu ndani ya ishara ya jumla ya saba (makanisa, mihuri na tarumbeta); mstari wa malaika kuanzia wa kwanza wa wale malaika saba wa tarumbeta hadi kufikia malaika wa tatu lazima uzingatiwe kama kitu kizima. Hili linatambulisha mstari wa malaika kumi na mmoja.</w:t>
      </w:r>
    </w:p>
    <w:p>
      <w:pPr>
        <w:pStyle w:val="ArticleBody"/>
        <w:jc w:val="left"/>
      </w:pPr>
      <w:r>
        <w:rPr>
          <w:rFonts w:ascii="Times New Roman" w:hAnsi="Times New Roman" w:eastAsia="Times New Roman" w:cs="Times New Roman"/>
        </w:rPr>
        <w:t>Les trois anges d’Apocalypse quatorze représentent le message d’avertissement des millérites qui annonça l’ouverture du jugement, puis le message d’avertissement des cent quarante-quatre mille qui annonce la clôture du jugement.</w:t>
      </w:r>
    </w:p>
    <w:p>
      <w:pPr>
        <w:pStyle w:val="ArticleBody"/>
        <w:jc w:val="left"/>
      </w:pPr>
      <w:r>
        <w:rPr>
          <w:rFonts w:ascii="Times New Roman" w:hAnsi="Times New Roman" w:eastAsia="Times New Roman" w:cs="Times New Roman"/>
        </w:rPr>
        <w:t>Sept trompet yo reprezante pouvwa Bondye te itilize nan pwovidans li pou pote jijman sou nasyon ki te enpoze adorasyon solèy la.</w:t>
      </w:r>
    </w:p>
    <w:p>
      <w:pPr>
        <w:pStyle w:val="ArticleBody"/>
        <w:jc w:val="left"/>
      </w:pP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476 </w:t>
      </w:r>
      <w:r>
        <w:rPr>
          <w:rFonts w:ascii="Nirmala UI" w:hAnsi="Nirmala UI" w:eastAsia="Nirmala UI" w:cs="Nirmala UI"/>
        </w:rPr>
        <w:t>ईस्वी</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Leelawadee UI" w:hAnsi="Leelawadee UI" w:eastAsia="Leelawadee UI" w:cs="Leelawadee UI"/>
        </w:rPr>
        <w:t>ទីប្រាំ</w:t>
      </w:r>
      <w:r>
        <w:rPr>
          <w:rFonts w:ascii="Times New Roman" w:hAnsi="Times New Roman" w:eastAsia="Times New Roman" w:cs="Times New Roman"/>
        </w:rPr>
        <w:t xml:space="preserve"> </w:t>
      </w:r>
      <w:r>
        <w:rPr>
          <w:rFonts w:ascii="Leelawadee UI" w:hAnsi="Leelawadee UI" w:eastAsia="Leelawadee UI" w:cs="Leelawadee UI"/>
        </w:rPr>
        <w:t>និងទីប្រាំមួយ</w:t>
      </w:r>
      <w:r>
        <w:rPr>
          <w:rFonts w:ascii="Times New Roman" w:hAnsi="Times New Roman" w:eastAsia="Times New Roman" w:cs="Times New Roman"/>
        </w:rPr>
        <w:t xml:space="preserve"> </w:t>
      </w:r>
      <w:r>
        <w:rPr>
          <w:rFonts w:ascii="Leelawadee UI" w:hAnsi="Leelawadee UI" w:eastAsia="Leelawadee UI" w:cs="Leelawadee UI"/>
        </w:rPr>
        <w:t>កំណត់អត្តសញ្ញាណការរលំរលាយនៃរ៉ូមខាងកើត</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1449 </w:t>
      </w:r>
      <w:r>
        <w:rPr>
          <w:rFonts w:ascii="Leelawadee UI" w:hAnsi="Leelawadee UI" w:eastAsia="Leelawadee UI" w:cs="Leelawadee UI"/>
        </w:rPr>
        <w:t>រហូតដល់</w:t>
      </w:r>
      <w:r>
        <w:rPr>
          <w:rFonts w:ascii="Times New Roman" w:hAnsi="Times New Roman" w:eastAsia="Times New Roman" w:cs="Times New Roman"/>
        </w:rPr>
        <w:t xml:space="preserve"> 1453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Awọn ipè mẹ́ta ìkẹyìn dúró fún Ìsìlàmù nínú àwọn ègbé mẹ́ta.</w:t>
      </w:r>
    </w:p>
    <w:p>
      <w:pPr>
        <w:pStyle w:val="ArticleBody"/>
        <w:jc w:val="left"/>
      </w:pPr>
      <w:r>
        <w:rPr>
          <w:rFonts w:ascii="Times New Roman" w:hAnsi="Times New Roman" w:eastAsia="Times New Roman" w:cs="Times New Roman"/>
        </w:rPr>
        <w:t>L’ange d’Apocalypse dix est le Christ, qui descend pour donner puissance au mouvement au commencement, et Il redescend de nouveau dans Apocalypse dix-huit, pour donner puissance au mouvement à la fin.</w:t>
      </w:r>
    </w:p>
    <w:p>
      <w:pPr>
        <w:pStyle w:val="ArticleBody"/>
        <w:jc w:val="left"/>
      </w:pPr>
      <w:r>
        <w:rPr>
          <w:rFonts w:ascii="Leelawadee UI" w:hAnsi="Leelawadee UI" w:eastAsia="Leelawadee UI" w:cs="Leelawadee UI"/>
        </w:rPr>
        <w:t>ສຽງແກທີ່ເຈັດເລີ່ມດັງຂຶ້ນໃນວັນທີ</w:t>
      </w:r>
      <w:r>
        <w:rPr>
          <w:rFonts w:ascii="Times New Roman" w:hAnsi="Times New Roman" w:eastAsia="Times New Roman" w:cs="Times New Roman"/>
        </w:rPr>
        <w:t xml:space="preserve"> 22 </w:t>
      </w:r>
      <w:r>
        <w:rPr>
          <w:rFonts w:ascii="Leelawadee UI" w:hAnsi="Leelawadee UI" w:eastAsia="Leelawadee UI" w:cs="Leelawadee UI"/>
        </w:rPr>
        <w:t>ຕຸລາ</w:t>
      </w:r>
      <w:r>
        <w:rPr>
          <w:rFonts w:ascii="Times New Roman" w:hAnsi="Times New Roman" w:eastAsia="Times New Roman" w:cs="Times New Roman"/>
        </w:rPr>
        <w:t xml:space="preserve"> 1844 </w:t>
      </w:r>
      <w:r>
        <w:rPr>
          <w:rFonts w:ascii="Leelawadee UI" w:hAnsi="Leelawadee UI" w:eastAsia="Leelawadee UI" w:cs="Leelawadee UI"/>
        </w:rPr>
        <w:t>ໃນເວລາເປີດການພິພາກສາ</w:t>
      </w:r>
      <w:r>
        <w:rPr>
          <w:rFonts w:ascii="Times New Roman" w:hAnsi="Times New Roman" w:eastAsia="Times New Roman" w:cs="Times New Roman"/>
        </w:rPr>
        <w:t xml:space="preserve"> </w:t>
      </w:r>
      <w:r>
        <w:rPr>
          <w:rFonts w:ascii="Leelawadee UI" w:hAnsi="Leelawadee UI" w:eastAsia="Leelawadee UI" w:cs="Leelawadee UI"/>
        </w:rPr>
        <w:t>ຊຶ່ງເປັນວັນໄຖ່ບາບແບບຕົ້ນແບບທີ່ສຳເລັດຕາມຄວາມໝາຍ</w:t>
      </w:r>
      <w:r>
        <w:rPr>
          <w:rFonts w:ascii="Times New Roman" w:hAnsi="Times New Roman" w:eastAsia="Times New Roman" w:cs="Times New Roman"/>
        </w:rPr>
        <w:t xml:space="preserve">. </w:t>
      </w:r>
      <w:r>
        <w:rPr>
          <w:rFonts w:ascii="Leelawadee UI" w:hAnsi="Leelawadee UI" w:eastAsia="Leelawadee UI" w:cs="Leelawadee UI"/>
        </w:rPr>
        <w:t>ສຽງແກແຫ່ງປີຢູບິລີຈະຕ້ອງຖືກເປົ່າໃນວັນໄຖ່ບາບ</w:t>
      </w:r>
      <w:r>
        <w:rPr>
          <w:rFonts w:ascii="Times New Roman" w:hAnsi="Times New Roman" w:eastAsia="Times New Roman" w:cs="Times New Roman"/>
        </w:rPr>
        <w:t xml:space="preserve">. </w:t>
      </w:r>
      <w:r>
        <w:rPr>
          <w:rFonts w:ascii="Leelawadee UI" w:hAnsi="Leelawadee UI" w:eastAsia="Leelawadee UI" w:cs="Leelawadee UI"/>
        </w:rPr>
        <w:t>ດັ່ງນັ້ນ</w:t>
      </w:r>
      <w:r>
        <w:rPr>
          <w:rFonts w:ascii="Times New Roman" w:hAnsi="Times New Roman" w:eastAsia="Times New Roman" w:cs="Times New Roman"/>
        </w:rPr>
        <w:t xml:space="preserve"> </w:t>
      </w:r>
      <w:r>
        <w:rPr>
          <w:rFonts w:ascii="Leelawadee UI" w:hAnsi="Leelawadee UI" w:eastAsia="Leelawadee UI" w:cs="Leelawadee UI"/>
        </w:rPr>
        <w:t>ຈຶ່ງມີສຽງແກສອງຢ່າງຖືກເປົ່າໃນການພິພາກສາ</w:t>
      </w:r>
      <w:r>
        <w:rPr>
          <w:rFonts w:ascii="Times New Roman" w:hAnsi="Times New Roman" w:eastAsia="Times New Roman" w:cs="Times New Roman"/>
        </w:rPr>
        <w:t xml:space="preserve">; </w:t>
      </w:r>
      <w:r>
        <w:rPr>
          <w:rFonts w:ascii="Leelawadee UI" w:hAnsi="Leelawadee UI" w:eastAsia="Leelawadee UI" w:cs="Leelawadee UI"/>
        </w:rPr>
        <w:t>ສຽງແກແຫ່ງປີຢູບິລີ</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ສຽງແກທີ່ເຈັດ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Puis tu feras retentir la trompette du jubilé le dixième jour du septième mois; au jour des expiations, vous ferez retentir la trompette dans tout votre pays. Et vous sanctifierez la cinquantième année, et vous proclamerez la liberté dans tout le pays pour tous ses habitants: ce sera pour vous un jubilé; et chacun de vous retournera dans sa possession, et chacun de vous retournera dans sa famille. Cette cinquantième année sera pour vous un jubilé: vous ne sèmerez point, vous ne moissonnerez point ce qui y viendra de soi-même, et vous ne vendangerez point les raisins de ta vigne non taillée. Lévitique 25:9–11.</w:t>
      </w:r>
    </w:p>
    <w:p>
      <w:pPr>
        <w:pStyle w:val="ArticleBody"/>
        <w:jc w:val="left"/>
      </w:pPr>
      <w:r>
        <w:rPr>
          <w:rFonts w:ascii="Times New Roman" w:hAnsi="Times New Roman" w:eastAsia="Times New Roman" w:cs="Times New Roman"/>
        </w:rPr>
        <w:t>Le contexte qui identifie la dispersion d’Israël pendant « sept temps », située dans le chapitre même suivant du Lévitique, est exposé dans les versets qui conduisent à l’instruction de faire retentir la trompette du jubilé au Jour des Expiations.</w:t>
      </w:r>
    </w:p>
    <w:p>
      <w:pPr>
        <w:pStyle w:val="ArticleScripture"/>
        <w:jc w:val="left"/>
      </w:pPr>
      <w:r>
        <w:rPr>
          <w:rFonts w:ascii="Times New Roman" w:hAnsi="Times New Roman" w:eastAsia="Times New Roman" w:cs="Times New Roman"/>
        </w:rPr>
        <w:t>Spreek met die kinders van Israel en sê vir hulle: Wanneer julle in die land kom wat Ek aan julle gee, dan moet die land vir die Here ’n sabbat hou. Ses jaar lank moet jy jou land saai, en ses jaar lank moet jy jou wingerd snoei en die opbrengs daarvan insamel; maar in die sewende jaar moet daar vir die land ’n sabbat van volkome rus wees, ’n sabbat vir die Here. Jy mag jou land nie saai en jou wingerd nie snoei nie. Wat vanself opskiet uit jou oes, mag jy nie afmaai nie, en die druiwe van jou ongesnoeide wingerd mag jy nie versamel nie; want dit is ’n jaar van rus vir die land. En die sabbat van die land moet vir julle tot voedsel wees: vir jou en vir jou dienskneg en vir jou diensmaagd en vir jou dagloner en vir jou bywoner wat by jou vertoef; en vir jou vee en vir die wilde diere wat in jou land is, moet al die opbrengs daarvan tot voedsel wees. En jy moet vir jou sewe sabbatsjare tel, sewe maal sewe jaar; en die tyd van die sewe sabbatsjare moet vir jou nege-en-veertig jaar wees. Levitikus 25:2–8.</w:t>
      </w:r>
    </w:p>
    <w:p>
      <w:pPr>
        <w:pStyle w:val="ArticleBody"/>
        <w:jc w:val="left"/>
      </w:pPr>
      <w:r>
        <w:rPr>
          <w:rFonts w:ascii="Times New Roman" w:hAnsi="Times New Roman" w:eastAsia="Times New Roman" w:cs="Times New Roman"/>
        </w:rPr>
        <w:t>هنگامی که میلر در فصل بیست‌وشش داوری بر اسرائیل را به سبب شکستن آرامیِ سَبَتِ زمین تشخیص داد، اصلِ «یک روز نمایانگر یک سال است» را به کار بست و دریافت که یک سال سیصدوشصت روز است، و اینکه هفت بارِ سیصدوشصت، دو هزار و پانصد و بیست سال مجازات برای شکستن عهد بود. این نخستین حقیقتِ نبوی‌ای بود که او کشف کرد. این، بنیادِ حقایقی است که بنیانی را تشکیل دادند که مسیح از طریق کارِ میلر بنا نهاد. کَرِنای یوبیل اعلامِ رهایی و آزادی است.</w:t>
      </w:r>
    </w:p>
    <w:p>
      <w:pPr>
        <w:pStyle w:val="ArticleBody"/>
        <w:jc w:val="left"/>
      </w:pPr>
      <w:r>
        <w:rPr>
          <w:rFonts w:ascii="Times New Roman" w:hAnsi="Times New Roman" w:eastAsia="Times New Roman" w:cs="Times New Roman"/>
        </w:rPr>
        <w:t>Le septième trompette est l’islam du troisième malheur.</w:t>
      </w:r>
    </w:p>
    <w:p>
      <w:pPr>
        <w:pStyle w:val="ArticleScripture"/>
        <w:jc w:val="left"/>
      </w:pPr>
      <w:r>
        <w:rPr>
          <w:rFonts w:ascii="Times New Roman" w:hAnsi="Times New Roman" w:eastAsia="Times New Roman" w:cs="Times New Roman"/>
        </w:rPr>
        <w:t>Men, na kunların awazı içinde, yedinji perişte üfürmäge başlağan wagtda, Hudaynıñ sırrı tamam bolur; ol bunu öz qulları bolğan peyğamberlerge bildürgänidi. Vahiy 10:7.</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ഏത്</w:t>
      </w:r>
      <w:r>
        <w:rPr>
          <w:rFonts w:ascii="Times New Roman" w:hAnsi="Times New Roman" w:eastAsia="Times New Roman" w:cs="Times New Roman"/>
        </w:rPr>
        <w:t xml:space="preserve"> </w:t>
      </w:r>
      <w:r>
        <w:rPr>
          <w:rFonts w:ascii="Nirmala UI" w:hAnsi="Nirmala UI" w:eastAsia="Nirmala UI" w:cs="Nirmala UI"/>
        </w:rPr>
        <w:t>ഭാഷയെ</w:t>
      </w:r>
      <w:r>
        <w:rPr>
          <w:rFonts w:ascii="Times New Roman" w:hAnsi="Times New Roman" w:eastAsia="Times New Roman" w:cs="Times New Roman"/>
        </w:rPr>
        <w:t xml:space="preserve"> </w:t>
      </w:r>
      <w:r>
        <w:rPr>
          <w:rFonts w:ascii="Nirmala UI" w:hAnsi="Nirmala UI" w:eastAsia="Nirmala UI" w:cs="Nirmala UI"/>
        </w:rPr>
        <w:t>സൂചിപ്പിക്കുന്നുവെന്ന്</w:t>
      </w:r>
      <w:r>
        <w:rPr>
          <w:rFonts w:ascii="Times New Roman" w:hAnsi="Times New Roman" w:eastAsia="Times New Roman" w:cs="Times New Roman"/>
        </w:rPr>
        <w:t xml:space="preserve"> </w:t>
      </w:r>
      <w:r>
        <w:rPr>
          <w:rFonts w:ascii="Nirmala UI" w:hAnsi="Nirmala UI" w:eastAsia="Nirmala UI" w:cs="Nirmala UI"/>
        </w:rPr>
        <w:t>ദയവായി</w:t>
      </w:r>
      <w:r>
        <w:rPr>
          <w:rFonts w:ascii="Times New Roman" w:hAnsi="Times New Roman" w:eastAsia="Times New Roman" w:cs="Times New Roman"/>
        </w:rPr>
        <w:t xml:space="preserve"> </w:t>
      </w:r>
      <w:r>
        <w:rPr>
          <w:rFonts w:ascii="Nirmala UI" w:hAnsi="Nirmala UI" w:eastAsia="Nirmala UI" w:cs="Nirmala UI"/>
        </w:rPr>
        <w:t>വ്യക്തമാക്കുക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Kapag natutukoy natin na ito ay isang hula ng panahon ng una at ikalawang sawi na nagbigay-kapangyarihan sa mensahe ng unang anghel, at isang hula ng ikatlong sawi na nagbibigay-kapangyarihan sa mensahe ng ikatlong anghel, kinikilala natin ang mga trumpeta bilang “mga kahatulang ipinarating laban sa Roma bilang tugon sa pagpapatupad ng Linggo.” Ang mga kahatulang yaong ipinagkaloob ng probidensiya, lalo na ang huling tatlong trumpeta ng mga sawi, ay tumutugma at kaagapay ng mensaheng babala ng tatlong anghel ng Apocalipsis labing-apat. Dalawang sawi at dalawang anghel sa kasaysayang Millerita, at ang ikatlong sawi at ang ikatlong anghel sa kasaysayan ng isang daan at apatnapu’t apat na libo. Sa pasimulang kasaysayan ng una at ikalawang mga anghel, ang mensahe ng pagbubukas ng paghuhukom ay binigyang-kapangyarihan ng isang katuparan ng Islam ng una at ikalawang mga sawi. Sa pangwakas na kasaysayan ng ikatlong anghel, ang mensaheng nagpapahayag ng pagsasara ng paghuhukom ay binigyang-kapangyarihan ng isang katuparan ng Islam ng ikatlong sawi.</w:t>
      </w:r>
    </w:p>
    <w:p>
      <w:pPr>
        <w:pStyle w:val="ArticleBody"/>
        <w:jc w:val="left"/>
      </w:pPr>
      <w:r>
        <w:rPr>
          <w:rFonts w:ascii="Times New Roman" w:hAnsi="Times New Roman" w:eastAsia="Times New Roman" w:cs="Times New Roman"/>
        </w:rPr>
        <w:t>Embogue pyhare ha ipahápe ojehechauka vaʼekue pe ánhel Apocalipsis kapítulo 10 ha 18-pe, “ndahaʼéiva ambue ava, síno Jesucristo voi.” Islam pegua marandu okapeguáva ha juicio marandu hyepypegua haʼe pe mbohapyha ñembyasýgui pe trompéta okapeguáva, ha pe juicio marandu hyepypegua haʼe pe mbohapyha ánhel trompéta marandu. Islam pegua trompéta okapeguáva haʼe pe profesía dos mil quinientos veinte ary rehegua, ha pe mbohapyha ánhel trompéta hyepypegua haʼe pe dos mil trescientos ary rehegua. Mokõivéva og̃uahẽ ha osuena vaʼekue omanóva kuéra juicio ñepyrũme, ha mokõivéva og̃uahẽ jey tekovéva kuéra juicio ñepyrũme.</w:t>
      </w:r>
    </w:p>
    <w:p>
      <w:pPr>
        <w:pStyle w:val="ArticleBody"/>
        <w:jc w:val="left"/>
      </w:pPr>
      <w:r>
        <w:rPr>
          <w:rFonts w:ascii="Nirmala UI" w:hAnsi="Nirmala UI" w:eastAsia="Nirmala UI" w:cs="Nirmala UI"/>
        </w:rPr>
        <w:t>મોક્ષપ્રકાશન</w:t>
      </w:r>
      <w:r>
        <w:rPr>
          <w:rFonts w:ascii="Times New Roman" w:hAnsi="Times New Roman" w:eastAsia="Times New Roman" w:cs="Times New Roman"/>
        </w:rPr>
        <w:t xml:space="preserve"> </w:t>
      </w:r>
      <w:r>
        <w:rPr>
          <w:rFonts w:ascii="Nirmala UI" w:hAnsi="Nirmala UI" w:eastAsia="Nirmala UI" w:cs="Nirmala UI"/>
        </w:rPr>
        <w:t>દસનો</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1840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ઇસ્લામ</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પૂર્ણતામાં</w:t>
      </w:r>
      <w:r>
        <w:rPr>
          <w:rFonts w:ascii="Times New Roman" w:hAnsi="Times New Roman" w:eastAsia="Times New Roman" w:cs="Times New Roman"/>
        </w:rPr>
        <w:t xml:space="preserve"> </w:t>
      </w:r>
      <w:r>
        <w:rPr>
          <w:rFonts w:ascii="Nirmala UI" w:hAnsi="Nirmala UI" w:eastAsia="Nirmala UI" w:cs="Nirmala UI"/>
        </w:rPr>
        <w:t>ઉતર્યો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આમ</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મોક્ષપ્રકાશન</w:t>
      </w:r>
      <w:r>
        <w:rPr>
          <w:rFonts w:ascii="Times New Roman" w:hAnsi="Times New Roman" w:eastAsia="Times New Roman" w:cs="Times New Roman"/>
        </w:rPr>
        <w:t xml:space="preserve"> </w:t>
      </w:r>
      <w:r>
        <w:rPr>
          <w:rFonts w:ascii="Nirmala UI" w:hAnsi="Nirmala UI" w:eastAsia="Nirmala UI" w:cs="Nirmala UI"/>
        </w:rPr>
        <w:t>અઢારના</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અવતરણનું</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ઇસ્લામ</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પૂર્ણતા</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સંકળાયેલ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ઇ</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321</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બળવામાં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ઇ</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538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ન્યાય</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તુરીઓ</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જલ્દી</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ન્યાય</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પ્રારંભનો</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9/11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જીવિતોના</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જોન્સે</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અનુક્રમણિકામાં</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શક્તિપૂર્ણ</w:t>
      </w:r>
      <w:r>
        <w:rPr>
          <w:rFonts w:ascii="Times New Roman" w:hAnsi="Times New Roman" w:eastAsia="Times New Roman" w:cs="Times New Roman"/>
        </w:rPr>
        <w:t xml:space="preserve"> </w:t>
      </w:r>
      <w:r>
        <w:rPr>
          <w:rFonts w:ascii="Nirmala UI" w:hAnsi="Nirmala UI" w:eastAsia="Nirmala UI" w:cs="Nirmala UI"/>
        </w:rPr>
        <w:t>બનાવ્યા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આઠમા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નવમા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તુરીઓના</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ઈસુ</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ઓછા</w:t>
      </w:r>
      <w:r>
        <w:rPr>
          <w:rFonts w:ascii="Times New Roman" w:hAnsi="Times New Roman" w:eastAsia="Times New Roman" w:cs="Times New Roman"/>
        </w:rPr>
        <w:t xml:space="preserve"> </w:t>
      </w:r>
      <w:r>
        <w:rPr>
          <w:rFonts w:ascii="Nirmala UI" w:hAnsi="Nirmala UI" w:eastAsia="Nirmala UI" w:cs="Nirmala UI"/>
        </w:rPr>
        <w:t>વ્યક્તિત્વવાળા</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અનુક્રમણિકામાં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અગિયારમા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ધ્વનિનો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1844</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શ્રેણીમાં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આઠમો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મોક્ષપ્રકાશન</w:t>
      </w:r>
      <w:r>
        <w:rPr>
          <w:rFonts w:ascii="Times New Roman" w:hAnsi="Times New Roman" w:eastAsia="Times New Roman" w:cs="Times New Roman"/>
        </w:rPr>
        <w:t xml:space="preserve"> </w:t>
      </w:r>
      <w:r>
        <w:rPr>
          <w:rFonts w:ascii="Nirmala UI" w:hAnsi="Nirmala UI" w:eastAsia="Nirmala UI" w:cs="Nirmala UI"/>
        </w:rPr>
        <w:t>ચૌદમાં</w:t>
      </w:r>
      <w:r>
        <w:rPr>
          <w:rFonts w:ascii="Times New Roman" w:hAnsi="Times New Roman" w:eastAsia="Times New Roman" w:cs="Times New Roman"/>
        </w:rPr>
        <w:t xml:space="preserve"> </w:t>
      </w:r>
      <w:r>
        <w:rPr>
          <w:rFonts w:ascii="Nirmala UI" w:hAnsi="Nirmala UI" w:eastAsia="Nirmala UI" w:cs="Nirmala UI"/>
        </w:rPr>
        <w:t>નવમા</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અગિયારમા</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Tretja engilsins boðskapur verður ekki einangraður frá boðskap fyrsta og annars engilsins, en eigi heldur verður hann aðskilinn frá sjö lúðrum dóms Guðs yfir fráhvarfi. Fyrstu fjórir dómslúðrarnir í áttunda kafla Opinberunarbókarinnar bera kennsl á stigvaxandi hrun Vestur-Rómar eftir fyrstu sunnudagalög Konstantínusar árið 321 og hófust við skiptingu hans á heimsveldinu í austur og vestur árið 330.</w:t>
      </w:r>
    </w:p>
    <w:p>
      <w:pPr>
        <w:pStyle w:val="ArticleScripture"/>
        <w:jc w:val="left"/>
      </w:pPr>
      <w:r>
        <w:rPr>
          <w:rFonts w:ascii="Times New Roman" w:hAnsi="Times New Roman" w:eastAsia="Times New Roman" w:cs="Times New Roman"/>
        </w:rPr>
        <w:t>«Lorsque notre nation, dans ses assemblées législatives, promulguera des lois destinées à lier les consciences des hommes quant à leurs privilèges religieux, en imposant l’observance du dimanche et en exerçant un pouvoir oppressif contre ceux qui gardent le sabbat du septième jour, la loi de Dieu sera, à toutes fins utiles, rendue nulle dans notre pays; et l’apostasie nationale sera suivie de la ruine nationale.» Review and Herald, 18 décembre 1888.</w:t>
      </w:r>
    </w:p>
    <w:p>
      <w:pPr>
        <w:pStyle w:val="ArticleBody"/>
        <w:jc w:val="left"/>
      </w:pPr>
      <w:r>
        <w:rPr>
          <w:rFonts w:ascii="Times New Roman" w:hAnsi="Times New Roman" w:eastAsia="Times New Roman" w:cs="Times New Roman"/>
        </w:rPr>
        <w:t>Ka thupui hnuai hian minung ramten an kalpui sualna avanga an ram tihchhiatna chu Constantine-a rama a lo thleng tan a, hna hmasa ber tûr trumpets paliin Western Rome chu kum 476-ah an tawp tir a ni. Eastern Rome pawh kum 1453-ah a tawp ta a; mahse, hrilhlâwkna lama chuan July 27, 1449-ah a ram lalna zalên tak chu a hloh tawh. Babylon ang lo takin, zan khat chhûngin a tluk chhe vek lo va, Rome chu, chhim lam leh khawchhak lam pahnih pawh, a tâwpnaah hruai a ni chu hmaichhawn zelah a ni. Kum 476-a trumpets pali hmasa ber hnuaia Western Rome tlâkchhiatna chuan United States tlâkchhiatna, trumpets pali hnuaia thleng tûr chu a entîr a; chu chu hmun khatah chuan 1798-a lo tan a, Sunday law-a lo tâwp tûr United States thlahtu chhûng pali a entîr bawk. Chu thlahtu chhûng pali chu Adventism-a thlahtu chhûng pali nên an inmil a; chu chuan Thupuan bung hnih-a kawngkawr pali hmasa berte, Ezekiel bung riat-a inthlahna tenawm zual zelah pali, leh Joel lehkhabu-a khawnvar (grasshoppers) rual pali nên an inmil bawk a ni.</w:t>
      </w:r>
    </w:p>
    <w:p>
      <w:pPr>
        <w:pStyle w:val="ArticleScripture"/>
        <w:jc w:val="left"/>
      </w:pPr>
      <w:r>
        <w:rPr>
          <w:rFonts w:ascii="Times New Roman" w:hAnsi="Times New Roman" w:eastAsia="Times New Roman" w:cs="Times New Roman"/>
        </w:rPr>
        <w:t>Car ainsi parle le Seigneur, l’Éternel : Combien plus lorsque j’enverrai contre Jérusalem mes quatre jugements terribles, l’épée, la famine, les bêtes féroces et la peste, pour en exterminer les hommes et les bêtes ! Ézéchiel 14:21.</w:t>
      </w:r>
    </w:p>
    <w:p>
      <w:pPr>
        <w:pStyle w:val="ArticleBody"/>
        <w:jc w:val="left"/>
      </w:pPr>
      <w:r>
        <w:rPr>
          <w:rFonts w:ascii="Microsoft YaHei" w:hAnsi="Microsoft YaHei" w:eastAsia="Microsoft YaHei" w:cs="Microsoft YaHei"/>
        </w:rPr>
        <w:t>第七號與第六號使東羅馬傾覆</w:t>
      </w:r>
      <w:r>
        <w:rPr>
          <w:rFonts w:ascii="Times New Roman" w:hAnsi="Times New Roman" w:eastAsia="Times New Roman" w:cs="Times New Roman"/>
        </w:rPr>
        <w:t>;</w:t>
      </w:r>
      <w:r>
        <w:rPr>
          <w:rFonts w:ascii="Microsoft YaHei" w:hAnsi="Microsoft YaHei" w:eastAsia="Microsoft YaHei" w:cs="Microsoft YaHei"/>
        </w:rPr>
        <w:t>而東羅馬在預言中相對於西羅馬</w:t>
      </w:r>
      <w:r>
        <w:rPr>
          <w:rFonts w:ascii="Times New Roman" w:hAnsi="Times New Roman" w:eastAsia="Times New Roman" w:cs="Times New Roman"/>
        </w:rPr>
        <w:t>,</w:t>
      </w:r>
      <w:r>
        <w:rPr>
          <w:rFonts w:ascii="Microsoft YaHei" w:hAnsi="Microsoft YaHei" w:eastAsia="Microsoft YaHei" w:cs="Microsoft YaHei"/>
        </w:rPr>
        <w:t>乃象徵國家</w:t>
      </w:r>
      <w:r>
        <w:rPr>
          <w:rFonts w:ascii="Times New Roman" w:hAnsi="Times New Roman" w:eastAsia="Times New Roman" w:cs="Times New Roman"/>
        </w:rPr>
        <w:t>.</w:t>
      </w:r>
      <w:r>
        <w:rPr>
          <w:rFonts w:ascii="Microsoft YaHei" w:hAnsi="Microsoft YaHei" w:eastAsia="Microsoft YaHei" w:cs="Microsoft YaHei"/>
        </w:rPr>
        <w:t>西羅馬象徵教會</w:t>
      </w:r>
      <w:r>
        <w:rPr>
          <w:rFonts w:ascii="Times New Roman" w:hAnsi="Times New Roman" w:eastAsia="Times New Roman" w:cs="Times New Roman"/>
        </w:rPr>
        <w:t>.</w:t>
      </w:r>
      <w:r>
        <w:rPr>
          <w:rFonts w:ascii="Microsoft YaHei" w:hAnsi="Microsoft YaHei" w:eastAsia="Microsoft YaHei" w:cs="Microsoft YaHei"/>
        </w:rPr>
        <w:t>西羅馬也象徵美國</w:t>
      </w:r>
      <w:r>
        <w:rPr>
          <w:rFonts w:ascii="Times New Roman" w:hAnsi="Times New Roman" w:eastAsia="Times New Roman" w:cs="Times New Roman"/>
        </w:rPr>
        <w:t>;</w:t>
      </w:r>
      <w:r>
        <w:rPr>
          <w:rFonts w:ascii="Microsoft YaHei" w:hAnsi="Microsoft YaHei" w:eastAsia="Microsoft YaHei" w:cs="Microsoft YaHei"/>
        </w:rPr>
        <w:t>美國將首先被征服</w:t>
      </w:r>
      <w:r>
        <w:rPr>
          <w:rFonts w:ascii="Times New Roman" w:hAnsi="Times New Roman" w:eastAsia="Times New Roman" w:cs="Times New Roman"/>
        </w:rPr>
        <w:t>,</w:t>
      </w:r>
      <w:r>
        <w:rPr>
          <w:rFonts w:ascii="Microsoft YaHei" w:hAnsi="Microsoft YaHei" w:eastAsia="Microsoft YaHei" w:cs="Microsoft YaHei"/>
        </w:rPr>
        <w:t>正如西羅馬當年首先被征服一樣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«Wakati Amerika, nchi ya uhuru wa dini, itakapoungana na Upapa katika kuilazimisha dhamiri na kuwashurutisha wanadamu kuiheshimu sabato ya uongo, watu wa kila nchi duniani kote wataongozwa kufuata mfano wake.» Testimonies, juzuu la 6, 18.</w:t>
      </w:r>
    </w:p>
    <w:p>
      <w:pPr>
        <w:pStyle w:val="ArticleBody"/>
        <w:jc w:val="left"/>
      </w:pPr>
      <w:r>
        <w:rPr>
          <w:rFonts w:ascii="Times New Roman" w:hAnsi="Times New Roman" w:eastAsia="Times New Roman" w:cs="Times New Roman"/>
        </w:rPr>
        <w:t>تۇرۇبىلارنىڭ ئالدىنقى تۆتى ئامېرىكا تارىخىنىڭ تۆت ئەۋلادىغا ۋەكىللىك قىلىدۇ؛ ۋە ئامېرىكا قوشما ئىشتاتلىرى يىقىلغاندىلا، دانىيال 11-باب، 41-ئايدىكى شەرەپلىك زېمىن يېڭىلا يىقىلغان بولىدۇ، ۋە كېيىنكى توسالغۇ مىسىردۇر، يەنى دۇنيادىكى قالغان مىللەتلەرنىڭ سىمۋولىدۇر. ئاندىن بىرلەشكەن دۆلەتلەر تەشكىلاتى، يەنى ئون پادىشاھ، ۋەھى 17-بابتا دېيىلگەندەك، «قىسقا ۋاقىت—بىر سائەت» ئۈچۈن ئۆزلىرىنىڭ يەتتىنچى پادىشاھلىقىنى پاپالىققا بېرىشكە قوشۇلىدۇ. بۇ ھېرودىسنىڭ تۇغۇلغان كۈن زىياپىتىدە، ئۇ پادىشاھلىقىنىڭ يېرىمىنى ۋەدە قىلغان ۋاقىتتا يۈز بېرىدۇ. ھېرودىسنىڭ تۇغۇلغان كۈن زىياپىتىدە، شۇ سائەتتە تاملارنىڭ سۇۋىقى ئۈستىدە يېزىلغان خەت پەيدا بولىدۇ، ۋە بەلشاززار ئۆلتۈرۈلىدۇ. ئۇ سائەت يەكشەنبە قانۇنىدا يېتىپ كېلىدۇ ۋە ئىنسانىي ئىمتىھان مۆھلىتىنىڭ تاقىلىشىغىچە داۋام قىلىدۇ. يەتتىنچى پادىشاھلىق 1453-يىلى يىقىتىلغان قۇسطنطىنىيەنىڭ سېپىللىرىنىڭ ۋەيران بولۇشىدا ئالدىن كۆرسىتىلگەندەك بويسۇندۇرۇلىدۇ. ئامېرىكا قوشما ئىشتاتلىرىدىكى يەكشەنبە قانۇنىدىن، 1449 بىلەن ئالدىن كۆرسىتىلگەندەك، قۇسطنطىنىيەنىڭ 1453-يىلى يىقىلىشىغىچە، سىمۋوللۇق تۆت يىل بار. پاپالىق 1798-يىلى ئۆلتۈرگۈچى يارىسىنى قوبۇل قىلدى.</w:t>
      </w:r>
    </w:p>
    <w:p>
      <w:pPr>
        <w:pStyle w:val="ArticleBody"/>
        <w:jc w:val="left"/>
      </w:pPr>
      <w:r>
        <w:rPr>
          <w:rFonts w:ascii="Times New Roman" w:hAnsi="Times New Roman" w:eastAsia="Times New Roman" w:cs="Times New Roman"/>
        </w:rPr>
        <w:t>daniel kɔm kelenni dɔɔnin saba ni naani kɔnɔ, papasi tunkara san 1798 la, laban waati la. O kɔfɛ, dugukolo tile kɔmɔgɔ masatigi tunkara san 1989 la, laban waati la. Amɛrika kelenyalen ye tunkara kɔm naani ni kelen kɔnɔ, Misira fana tunkara kɔm naani ni fila kɔnɔ, ani papasi bɛ se ka na a tunkari filanan ani labanman la kɔm naani ni duru kɔnɔ.</w:t>
      </w:r>
    </w:p>
    <w:p>
      <w:pPr>
        <w:pStyle w:val="ArticleScripture"/>
        <w:jc w:val="left"/>
      </w:pPr>
      <w:r>
        <w:rPr>
          <w:rFonts w:ascii="Times New Roman" w:hAnsi="Times New Roman" w:eastAsia="Times New Roman" w:cs="Times New Roman"/>
        </w:rPr>
        <w:t>“Tunapotazama kuinuka na kuanguka kwa mataifa kama ilivyowekwa wazi katika vitabu vya Danieli na Ufunuo, imetupasa kujifunza jinsi ulivyo ubatili utukufu wa nje tu na wa kidunia. Babeli, pamoja na nguvu zake zote na fahari yake, ambavyo ulimwengu wetu haujawahi tena kuviona tangu wakati huo,—nguvu na fahari ambazo kwa watu wa siku ile zilionekana kuwa thabiti sana na za kudumu,—imepita mbali kabisa jinsi gani! Kama ‘ua la majani,’ imeangamia. Yakobo 1:10. Hivyo ndivyo ulivyoangamia ufalme wa Wamedi na Waajemi, na falme za Ugiriki na Rumi. Na hivyo ndivyo vinavyoangamia vitu vyote visivyo na Mungu kuwa msingi wake. Kile tu kilichofungamanishwa na kusudi Lake, na kinachoidhihirisha tabia Yake, ndicho kiwezacho kudumu. Kanuni Zake ndizo pekee zilizo imara ambazo ulimwengu wetu unazijua.” Prophets and Kings, 548.</w:t>
      </w:r>
    </w:p>
    <w:p>
      <w:pPr>
        <w:pStyle w:val="ArticleBody"/>
        <w:jc w:val="left"/>
      </w:pPr>
      <w:r>
        <w:rPr>
          <w:rFonts w:ascii="Times New Roman" w:hAnsi="Times New Roman" w:eastAsia="Times New Roman" w:cs="Times New Roman"/>
        </w:rPr>
        <w:t>در آیهٔ چهل و یک، سقوط ایالات متحدهٔ آمریکا (نبیِ کاذب) به‌وسیلهٔ سال ۱۴۴۹ به‌گونه‌ای نمادین پیش‌نمایی شده بود؛ و در آیهٔ چهل و دو، سقوط مصر (اژدها) به‌وسیلهٔ سال ۱۴۵۳ به‌صورت نمادین پیش‌نمایی شده بود؛ و پاپیّت (وحش) همان‌گونه که سال ۱۷۹۸ به‌طور نمادین نشان می‌دهد، به پایان خود می‌رسد و هیچ یاوری برایش نخواهد بود. نبیِ کاذب و اژدها به‌دست قدرت‌های شیپور به زیر افکنده می‌شوند، و وحش به‌دست یک قدرت اژدهایی ساقط می‌گردد.</w:t>
      </w:r>
    </w:p>
    <w:p>
      <w:pPr>
        <w:pStyle w:val="ArticleBody"/>
        <w:jc w:val="left"/>
      </w:pPr>
      <w:r>
        <w:rPr>
          <w:rFonts w:ascii="Times New Roman" w:hAnsi="Times New Roman" w:eastAsia="Times New Roman" w:cs="Times New Roman"/>
        </w:rPr>
        <w:t>Le nombre quatre est le symbole de la dissolution d’un royaume. Le royaume d’Alexandre se désintégra en quatre royaumes, et l’Égypte descendit dans la mer Rouge à la quatrième génération, et Israël se prosterne devant le soleil dans la quatrième abomination d’Ézéchiel huit. Les quatre générations du protestantisme et des Républicains dans la bête de la terre commencèrent en 1798 et s’achèvent à la loi du dimanche bientôt imminente pour les deux cornes. Les quatre jugements funestes d’Ézéchiel sur Jérusalem illustrent quatre jugements sur les États-Unis, et ces quatre jugements sur le sixième royaume de la prophétie biblique préfigurent les quatre années de 1449 à 1453, lorsque le septième royaume de la prophétie biblique consent à donner la moitié de son royaume à la papauté dans une relation d’Église et d’État sur laquelle règne la prostituée de Tyr.</w:t>
      </w:r>
    </w:p>
    <w:p>
      <w:pPr>
        <w:pStyle w:val="ArticleBody"/>
        <w:jc w:val="left"/>
      </w:pPr>
      <w:r>
        <w:rPr>
          <w:rFonts w:ascii="Times New Roman" w:hAnsi="Times New Roman" w:eastAsia="Times New Roman" w:cs="Times New Roman"/>
        </w:rPr>
        <w:t>Les quatre années allant de 1449 à 1453 représentent la disparition du septième royaume au moment de la loi du dimanche, et elles représentent aussi la période de la disparition du huitième royaume depuis la loi du dimanche jusqu’à la fin du temps de grâce. La conquête de l’Égypte, qui est le monde et aussi le dragon donné à la papauté, est un fractal au commencement de la période symbolisée par les quatre années de 1449 à 1453. Cela identifie la chute de Constantinople au moment de la loi du dimanche, puis de nouveau lorsque Michel se lève. Lorsque Michel se lève, les quatre anges sont pleinement relâchés selon l’inspiration.</w:t>
      </w:r>
    </w:p>
    <w:p>
      <w:pPr>
        <w:pStyle w:val="ArticleScripture"/>
        <w:jc w:val="left"/>
      </w:pPr>
      <w:r>
        <w:rPr>
          <w:rFonts w:ascii="Times New Roman" w:hAnsi="Times New Roman" w:eastAsia="Times New Roman" w:cs="Times New Roman"/>
        </w:rPr>
        <w:t>“Mi zṛng hmuh a, vāntiṁli pali kha khua pali li a vawn ang a, Isua’n biak in chhūnga a hnathawh a zawh hma loh chuan; chu hnuah chuan hrik ṭha lo pasarih hnuhnūng berte an lo thleng ang.” Early Writings, 36.</w:t>
      </w:r>
    </w:p>
    <w:p>
      <w:pPr>
        <w:pStyle w:val="ArticleBody"/>
        <w:jc w:val="left"/>
      </w:pPr>
      <w:r>
        <w:rPr>
          <w:rFonts w:ascii="Times New Roman" w:hAnsi="Times New Roman" w:eastAsia="Times New Roman" w:cs="Times New Roman"/>
        </w:rPr>
        <w:t>Pä pah peh Alexanderin valtakuntaa, pä puhallusta läntisen Rooman ylle, pä tuulta päästettynä itäisen Rooman ylle, pä kovaa tuomiota Jerusalemin ylle, pä tuulta päästettynä, kun paavius tulee loppuunsa eikä ole auttajaa. Näiden esitettyjen profeetallisten symbolien valossa tarkastelemme toista voi-huutoa siinä yhteydessä, että sovellamme sen pian tulevaan sunnuntailakiin.</w:t>
      </w:r>
    </w:p>
    <w:p>
      <w:pPr>
        <w:pStyle w:val="ArticleHeading"/>
        <w:jc w:val="left"/>
      </w:pPr>
      <w:r>
        <w:rPr>
          <w:rFonts w:ascii="Arial" w:hAnsi="Arial" w:eastAsia="Arial" w:cs="Arial"/>
        </w:rPr>
        <w:t>Baraza la Florence</w:t>
      </w:r>
    </w:p>
    <w:p>
      <w:pPr>
        <w:pStyle w:val="ArticleBody"/>
        <w:jc w:val="left"/>
      </w:pPr>
      <w:r>
        <w:rPr>
          <w:rFonts w:ascii="Times New Roman" w:hAnsi="Times New Roman" w:eastAsia="Times New Roman" w:cs="Times New Roman"/>
        </w:rPr>
        <w:t>Muna 1439, paKanzuru yeFlorence (inonziwo Mubatanidzwa weFlorence), vamiririri veChechi yeEastern Orthodox (vaitungamirirwa naMambo weByzantium John VIII Palaiologos pamwe nePatriarch weConstantinople) vakasaina chirevo chepamutemo chemubatanidzwa neChechi yeRoman Catholic. Vakabvuma kuziva Papa weRoma semusoro (simba guru rinotonga) weChechi yose.</w:t>
      </w:r>
    </w:p>
    <w:p>
      <w:pPr>
        <w:pStyle w:val="ArticleScripture"/>
        <w:jc w:val="left"/>
      </w:pPr>
      <w:r>
        <w:rPr>
          <w:rFonts w:ascii="Times New Roman" w:hAnsi="Times New Roman" w:eastAsia="Times New Roman" w:cs="Times New Roman"/>
        </w:rPr>
        <w:t>Car le mari est le chef de la femme, comme Christ est le chef de l’Église ; et il est le Sauveur du corps. Éphésiens 5:23.</w:t>
      </w:r>
    </w:p>
    <w:p>
      <w:pPr>
        <w:pStyle w:val="ArticleHeading"/>
        <w:jc w:val="left"/>
      </w:pPr>
      <w:r>
        <w:rPr>
          <w:rFonts w:ascii="Arial" w:hAnsi="Arial" w:eastAsia="Arial" w:cs="Arial"/>
        </w:rPr>
        <w:t>Le Credo de Nicée</w:t>
      </w:r>
    </w:p>
    <w:p>
      <w:pPr>
        <w:pStyle w:val="ArticleBody"/>
        <w:jc w:val="left"/>
      </w:pPr>
      <w:r>
        <w:rPr>
          <w:rFonts w:ascii="Times New Roman" w:hAnsi="Times New Roman" w:eastAsia="Times New Roman" w:cs="Times New Roman"/>
        </w:rPr>
        <w:t>Imire n’Umwepiskopi mukuru bemeye “akajambo ka Filioque” ko mu Isezerano ry’i Nise, kari inyongera kuri Isezerano ry’i Nise, kavuga ko Mwuka Wera akomoka ku Data no ku Mwana. Isezerano ry’i Nise ni imwe mu ncamake z’ingenzi cyane kandi zikoreshwa cyane mu mateka y’ukwemera Gatolika. Isezerano ry’i Nise ni incamake yemewe y’imyizerere y’ibanze ya Gatolika. Mu ntangiriro ryanditswe kugira ngo rirengere ukuri ku byo Yesu Kristo ari byo. Mu mwaka wa 325 havutse impaka zikomeye, kuko umupadiri witwaga Ariyusi yigishaga ko Yesu yaremwe n’Imana Data kandi ko atari Imana byuzuye.</w:t>
      </w:r>
    </w:p>
    <w:p>
      <w:pPr>
        <w:pStyle w:val="ArticleBody"/>
        <w:jc w:val="left"/>
      </w:pPr>
      <w:r>
        <w:rPr>
          <w:rFonts w:ascii="Times New Roman" w:hAnsi="Times New Roman" w:eastAsia="Times New Roman" w:cs="Times New Roman"/>
        </w:rPr>
        <w:t>L’empereur Constantin convoqua le premier concile de Nicée afin de régler la question. Le concile affirma avec force que Jésus est pleinement Dieu, « de même substance » que le Père. Le Credo fut plus tard développé au concile de Constantinople en 381. Il convient de noter ici que le symbole de Nicée fut établi dans l’histoire de Constantin le premier, et qu’il devait constituer une question pour le dernier Constantin, à savoir Constantin XI, qui fut le dernier empereur de l’Empire byzantin d’Orient. Constantin le Grand, qui fut le premier, est présenté à maintes reprises comme un sujet de la prophétie biblique. Il est le souverain au commencement de l’empire d’Orient et, par conséquent, il préfigure le souverain à la fin de l’empire d’Orient. Le fait que le symbole de Nicée soit un élément des histoires tant du commencement que de la fin doit être relevé par l’étudiant de la prophétie, s’il comprend le principe de l’alpha et de l’oméga.</w:t>
      </w:r>
    </w:p>
    <w:p>
      <w:pPr>
        <w:pStyle w:val="ArticleBody"/>
        <w:jc w:val="left"/>
      </w:pPr>
      <w:r>
        <w:rPr>
          <w:rFonts w:ascii="Times New Roman" w:hAnsi="Times New Roman" w:eastAsia="Times New Roman" w:cs="Times New Roman"/>
        </w:rPr>
        <w:t>En 381, le Credo de Nicée fut mis à jour avec la doctrine du Purgatoire, la doctrine de l’Eucharistie, avec l’acceptation de l’usage du pain sans levain pour l’Eucharistie, ce qui était une pratique latine. Le Credo de 381 accepta également la compréhension catholique du péché originel et de l’au-delà. Il se terminait par cette phrase capitale : « Nous définissons aussi que le saint siège apostolique et le Pontife romain détiennent la primauté sur le monde entier et qu’il est le véritable vicaire du Christ. »</w:t>
      </w:r>
    </w:p>
    <w:p>
      <w:pPr>
        <w:pStyle w:val="ArticleBody"/>
        <w:jc w:val="left"/>
      </w:pPr>
      <w:r>
        <w:rPr>
          <w:rFonts w:ascii="Times New Roman" w:hAnsi="Times New Roman" w:eastAsia="Times New Roman" w:cs="Times New Roman"/>
        </w:rPr>
        <w:t>Dans le cadre du Concile de Florence, une autre version révisée fut signée le 6 juillet 1439, quatorze ans avant que Constantinople ne tombât aux mains des Turcs ottomans en 1453. Cette union fut signée sous une lourde pression politique. L’Empire byzantin était désespérément en quête d’une aide militaire de l’Occident contre l’avancée des Ottomans. Lorsque les délégués grecs retournèrent dans leur patrie, l’accord fut vivement rejeté par la majorité du clergé, des moines et du peuple ordinaire en Orient. La plupart des évêques qui l’avaient signé retirèrent par la suite leur soutien. L’union ne fut jamais pleinement mise en œuvre et fut formellement répudiée par l’Église orthodoxe orientale dans les années qui suivirent. Au moment où Constantinople tomba en 1453, l’union s’était déjà, en fait, effondrée. Elle est souvent décrite par les historiens comme une union politique qui échoua en raison d’une résistance profonde, théologique, culturelle et populaire.</w:t>
      </w:r>
    </w:p>
    <w:p>
      <w:pPr>
        <w:pStyle w:val="ArticleBody"/>
        <w:jc w:val="left"/>
      </w:pPr>
      <w:r>
        <w:rPr>
          <w:rFonts w:ascii="Times New Roman" w:hAnsi="Times New Roman" w:eastAsia="Times New Roman" w:cs="Times New Roman"/>
        </w:rPr>
        <w:t>En 325, lors du premier concile de Nicée, le Symbole de Nicée fut adopté. Cet événement est situé cinq ans avant l’année 330, date à laquelle prirent fin les 360 années de Daniel 11:24, représentées par un « temps ».</w:t>
      </w:r>
    </w:p>
    <w:p>
      <w:pPr>
        <w:pStyle w:val="ArticleScripture"/>
        <w:jc w:val="left"/>
      </w:pPr>
      <w:r>
        <w:rPr>
          <w:rFonts w:ascii="Times New Roman" w:hAnsi="Times New Roman" w:eastAsia="Times New Roman" w:cs="Times New Roman"/>
        </w:rPr>
        <w:t>Akata na kimya hata katika sehemu zenye neema kuu za jimbo; naye atafanya yale ambayo baba zake hawakuyafanya, wala baba za baba zake; atawatawanyia nyara, na mateka, na mali; naam, atafikiri hila zake dhidi ya ngome zilizo imara, hata kwa muda. Danieli 11:24.</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មុនគ្រិស្តសករាជ</w:t>
      </w:r>
      <w:r>
        <w:rPr>
          <w:rFonts w:ascii="Times New Roman" w:hAnsi="Times New Roman" w:eastAsia="Times New Roman" w:cs="Times New Roman"/>
        </w:rPr>
        <w:t xml:space="preserve"> </w:t>
      </w:r>
      <w:r>
        <w:rPr>
          <w:rFonts w:ascii="Leelawadee UI" w:hAnsi="Leelawadee UI" w:eastAsia="Leelawadee UI" w:cs="Leelawadee UI"/>
        </w:rPr>
        <w:t>និងឆ្នាំ</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ទាំងពីរសម្គាល់</w:t>
      </w:r>
      <w:r>
        <w:rPr>
          <w:rFonts w:ascii="Times New Roman" w:hAnsi="Times New Roman" w:eastAsia="Times New Roman" w:cs="Times New Roman"/>
        </w:rPr>
        <w:t xml:space="preserve"> «</w:t>
      </w:r>
      <w:r>
        <w:rPr>
          <w:rFonts w:ascii="Leelawadee UI" w:hAnsi="Leelawadee UI" w:eastAsia="Leelawadee UI" w:cs="Leelawadee UI"/>
        </w:rPr>
        <w:t>ពេលវេលាដែលបានកំណត់ទុក</w:t>
      </w:r>
      <w:r>
        <w:rPr>
          <w:rFonts w:ascii="Times New Roman" w:hAnsi="Times New Roman" w:eastAsia="Times New Roman" w:cs="Times New Roman"/>
        </w:rPr>
        <w:t xml:space="preserve">» </w:t>
      </w:r>
      <w:r>
        <w:rPr>
          <w:rFonts w:ascii="Leelawadee UI" w:hAnsi="Leelawadee UI" w:eastAsia="Leelawadee UI" w:cs="Leelawadee UI"/>
        </w:rPr>
        <w:t>នៃខទីម្ភៃប្រាំពីរ</w:t>
      </w:r>
      <w:r>
        <w:rPr>
          <w:rFonts w:ascii="Times New Roman" w:hAnsi="Times New Roman" w:eastAsia="Times New Roman" w:cs="Times New Roman"/>
        </w:rPr>
        <w:t xml:space="preserve"> </w:t>
      </w:r>
      <w:r>
        <w:rPr>
          <w:rFonts w:ascii="Leelawadee UI" w:hAnsi="Leelawadee UI" w:eastAsia="Leelawadee UI" w:cs="Leelawadee UI"/>
        </w:rPr>
        <w:t>និងខទីម្ភៃប្រាំបួន</w:t>
      </w:r>
      <w:r>
        <w:rPr>
          <w:rFonts w:ascii="Times New Roman" w:hAnsi="Times New Roman" w:eastAsia="Times New Roman" w:cs="Times New Roman"/>
        </w:rPr>
        <w:t xml:space="preserve"> </w:t>
      </w:r>
      <w:r>
        <w:rPr>
          <w:rFonts w:ascii="Leelawadee UI" w:hAnsi="Leelawadee UI" w:eastAsia="Leelawadee UI" w:cs="Leelawadee UI"/>
        </w:rPr>
        <w:t>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p>
    <w:p>
      <w:pPr>
        <w:pStyle w:val="ArticleScripture"/>
        <w:jc w:val="left"/>
      </w:pPr>
      <w:r>
        <w:rPr>
          <w:rFonts w:ascii="Times New Roman" w:hAnsi="Times New Roman" w:eastAsia="Times New Roman" w:cs="Times New Roman"/>
        </w:rPr>
        <w:t>وقد يكون قلبا هذين الملكين على صنع الشر، ويتكلمان بالكذب على مائدة واحدة؛ ولكن ذلك لا ينجح، لأن النهاية لا تزال إلى الوقت المعيَّن. … في الوقت المعيَّن يعود ويأتي نحو الجنوب؛ ولكن لا يكون الأمر كما كان في المرة الأولى أو في المرة الأخيرة. دانيال 11:27، 29.</w:t>
      </w:r>
    </w:p>
    <w:p>
      <w:pPr>
        <w:pStyle w:val="ArticleBody"/>
        <w:jc w:val="left"/>
      </w:pP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(330)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(1449–1453)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कॉन्स्टेंटाइन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बाइजेंटाइन</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31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330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1453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31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मार्क</w:t>
      </w:r>
      <w:r>
        <w:rPr>
          <w:rFonts w:ascii="Times New Roman" w:hAnsi="Times New Roman" w:eastAsia="Times New Roman" w:cs="Times New Roman"/>
        </w:rPr>
        <w:t xml:space="preserve"> </w:t>
      </w:r>
      <w:r>
        <w:rPr>
          <w:rFonts w:ascii="Nirmala UI" w:hAnsi="Nirmala UI" w:eastAsia="Nirmala UI" w:cs="Nirmala UI"/>
        </w:rPr>
        <w:t>एंटनी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सीज़र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330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325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नाइसीन</w:t>
      </w:r>
      <w:r>
        <w:rPr>
          <w:rFonts w:ascii="Times New Roman" w:hAnsi="Times New Roman" w:eastAsia="Times New Roman" w:cs="Times New Roman"/>
        </w:rPr>
        <w:t xml:space="preserve"> </w:t>
      </w:r>
      <w:r>
        <w:rPr>
          <w:rFonts w:ascii="Nirmala UI" w:hAnsi="Nirmala UI" w:eastAsia="Nirmala UI" w:cs="Nirmala UI"/>
        </w:rPr>
        <w:t>पंथस्वीकार</w:t>
      </w:r>
      <w:r>
        <w:rPr>
          <w:rFonts w:ascii="Times New Roman" w:hAnsi="Times New Roman" w:eastAsia="Times New Roman" w:cs="Times New Roman"/>
        </w:rPr>
        <w:t xml:space="preserve"> </w:t>
      </w:r>
      <w:r>
        <w:rPr>
          <w:rFonts w:ascii="Nirmala UI" w:hAnsi="Nirmala UI" w:eastAsia="Nirmala UI" w:cs="Nirmala UI"/>
        </w:rPr>
        <w:t>अपनाया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1453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नाइसीन</w:t>
      </w:r>
      <w:r>
        <w:rPr>
          <w:rFonts w:ascii="Times New Roman" w:hAnsi="Times New Roman" w:eastAsia="Times New Roman" w:cs="Times New Roman"/>
        </w:rPr>
        <w:t xml:space="preserve"> </w:t>
      </w:r>
      <w:r>
        <w:rPr>
          <w:rFonts w:ascii="Nirmala UI" w:hAnsi="Nirmala UI" w:eastAsia="Nirmala UI" w:cs="Nirmala UI"/>
        </w:rPr>
        <w:t>पंथस्वीकार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अद्यतन</w:t>
      </w:r>
      <w:r>
        <w:rPr>
          <w:rFonts w:ascii="Times New Roman" w:hAnsi="Times New Roman" w:eastAsia="Times New Roman" w:cs="Times New Roman"/>
        </w:rPr>
        <w:t xml:space="preserve"> </w:t>
      </w:r>
      <w:r>
        <w:rPr>
          <w:rFonts w:ascii="Nirmala UI" w:hAnsi="Nirmala UI" w:eastAsia="Nirmala UI" w:cs="Nirmala UI"/>
        </w:rPr>
        <w:t>संस्करण</w:t>
      </w:r>
      <w:r>
        <w:rPr>
          <w:rFonts w:ascii="Times New Roman" w:hAnsi="Times New Roman" w:eastAsia="Times New Roman" w:cs="Times New Roman"/>
        </w:rPr>
        <w:t xml:space="preserve"> </w:t>
      </w:r>
      <w:r>
        <w:rPr>
          <w:rFonts w:ascii="Nirmala UI" w:hAnsi="Nirmala UI" w:eastAsia="Nirmala UI" w:cs="Nirmala UI"/>
        </w:rPr>
        <w:t>अपनाया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31 BC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व्यक्तियों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325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1439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अद्यतन</w:t>
      </w:r>
      <w:r>
        <w:rPr>
          <w:rFonts w:ascii="Times New Roman" w:hAnsi="Times New Roman" w:eastAsia="Times New Roman" w:cs="Times New Roman"/>
        </w:rPr>
        <w:t xml:space="preserve"> </w:t>
      </w:r>
      <w:r>
        <w:rPr>
          <w:rFonts w:ascii="Nirmala UI" w:hAnsi="Nirmala UI" w:eastAsia="Nirmala UI" w:cs="Nirmala UI"/>
        </w:rPr>
        <w:t>नाइसीन</w:t>
      </w:r>
      <w:r>
        <w:rPr>
          <w:rFonts w:ascii="Times New Roman" w:hAnsi="Times New Roman" w:eastAsia="Times New Roman" w:cs="Times New Roman"/>
        </w:rPr>
        <w:t xml:space="preserve"> </w:t>
      </w:r>
      <w:r>
        <w:rPr>
          <w:rFonts w:ascii="Nirmala UI" w:hAnsi="Nirmala UI" w:eastAsia="Nirmala UI" w:cs="Nirmala UI"/>
        </w:rPr>
        <w:t>पंथस्वीकार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डिक्री</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यूनियन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Ny marika voalohany amin’ny lainga eo amin’ny latabatra iray dia talohan’ny 31 talohan’i K., ary teo anelanelan’ny antoko politika roa tao amin’i Roma jentilisa. Ny fotoana voatendry ho an’ireo lainga ireo dia ny 31 talohan’i K., ary izany dia nahitana an’i Aogostosy, tandindon’i Roma, nifanandrina tamin’ny firaisan-kina nisy lehilahy sy vehivavy iray izay nisolo tena an’i Egypta. Ny andiana lainga faharoa dia tamin’ny 325, ary ny fotoana voatendry dia ny 330. Ny andiana lainga fahatelo dia tamin’ny 1439, ary ny fotoana voatendry dia ny 1449–1453. Ireo teo amin’ny latabatra tamin’ny 1439 dia nisolo tena an’i Roma andrefana sy atsinanana, ka i Roma atsinanana dia nitady tanjona politika tamin’ny fanekena adihevitra ara-pivavahana iray. Ny 31 talohan’i K., arahin’ny 330 ary avy eo ny 1453, dia maneho fampiharana in-telo ny tsipik’i Roma.</w:t>
      </w:r>
    </w:p>
    <w:p>
      <w:pPr>
        <w:pStyle w:val="ArticleBody"/>
        <w:jc w:val="left"/>
      </w:pPr>
      <w:r>
        <w:rPr>
          <w:rFonts w:ascii="Times New Roman" w:hAnsi="Times New Roman" w:eastAsia="Times New Roman" w:cs="Times New Roman"/>
        </w:rPr>
        <w:t>Tishri ya kisiasa ya muungano wa Marko Antoni na Kleopatra iliwakilisha kwa mfano tishio la kiroho la uzushi wa Uariani mwaka 325, ambao nao kwa upande wake uliwakilisha kwa mfano tishio la kisiasa na kidini la Waturuki wa Kiislamu mwaka 1439.</w:t>
      </w:r>
    </w:p>
    <w:p>
      <w:pPr>
        <w:pStyle w:val="ArticleBody"/>
        <w:jc w:val="left"/>
      </w:pPr>
      <w:r>
        <w:rPr>
          <w:rFonts w:ascii="Times New Roman" w:hAnsi="Times New Roman" w:eastAsia="Times New Roman" w:cs="Times New Roman"/>
        </w:rPr>
        <w:t>Waxbarisyada Caqiidada Niqiya waa been, runina kuma jirto. Dukumentigii la saxiixay 6-dii Luulyo 1439, ee Golaha Florence, waxaa loo bixiyey Wareegtadii Midnimada, wuxuuna matalayey isla beentaas iyo wax ka sii badan. Markii ergadu ku soo noqdeen Qusṭanṭiniya sanadkii 1439, waxaa lagu qaabilay cadho iyo eedeymo khiyaano ah. Oraahdii afka la isugu gudbinayey waxay ahayd: “Waxaa ka wanaagsan cimaamadda Turkiga intii laga qaadan lahaa koofiyadda baadariga.”</w:t>
      </w:r>
    </w:p>
    <w:p>
      <w:pPr>
        <w:pStyle w:val="ArticleBody"/>
        <w:jc w:val="left"/>
      </w:pPr>
      <w:r>
        <w:rPr>
          <w:rFonts w:ascii="Times New Roman" w:hAnsi="Times New Roman" w:eastAsia="Times New Roman" w:cs="Times New Roman"/>
        </w:rPr>
        <w:t>Muungano huo ulitiwa sahihi hasa kwa sababu Mfalme wa Byzantium alikuwa akihitaji kwa dharura msaada wa kijeshi kutoka Magharibi dhidi ya Waothmani. Ilipodhihirika wazi kwamba msaada wa kijeshi kidogo sana (au hakuna kabisa) ulikuwa ukija, uungwaji mkono kwa muungano huo ulitoweka. Katika 1450–1451, sinodi kadhaa za Mashariki zilikataa muungano huo, na baada ya Konstantinopoli kuanguka mwaka 1453, muungano huo uliachwa kabisa. Matokeo ya mwisho ya Amri ya Muungano ya Florence yanahesabiwa na Kanisa la Kiorthodoksi la Mashariki kuwa ni baraza lililoshindwa na kukataliwa. Haitambuliwi kuwa halali. Hata hivyo, Kanisa Katoliki la Roma bado hulihesabu kuwa ni baraza halali la kiekumene.</w:t>
      </w:r>
    </w:p>
    <w:p>
      <w:pPr>
        <w:pStyle w:val="ArticleBody"/>
        <w:jc w:val="left"/>
      </w:pP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കഷ്ടതയുടെ</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സവിശേഷതകൾ</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കഷ്ടതയുടെ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എങ്ങനെ</w:t>
      </w:r>
      <w:r>
        <w:rPr>
          <w:rFonts w:ascii="Times New Roman" w:hAnsi="Times New Roman" w:eastAsia="Times New Roman" w:cs="Times New Roman"/>
        </w:rPr>
        <w:t xml:space="preserve"> </w:t>
      </w:r>
      <w:r>
        <w:rPr>
          <w:rFonts w:ascii="Nirmala UI" w:hAnsi="Nirmala UI" w:eastAsia="Nirmala UI" w:cs="Nirmala UI"/>
        </w:rPr>
        <w:t>ആവർത്തിക്കപ്പെടുന്നു</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മനസ്സിലാക്കുന്നതിനുള്ള</w:t>
      </w:r>
      <w:r>
        <w:rPr>
          <w:rFonts w:ascii="Times New Roman" w:hAnsi="Times New Roman" w:eastAsia="Times New Roman" w:cs="Times New Roman"/>
        </w:rPr>
        <w:t xml:space="preserve"> </w:t>
      </w:r>
      <w:r>
        <w:rPr>
          <w:rFonts w:ascii="Nirmala UI" w:hAnsi="Nirmala UI" w:eastAsia="Nirmala UI" w:cs="Nirmala UI"/>
        </w:rPr>
        <w:t>തർക്കശാസ്ത്രം</w:t>
      </w:r>
      <w:r>
        <w:rPr>
          <w:rFonts w:ascii="Times New Roman" w:hAnsi="Times New Roman" w:eastAsia="Times New Roman" w:cs="Times New Roman"/>
        </w:rPr>
        <w:t xml:space="preserve"> </w:t>
      </w:r>
      <w:r>
        <w:rPr>
          <w:rFonts w:ascii="Nirmala UI" w:hAnsi="Nirmala UI" w:eastAsia="Nirmala UI" w:cs="Nirmala UI"/>
        </w:rPr>
        <w:t>സ്ഥാപിക്കുകയാണ്</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കഷ്ടതയുടെ</w:t>
      </w:r>
      <w:r>
        <w:rPr>
          <w:rFonts w:ascii="Times New Roman" w:hAnsi="Times New Roman" w:eastAsia="Times New Roman" w:cs="Times New Roman"/>
        </w:rPr>
        <w:t xml:space="preserve"> </w:t>
      </w:r>
      <w:r>
        <w:rPr>
          <w:rFonts w:ascii="Nirmala UI" w:hAnsi="Nirmala UI" w:eastAsia="Nirmala UI" w:cs="Nirmala UI"/>
        </w:rPr>
        <w:t>നൂറ്റിയമ്പത്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xml:space="preserve">. 1299 </w:t>
      </w:r>
      <w:r>
        <w:rPr>
          <w:rFonts w:ascii="Nirmala UI" w:hAnsi="Nirmala UI" w:eastAsia="Nirmala UI" w:cs="Nirmala UI"/>
        </w:rPr>
        <w:t>ജൂലൈ</w:t>
      </w:r>
      <w:r>
        <w:rPr>
          <w:rFonts w:ascii="Times New Roman" w:hAnsi="Times New Roman" w:eastAsia="Times New Roman" w:cs="Times New Roman"/>
        </w:rPr>
        <w:t xml:space="preserve"> 27-</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xml:space="preserve">. 1449 </w:t>
      </w:r>
      <w:r>
        <w:rPr>
          <w:rFonts w:ascii="Nirmala UI" w:hAnsi="Nirmala UI" w:eastAsia="Nirmala UI" w:cs="Nirmala UI"/>
        </w:rPr>
        <w:t>ജൂലൈ</w:t>
      </w:r>
      <w:r>
        <w:rPr>
          <w:rFonts w:ascii="Times New Roman" w:hAnsi="Times New Roman" w:eastAsia="Times New Roman" w:cs="Times New Roman"/>
        </w:rPr>
        <w:t xml:space="preserve"> 27-</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کونسٹنٹائن الحادی عشر پالایولوگوس 1404 میں پیدا ہوا اور جنوری 1449 سے 29 مئی 1453 تک سلطنت کرتا رہا۔ وہ مشرقی رومی (بازنطینی) سلطنت کا آخری شہنشاہ تھا، جو 1,100 برس سے زیادہ عرصہ تک قائم رہی تھی۔ اس نے 1453 میں عثمانی محاصرے کے دوران قسطنطنیہ کے دفاع کی بہادری سے قیادت کی، جبکہ اس کے پاس صرف تقریباً 7,000 سے 8,000 مدافعین تھے اور مقابلے میں محمد ثانی کی 80,000 سے زائد فوج تھی۔ وہ 29 مئی 1453 کو شہر کی فصیلوں پر لڑتے ہوئے مارا گیا، جب قسطنطنیہ بالآخر سقوط کر گیا۔ اس کی لاش کی کبھی حتمی طور پر شناخت نہ ہو سکی۔ اس کی موت نے رومی سلطنت کے خاتمے کی علامت ثبت کی (یعنی اس سلطنت کی آخری براہِ راست توسیع کا اختتام، جس کی بنیاد آگسٹس نے 27 قبل مسیح میں رکھی تھی)۔</w:t>
      </w:r>
    </w:p>
    <w:p>
      <w:pPr>
        <w:pStyle w:val="ArticleBody"/>
        <w:jc w:val="left"/>
      </w:pPr>
      <w:r>
        <w:rPr>
          <w:rFonts w:ascii="Times New Roman" w:hAnsi="Times New Roman" w:eastAsia="Times New Roman" w:cs="Times New Roman"/>
        </w:rPr>
        <w:t>Li rememore dan l’istwar grek ek dan tradision Ortodoks kouma enn figir eroik — souvan apel li “Lanperer an Marb” dan lejand (krwayans ki enn zour li pou retourne pou sov Konstantinop).</w:t>
      </w:r>
    </w:p>
    <w:p>
      <w:pPr>
        <w:pStyle w:val="ArticleBody"/>
        <w:jc w:val="left"/>
      </w:pPr>
      <w:r>
        <w:rPr>
          <w:rFonts w:ascii="Times New Roman" w:hAnsi="Times New Roman" w:eastAsia="Times New Roman" w:cs="Times New Roman"/>
        </w:rPr>
        <w:t>John VIII Palaiologos (1392–1448) was de voorlaatste Byzantijnse keizer, die regeerde van 1425 tot 1448. Hij was de oudste zoon van keizer Manuel II Palaiologos en de oudere broer van Constantijn XI. Johannes VIII bracht het grootste deel van zijn regering door in een wanhopige poging het stervende Byzantijnse Rijk van de Ottomanen te redden. In 1439 reisde hij persoonlijk naar Italië en zat hij het Concilie van Florence voor, waar hij en de Oosters-orthodoxe afvaardiging er tijdelijk mee instemden zich met de Rooms-Katholieke Kerk te herenigen en de paus als hoofd van de Kerk te erkennen. Constantijn de Grote had ook het Concilie van Nicea voorgezeten. Johannes VIII hoopte dat deze vereniging met het pausdom westerse militaire hulp tegen de Turken zou brengen, maar de unie was in Constantinopel zelf diep impopulair en mislukte uiteindelijk. Johannes VIII stierf in 1448 (een natuurlijke dood), slechts vijf jaar voordat Constantinopel in 1453 viel. Zijn broer Constantijn XI werd daarna keizer en stierf terwijl hij de stad verdedigde.</w:t>
      </w:r>
    </w:p>
    <w:p>
      <w:pPr>
        <w:pStyle w:val="ArticleBody"/>
        <w:jc w:val="left"/>
      </w:pPr>
      <w:r>
        <w:rPr>
          <w:rFonts w:ascii="Times New Roman" w:hAnsi="Times New Roman" w:eastAsia="Times New Roman" w:cs="Times New Roman"/>
        </w:rPr>
        <w:t>شگامی که یوحنا هشتم در سال ۱۴۴۸ درگذشت، برادرش، کنستانتین یازدهم، به‌عنوان جانشین برگزیده شد. تا سال ۱۴۴۸، امپراتوری بیزانس به دولتی خراج‌گزار و بسیار کوچک تبدیل شده بود، و عثمانیان بر این‌که چه کسی بر تخت قسطنطنیه بنشیند نفوذی قابل‌توجه داشتند. در ۲۷ ژوئیهٔ ۱۴۴۹، رویدادی سیاسی بسیار مهم در سال‌های پایانی امپراتوری بیزانس رخ داد. امپراتور بیزانس، یوحنا هشتم پالایولوگوس، پیش‌تر در سال ۱۴۴۸ درگذشته بود. برادر او، کنستانتین یازدهم پالایولوگوس (آخرین امپراتور)، در قسطنطنیه امپراتور اعلام شد. با این‌حال، پیش از آن‌که کنستانتین یازدهم رسماً بر تخت جلوس کند، سفیرانی نزد سلطان عثمانی (مراد دوم) فرستاد و اجازهٔ فرمانروایی درخواست کرد. سلطان آن اجازه را اعطا کرد، و تنها پس از آن بود که کنستانتین یازدهم به‌طور رسمی تاج‌گذاری شد و به‌عنوان امپراتور به‌رسمیت شناخته شد. این اقدام به‌منزلهٔ تسلیم داوطلبانهٔ استقلال بیزانس تلقی شد. برای نخستین بار، یک امپراتور بیزانسی آشکارا اذعان کرد که تنها به اذن ترکان عثمانی فرمان می‌راند. تنها چهار سال بعد، در ۱۴۵۳، قسطنطنیه به دست عثمانیان سقوط کرد.</w:t>
      </w:r>
    </w:p>
    <w:p>
      <w:pPr>
        <w:pStyle w:val="ArticleBody"/>
        <w:jc w:val="left"/>
      </w:pPr>
      <w:r>
        <w:rPr>
          <w:rFonts w:ascii="Times New Roman" w:hAnsi="Times New Roman" w:eastAsia="Times New Roman" w:cs="Times New Roman"/>
        </w:rPr>
        <w:t>Julai 27, 1449 hnu kum thla hnih leh sawmnga pakhat leh ni sawmnga pakhat hnuaiah, August 11, 1840 ah, Turkey-te chuan Egypt lakah himna an zawng a, Europe ram ropui pali-te hnuaiah an intulut ta a; chutichuan darkár khat, ni khat, thla khat leh kum khat hrilhlâwkna chu a lo thleng famkim ta. Tûnah hian Pathianni dân lo kal thuai atâna hrehawmna pakhatna leh pahnihna hi hman theih nân ngaihtuah dân chu kan lo din tawh a ni. Peter chu mi sang za sawmli leh pali atâna entîr nêna, vântirhkoh pathumna thuchah hril rawngbâwlna a entîr a; William Miller chuan vântirhkoh pakhatna leh pahnihna hril rawngbâwlna a entîr thung. Hetiang rawngbâwlna pahnih hian “fainate” nên inzawmna an nei.</w:t>
      </w:r>
    </w:p>
    <w:p>
      <w:pPr>
        <w:pStyle w:val="ArticleScripture"/>
        <w:jc w:val="left"/>
      </w:pPr>
      <w:r>
        <w:rPr>
          <w:rFonts w:ascii="Times New Roman" w:hAnsi="Times New Roman" w:eastAsia="Times New Roman" w:cs="Times New Roman"/>
        </w:rPr>
        <w:t>Na be lulkaya ya ndako ya Davidi na mapeka na ye; mpe akofungola, mpe moto moko te akokanga; mpe akokanga, mpe moto moko te akofungola. Yisaya 22:22.</w:t>
      </w:r>
    </w:p>
    <w:p>
      <w:pPr>
        <w:pStyle w:val="ArticleScripture"/>
        <w:jc w:val="left"/>
      </w:pPr>
      <w:r>
        <w:rPr>
          <w:rFonts w:ascii="Times New Roman" w:hAnsi="Times New Roman" w:eastAsia="Times New Roman" w:cs="Times New Roman"/>
        </w:rPr>
        <w:t>Et je te dis aussi que tu es Pierre, et que sur ce roc je bâtirai mon Église, et les portes du séjour des morts ne prévaudront point contre elle. Je te donnerai les clefs du royaume des cieux : et tout ce que tu lieras sur la terre sera lié dans les cieux ; et tout ce que tu délieras sur la terre sera délié dans les cieux. Matthieu 16:18, 19.</w:t>
      </w:r>
    </w:p>
    <w:p>
      <w:pPr>
        <w:pStyle w:val="ArticleBody"/>
        <w:jc w:val="left"/>
      </w:pPr>
      <w:r>
        <w:rPr>
          <w:rFonts w:ascii="Times New Roman" w:hAnsi="Times New Roman" w:eastAsia="Times New Roman" w:cs="Times New Roman"/>
        </w:rPr>
        <w:t>Nous aborderons, dans l’article suivant, la bataille de Ninive comme la « clé » qui non seulement ouvre le puits de l’abîme, mais encore comme la clé prophétique qui met en parfait ordre l’ensemble du témoignage de Daniel onze. Dans le songe de Miller, la « clé » attachée au coffret était la méthode d’étude biblique de Miller. L’établissement de la doctrine par textes probants de l’histoire millérite, combiné au principe de « ligne sur ligne » dans l’histoire du troisième ange, est la clé qui permet à la clé d’Apocalypse neuf de déverrouiller et d’ordonner l’histoire cachée du message externe du verset quarante.</w:t>
      </w:r>
    </w:p>
    <w:p>
      <w:pPr>
        <w:pStyle w:val="ArticleBody"/>
        <w:jc w:val="left"/>
      </w:pPr>
      <w:r>
        <w:rPr>
          <w:rFonts w:ascii="Times New Roman" w:hAnsi="Times New Roman" w:eastAsia="Times New Roman" w:cs="Times New Roman"/>
        </w:rPr>
        <w:t>Nous poursuivrons nos réflexions dans le prochain article.</w:t>
      </w:r>
    </w:p>
    <w:p>
      <w:pPr>
        <w:pStyle w:val="ArticleScripture"/>
        <w:jc w:val="left"/>
      </w:pPr>
      <w:r>
        <w:rPr>
          <w:rFonts w:ascii="Times New Roman" w:hAnsi="Times New Roman" w:eastAsia="Times New Roman" w:cs="Times New Roman"/>
        </w:rPr>
        <w:t>„Kwa nabii, gurudumu lililokuwa ndani ya gurudumu, na sura za viumbe hai vilivyounganishwa navyo, vyote vilionekana kuwa vya kutatanisha na visivyoelezeka. Lakini mkono wa Hekima Isiyo na Kikomo waonekana kati ya yale magurudumu, na utaratibu mkamilifu ni matokeo ya kazi yake. Kila gurudumu hutenda kwa upatano mkamilifu na kila jingine.”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ቁጥር አስራ ስድስት</dc:title>
  <dc:subject>Nne Tsirivɔ si no Ɔfa a Ɛto so Abiɛsa</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