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dix-huit</w:t>
      </w:r>
    </w:p>
    <w:p>
      <w:pPr>
        <w:pStyle w:val="ArticleSubtitle"/>
        <w:jc w:val="left"/>
      </w:pPr>
      <w:r>
        <w:rPr>
          <w:rFonts w:ascii="Arial" w:hAnsi="Arial" w:eastAsia="Arial" w:cs="Arial"/>
        </w:rPr>
        <w:t>Te Ɔhaw a Ɛto so Mmienu no - Ɔfã a Ɛto so Anum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Myanmar Text" w:hAnsi="Myanmar Text" w:eastAsia="Myanmar Text" w:cs="Myanmar Text"/>
        </w:rPr>
        <w:t>တော်လှန်ရေးကျမ်း</w:t>
      </w:r>
      <w:r>
        <w:rPr>
          <w:rFonts w:ascii="Times New Roman" w:hAnsi="Times New Roman" w:eastAsia="Times New Roman" w:cs="Times New Roman"/>
        </w:rPr>
        <w:t xml:space="preserve"> Revelation </w:t>
      </w:r>
      <w:r>
        <w:rPr>
          <w:rFonts w:ascii="Myanmar Text" w:hAnsi="Myanmar Text" w:eastAsia="Myanmar Text" w:cs="Myanmar Text"/>
        </w:rPr>
        <w:t>ကိုးခန်း၌</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နီနေဝေစစ်ပွဲကို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အလှည့်အပြောင်းတစ်ရပ်ကို</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သမိုင်းတစ်ရပ်အားဖြင့်</w:t>
      </w:r>
      <w:r>
        <w:rPr>
          <w:rFonts w:ascii="Times New Roman" w:hAnsi="Times New Roman" w:eastAsia="Times New Roman" w:cs="Times New Roman"/>
        </w:rPr>
        <w:t xml:space="preserve"> </w:t>
      </w:r>
      <w:r>
        <w:rPr>
          <w:rFonts w:ascii="Myanmar Text" w:hAnsi="Myanmar Text" w:eastAsia="Myanmar Text" w:cs="Myanmar Text"/>
        </w:rPr>
        <w:t>ပြည့်စုံခဲ့သည်။</w:t>
      </w:r>
      <w:r>
        <w:rPr>
          <w:rFonts w:ascii="Times New Roman" w:hAnsi="Times New Roman" w:eastAsia="Times New Roman" w:cs="Times New Roman"/>
        </w:rPr>
        <w:t xml:space="preserve"> </w:t>
      </w:r>
      <w:r>
        <w:rPr>
          <w:rFonts w:ascii="Myanmar Text" w:hAnsi="Myanmar Text" w:eastAsia="Myanmar Text" w:cs="Myanmar Text"/>
        </w:rPr>
        <w:t>အမှန်တကယ်အားဖြင့်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လုပ်ဆောင်ချက်ဆိုသည်မှာ</w:t>
      </w:r>
      <w:r>
        <w:rPr>
          <w:rFonts w:ascii="Times New Roman" w:hAnsi="Times New Roman" w:eastAsia="Times New Roman" w:cs="Times New Roman"/>
        </w:rPr>
        <w:t xml:space="preserve"> </w:t>
      </w:r>
      <w:r>
        <w:rPr>
          <w:rFonts w:ascii="Myanmar Text" w:hAnsi="Myanmar Text" w:eastAsia="Myanmar Text" w:cs="Myanmar Text"/>
        </w:rPr>
        <w:t>ထိုကဲ့သို့သော</w:t>
      </w:r>
      <w:r>
        <w:rPr>
          <w:rFonts w:ascii="Times New Roman" w:hAnsi="Times New Roman" w:eastAsia="Times New Roman" w:cs="Times New Roman"/>
        </w:rPr>
        <w:t xml:space="preserve"> </w:t>
      </w:r>
      <w:r>
        <w:rPr>
          <w:rFonts w:ascii="Myanmar Text" w:hAnsi="Myanmar Text" w:eastAsia="Myanmar Text" w:cs="Myanmar Text"/>
        </w:rPr>
        <w:t>အလှည့်အပြောင်းကို</w:t>
      </w:r>
      <w:r>
        <w:rPr>
          <w:rFonts w:ascii="Times New Roman" w:hAnsi="Times New Roman" w:eastAsia="Times New Roman" w:cs="Times New Roman"/>
        </w:rPr>
        <w:t xml:space="preserve"> </w:t>
      </w:r>
      <w:r>
        <w:rPr>
          <w:rFonts w:ascii="Myanmar Text" w:hAnsi="Myanmar Text" w:eastAsia="Myanmar Text" w:cs="Myanmar Text"/>
        </w:rPr>
        <w:t>ဖြစ်စေခြင်းပင်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အခိုင်အမာဆိုချက်မှာ</w:t>
      </w:r>
      <w:r>
        <w:rPr>
          <w:rFonts w:ascii="Times New Roman" w:hAnsi="Times New Roman" w:eastAsia="Times New Roman" w:cs="Times New Roman"/>
        </w:rPr>
        <w:t xml:space="preserve"> </w:t>
      </w:r>
      <w:r>
        <w:rPr>
          <w:rFonts w:ascii="Myanmar Text" w:hAnsi="Myanmar Text" w:eastAsia="Myanmar Text" w:cs="Myanmar Text"/>
        </w:rPr>
        <w:t>နီနေဝေစစ်ပွဲသည်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ထမြောက်လာမှုကို</w:t>
      </w:r>
      <w:r>
        <w:rPr>
          <w:rFonts w:ascii="Times New Roman" w:hAnsi="Times New Roman" w:eastAsia="Times New Roman" w:cs="Times New Roman"/>
        </w:rPr>
        <w:t xml:space="preserve"> </w:t>
      </w:r>
      <w:r>
        <w:rPr>
          <w:rFonts w:ascii="Myanmar Text" w:hAnsi="Myanmar Text" w:eastAsia="Myanmar Text" w:cs="Myanmar Text"/>
        </w:rPr>
        <w:t>မှတ်သားညွှန်းဆိုသော</w:t>
      </w:r>
      <w:r>
        <w:rPr>
          <w:rFonts w:ascii="Times New Roman" w:hAnsi="Times New Roman" w:eastAsia="Times New Roman" w:cs="Times New Roman"/>
        </w:rPr>
        <w:t xml:space="preserve"> </w:t>
      </w:r>
      <w:r>
        <w:rPr>
          <w:rFonts w:ascii="Myanmar Text" w:hAnsi="Myanmar Text" w:eastAsia="Myanmar Text" w:cs="Myanmar Text"/>
        </w:rPr>
        <w:t>သမိုင်းဆိုင်ရာ</w:t>
      </w:r>
      <w:r>
        <w:rPr>
          <w:rFonts w:ascii="Times New Roman" w:hAnsi="Times New Roman" w:eastAsia="Times New Roman" w:cs="Times New Roman"/>
        </w:rPr>
        <w:t xml:space="preserve"> </w:t>
      </w:r>
      <w:r>
        <w:rPr>
          <w:rFonts w:ascii="Myanmar Text" w:hAnsi="Myanmar Text" w:eastAsia="Myanmar Text" w:cs="Myanmar Text"/>
        </w:rPr>
        <w:t>သော့တစ်ချောင်းသာမက၊</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သော့တစ်ချောင်းလည်း</w:t>
      </w:r>
      <w:r>
        <w:rPr>
          <w:rFonts w:ascii="Times New Roman" w:hAnsi="Times New Roman" w:eastAsia="Times New Roman" w:cs="Times New Roman"/>
        </w:rPr>
        <w:t xml:space="preserve"> </w:t>
      </w:r>
      <w:r>
        <w:rPr>
          <w:rFonts w:ascii="Myanmar Text" w:hAnsi="Myanmar Text" w:eastAsia="Myanmar Text" w:cs="Myanmar Text"/>
        </w:rPr>
        <w:t>ဖြစ်သည်ဟူ၍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ထိုစစ်ပွဲ၏</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လှုပ်ရှားသဘောတရားများသည်</w:t>
      </w:r>
      <w:r>
        <w:rPr>
          <w:rFonts w:ascii="Times New Roman" w:hAnsi="Times New Roman" w:eastAsia="Times New Roman" w:cs="Times New Roman"/>
        </w:rPr>
        <w:t xml:space="preserve"> Daniel </w:t>
      </w:r>
      <w:r>
        <w:rPr>
          <w:rFonts w:ascii="Myanmar Text" w:hAnsi="Myanmar Text" w:eastAsia="Myanmar Text" w:cs="Myanmar Text"/>
        </w:rPr>
        <w:t>နှင့်</w:t>
      </w:r>
      <w:r>
        <w:rPr>
          <w:rFonts w:ascii="Times New Roman" w:hAnsi="Times New Roman" w:eastAsia="Times New Roman" w:cs="Times New Roman"/>
        </w:rPr>
        <w:t xml:space="preserve"> Revelation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သမ္မာကျမ်းစာပရောဖက်ပြုချက်ဆိုင်ရာ</w:t>
      </w:r>
      <w:r>
        <w:rPr>
          <w:rFonts w:ascii="Times New Roman" w:hAnsi="Times New Roman" w:eastAsia="Times New Roman" w:cs="Times New Roman"/>
        </w:rPr>
        <w:t xml:space="preserve"> </w:t>
      </w:r>
      <w:r>
        <w:rPr>
          <w:rFonts w:ascii="Myanmar Text" w:hAnsi="Myanmar Text" w:eastAsia="Myanmar Text" w:cs="Myanmar Text"/>
        </w:rPr>
        <w:t>နိုင်ငံတော်များ၏</w:t>
      </w:r>
      <w:r>
        <w:rPr>
          <w:rFonts w:ascii="Times New Roman" w:hAnsi="Times New Roman" w:eastAsia="Times New Roman" w:cs="Times New Roman"/>
        </w:rPr>
        <w:t xml:space="preserve"> </w:t>
      </w:r>
      <w:r>
        <w:rPr>
          <w:rFonts w:ascii="Myanmar Text" w:hAnsi="Myanmar Text" w:eastAsia="Myanmar Text" w:cs="Myanmar Text"/>
        </w:rPr>
        <w:t>လမ်းကြောင်းအားလုံးကို</w:t>
      </w:r>
      <w:r>
        <w:rPr>
          <w:rFonts w:ascii="Times New Roman" w:hAnsi="Times New Roman" w:eastAsia="Times New Roman" w:cs="Times New Roman"/>
        </w:rPr>
        <w:t xml:space="preserve"> Daniel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စီတန်းညှိနှိုင်းပေးသည်။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ဆောင်ရွက်ခြင်းအားဖြင့်</w:t>
      </w:r>
      <w:r>
        <w:rPr>
          <w:rFonts w:ascii="Times New Roman" w:hAnsi="Times New Roman" w:eastAsia="Times New Roman" w:cs="Times New Roman"/>
        </w:rPr>
        <w:t xml:space="preserve"> </w:t>
      </w:r>
      <w:r>
        <w:rPr>
          <w:rFonts w:ascii="Myanmar Text" w:hAnsi="Myanmar Text" w:eastAsia="Myanmar Text" w:cs="Myanmar Text"/>
        </w:rPr>
        <w:t>ယင်းနိုင်ငံတော်များအားလုံးသည်</w:t>
      </w:r>
      <w:r>
        <w:rPr>
          <w:rFonts w:ascii="Times New Roman" w:hAnsi="Times New Roman" w:eastAsia="Times New Roman" w:cs="Times New Roman"/>
        </w:rPr>
        <w:t xml:space="preserve"> Daniel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အပိုဒ်ခြောက်ပိုဒ်အတွက်</w:t>
      </w:r>
      <w:r>
        <w:rPr>
          <w:rFonts w:ascii="Times New Roman" w:hAnsi="Times New Roman" w:eastAsia="Times New Roman" w:cs="Times New Roman"/>
        </w:rPr>
        <w:t xml:space="preserve"> </w:t>
      </w:r>
      <w:r>
        <w:rPr>
          <w:rFonts w:ascii="Myanmar Text" w:hAnsi="Myanmar Text" w:eastAsia="Myanmar Text" w:cs="Myanmar Text"/>
        </w:rPr>
        <w:t>သက်သေခံစေနိုင်သကဲ့သို့၊</w:t>
      </w:r>
      <w:r>
        <w:rPr>
          <w:rFonts w:ascii="Times New Roman" w:hAnsi="Times New Roman" w:eastAsia="Times New Roman" w:cs="Times New Roman"/>
        </w:rPr>
        <w:t xml:space="preserve"> </w:t>
      </w:r>
      <w:r>
        <w:rPr>
          <w:rFonts w:ascii="Myanmar Text" w:hAnsi="Myanmar Text" w:eastAsia="Myanmar Text" w:cs="Myanmar Text"/>
        </w:rPr>
        <w:t>ထို့ထက်ပို၍</w:t>
      </w:r>
      <w:r>
        <w:rPr>
          <w:rFonts w:ascii="Times New Roman" w:hAnsi="Times New Roman" w:eastAsia="Times New Roman" w:cs="Times New Roman"/>
        </w:rPr>
        <w:t>—</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အပြင်ဘက်၌</w:t>
      </w:r>
      <w:r>
        <w:rPr>
          <w:rFonts w:ascii="Times New Roman" w:hAnsi="Times New Roman" w:eastAsia="Times New Roman" w:cs="Times New Roman"/>
        </w:rPr>
        <w:t xml:space="preserve"> </w:t>
      </w:r>
      <w:r>
        <w:rPr>
          <w:rFonts w:ascii="Myanmar Text" w:hAnsi="Myanmar Text" w:eastAsia="Myanmar Text" w:cs="Myanmar Text"/>
        </w:rPr>
        <w:t>ဖုံးကွယ်ထားသော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တံဆိပ်ဖြုတ်ဖွင့်လှစ်ပေးနိုင်သည်။</w:t>
      </w:r>
    </w:p>
    <w:p>
      <w:pPr>
        <w:pStyle w:val="ArticleScripture"/>
        <w:jc w:val="left"/>
      </w:pPr>
      <w:r>
        <w:rPr>
          <w:rFonts w:ascii="Times New Roman" w:hAnsi="Times New Roman" w:eastAsia="Times New Roman" w:cs="Times New Roman"/>
        </w:rPr>
        <w:t>Et je te donnerai les clefs du royaume des cieux : et tout ce que tu lieras sur la terre sera lié dans les cieux ; et tout ce que tu délieras sur la terre sera délié dans les cieux. Matthieu 16:19.</w:t>
      </w:r>
    </w:p>
    <w:p>
      <w:pPr>
        <w:pStyle w:val="ArticleHeading"/>
        <w:jc w:val="left"/>
      </w:pPr>
      <w:r>
        <w:rPr>
          <w:rFonts w:ascii="Arial" w:hAnsi="Arial" w:eastAsia="Arial" w:cs="Arial"/>
        </w:rPr>
        <w:t>شىخەڵاتى و هەڵكشانى پاشایەتى محەممەد</w:t>
      </w:r>
    </w:p>
    <w:p>
      <w:pPr>
        <w:pStyle w:val="ArticleBody"/>
        <w:jc w:val="left"/>
      </w:pPr>
      <w:r>
        <w:rPr>
          <w:rFonts w:ascii="Times New Roman" w:hAnsi="Times New Roman" w:eastAsia="Times New Roman" w:cs="Times New Roman"/>
        </w:rPr>
        <w:t>La bataille de Ninive, en 627, marqua le commencement des dix dernières années de la puissance perse, qui avait été vaincue par le stratagème de Rome, accompagné du brouillard de la providence de Dieu. Elle marqua le point de bascule où les hordes islamiques de Mahomet commencèrent à s’élever. La bataille ôta une retenue qui avait existé, une retenue qui, en théorie, serait demeurée si Rome et la Perse avaient toutes deux conservé leur force. Ni l’une ni l’autre ne le firent.</w:t>
      </w:r>
    </w:p>
    <w:p>
      <w:pPr>
        <w:pStyle w:val="ArticleHeading"/>
        <w:jc w:val="left"/>
      </w:pPr>
      <w:r>
        <w:rPr>
          <w:rFonts w:ascii="Nirmala UI" w:hAnsi="Nirmala UI" w:eastAsia="Nirmala UI" w:cs="Nirmala UI"/>
        </w:rPr>
        <w:t>कसावट</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विमोचन</w:t>
      </w:r>
    </w:p>
    <w:p>
      <w:pPr>
        <w:pStyle w:val="ArticleBody"/>
        <w:jc w:val="left"/>
      </w:pPr>
      <w:r>
        <w:rPr>
          <w:rFonts w:ascii="Times New Roman" w:hAnsi="Times New Roman" w:eastAsia="Times New Roman" w:cs="Times New Roman"/>
        </w:rPr>
        <w:t>Dans la représentation prophétique de l’islam, nous trouvons la retenue et la libération de l’islam dès la toute première présentation de l’Écriture, lorsque Sara persuada Abraham de retenir Agar et Ismaël.</w:t>
      </w:r>
    </w:p>
    <w:p>
      <w:pPr>
        <w:pStyle w:val="ArticleScripture"/>
        <w:jc w:val="left"/>
      </w:pPr>
      <w:r>
        <w:rPr>
          <w:rFonts w:ascii="Times New Roman" w:hAnsi="Times New Roman" w:eastAsia="Times New Roman" w:cs="Times New Roman"/>
        </w:rPr>
        <w:t>`ff` semble manquer dans votre demande. Merci de préciser la langue cible correspondant à « ff » afin que je puisse traduire le passage.</w:t>
      </w:r>
    </w:p>
    <w:p>
      <w:pPr>
        <w:pStyle w:val="ArticleBody"/>
        <w:jc w:val="left"/>
      </w:pPr>
      <w:r>
        <w:rPr>
          <w:rFonts w:ascii="Times New Roman" w:hAnsi="Times New Roman" w:eastAsia="Times New Roman" w:cs="Times New Roman"/>
        </w:rPr>
        <w:t>حتی پیش از آن واقعه، سببِ ورودِ هاجر به روایتِ نبوی این است که خداوند سارا را از فرزند آوردن «بازداشته» است.</w:t>
      </w:r>
    </w:p>
    <w:p>
      <w:pPr>
        <w:pStyle w:val="ArticleScripture"/>
        <w:jc w:val="left"/>
      </w:pPr>
      <w:r>
        <w:rPr>
          <w:rFonts w:ascii="Times New Roman" w:hAnsi="Times New Roman" w:eastAsia="Times New Roman" w:cs="Times New Roman"/>
        </w:rPr>
        <w:t>Tahi a Sarai, te avāhine a Aberama, i fanau tamarii na ’na; e e tavini vahine to ’na, no Aiphiti, o Hagara te i‘oa. E ua parau atura Sarai ia Aberama, Inaha, ua tape‘a mai Iehova ia ’u ia ore e fanau; te pure atu nei au ia oe, a tomo atu i ta ’u tavini vahine; peneia‘e e noaa mai ta ’u mau tamarii na roto ia ’na. E ua faaroo Aberama i te reo o Sarai. Genese 16:1, 2.</w:t>
      </w:r>
    </w:p>
    <w:p>
      <w:pPr>
        <w:pStyle w:val="ArticleBody"/>
        <w:jc w:val="left"/>
      </w:pPr>
      <w:r>
        <w:rPr>
          <w:rFonts w:ascii="Times New Roman" w:hAnsi="Times New Roman" w:eastAsia="Times New Roman" w:cs="Times New Roman"/>
        </w:rPr>
        <w:t>“Idabi” ry’Ibyahishuwe igice cya cyenda ryahawe Mohammed, kandi nyuma rikuzo y’urugamba rwa Nineveh, rihagarariye ikurwaho ry’“inzitizi” yari ishyizwe kuri Isilamu mu gihe icyo ari cyo cyose cy’amateka ya gihanuzi.</w:t>
      </w:r>
    </w:p>
    <w:p>
      <w:pPr>
        <w:pStyle w:val="ArticleScripture"/>
        <w:jc w:val="left"/>
      </w:pPr>
      <w:r>
        <w:rPr>
          <w:rFonts w:ascii="Times New Roman" w:hAnsi="Times New Roman" w:eastAsia="Times New Roman" w:cs="Times New Roman"/>
        </w:rPr>
        <w:t>«ئەنجەلەکان چوار بایەکەیان گرتووە، کە وەک ئەسپێکی تووڕە نیشان دراوە کە دەوێت خۆی ڕزگار بکات و بە سەر ڕووی تەواوی زەوی دا پەلهاوێت، هەڵگری وێرانکاری و مردن لە ڕێگای خۆیدا.» Manuscript Releases, volume 20, 217.</w:t>
      </w:r>
    </w:p>
    <w:p>
      <w:pPr>
        <w:pStyle w:val="ArticleBody"/>
        <w:jc w:val="left"/>
      </w:pPr>
      <w:r>
        <w:rPr>
          <w:rFonts w:ascii="Times New Roman" w:hAnsi="Times New Roman" w:eastAsia="Times New Roman" w:cs="Times New Roman"/>
        </w:rPr>
        <w:t>“</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मोहम्मदको</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नभई</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मुक्तिलाई</w:t>
      </w:r>
      <w:r>
        <w:rPr>
          <w:rFonts w:ascii="Times New Roman" w:hAnsi="Times New Roman" w:eastAsia="Times New Roman" w:cs="Times New Roman"/>
        </w:rPr>
        <w:t xml:space="preserve"> </w:t>
      </w:r>
      <w:r>
        <w:rPr>
          <w:rFonts w:ascii="Nirmala UI" w:hAnsi="Nirmala UI" w:eastAsia="Nirmala UI" w:cs="Nirmala UI"/>
        </w:rPr>
        <w:t>निनवेहको</w:t>
      </w:r>
      <w:r>
        <w:rPr>
          <w:rFonts w:ascii="Times New Roman" w:hAnsi="Times New Roman" w:eastAsia="Times New Roman" w:cs="Times New Roman"/>
        </w:rPr>
        <w:t xml:space="preserve"> </w:t>
      </w:r>
      <w:r>
        <w:rPr>
          <w:rFonts w:ascii="Nirmala UI" w:hAnsi="Nirmala UI" w:eastAsia="Nirmala UI" w:cs="Nirmala UI"/>
        </w:rPr>
        <w:t>युद्धद्वारा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Heading"/>
        <w:jc w:val="left"/>
      </w:pPr>
      <w:r>
        <w:rPr>
          <w:rFonts w:ascii="Arial" w:hAnsi="Arial" w:eastAsia="Arial" w:cs="Arial"/>
        </w:rPr>
        <w:t>Seules les Malédictions</w:t>
      </w:r>
    </w:p>
    <w:p>
      <w:pPr>
        <w:pStyle w:val="ArticleBody"/>
        <w:jc w:val="left"/>
      </w:pP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ओडोएसर</w:t>
      </w:r>
      <w:r>
        <w:rPr>
          <w:rFonts w:ascii="Times New Roman" w:hAnsi="Times New Roman" w:eastAsia="Times New Roman" w:cs="Times New Roman"/>
        </w:rPr>
        <w:t xml:space="preserve">, </w:t>
      </w:r>
      <w:r>
        <w:rPr>
          <w:rFonts w:ascii="Nirmala UI" w:hAnsi="Nirmala UI" w:eastAsia="Nirmala UI" w:cs="Nirmala UI"/>
        </w:rPr>
        <w:t>जेनसेरिक</w:t>
      </w:r>
      <w:r>
        <w:rPr>
          <w:rFonts w:ascii="Times New Roman" w:hAnsi="Times New Roman" w:eastAsia="Times New Roman" w:cs="Times New Roman"/>
        </w:rPr>
        <w:t xml:space="preserve">, </w:t>
      </w:r>
      <w:r>
        <w:rPr>
          <w:rFonts w:ascii="Nirmala UI" w:hAnsi="Nirmala UI" w:eastAsia="Nirmala UI" w:cs="Nirmala UI"/>
        </w:rPr>
        <w:t>अत्तीला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अलारिक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न्यायकारी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वंशज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विमोचन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पूर्णतया</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नीनवे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Heading"/>
        <w:jc w:val="left"/>
      </w:pPr>
      <w:r>
        <w:rPr>
          <w:rFonts w:ascii="Nirmala UI" w:hAnsi="Nirmala UI" w:eastAsia="Nirmala UI" w:cs="Nirmala UI"/>
        </w:rPr>
        <w:t>ਨਿਕੋਮੀਡੀਆ</w:t>
      </w:r>
      <w:r>
        <w:rPr>
          <w:rFonts w:ascii="Arial" w:hAnsi="Arial" w:eastAsia="Arial" w:cs="Arial"/>
        </w:rPr>
        <w:t xml:space="preserve"> </w:t>
      </w:r>
      <w:r>
        <w:rPr>
          <w:rFonts w:ascii="Nirmala UI" w:hAnsi="Nirmala UI" w:eastAsia="Nirmala UI" w:cs="Nirmala UI"/>
        </w:rPr>
        <w:t>ਅਤੇ</w:t>
      </w:r>
      <w:r>
        <w:rPr>
          <w:rFonts w:ascii="Arial" w:hAnsi="Arial" w:eastAsia="Arial" w:cs="Arial"/>
        </w:rPr>
        <w:t xml:space="preserve"> 27 </w:t>
      </w:r>
      <w:r>
        <w:rPr>
          <w:rFonts w:ascii="Nirmala UI" w:hAnsi="Nirmala UI" w:eastAsia="Nirmala UI" w:cs="Nirmala UI"/>
        </w:rPr>
        <w:t>ਜੁਲਾਈ</w:t>
      </w:r>
      <w:r>
        <w:rPr>
          <w:rFonts w:ascii="Arial" w:hAnsi="Arial" w:eastAsia="Arial" w:cs="Arial"/>
        </w:rPr>
        <w:t>, 1299</w:t>
      </w:r>
    </w:p>
    <w:p>
      <w:pPr>
        <w:pStyle w:val="ArticleBody"/>
        <w:jc w:val="left"/>
      </w:pPr>
      <w:r>
        <w:rPr>
          <w:rFonts w:ascii="Times New Roman" w:hAnsi="Times New Roman" w:eastAsia="Times New Roman" w:cs="Times New Roman"/>
        </w:rPr>
        <w:t>Les pionniers ont correctement identifié le 27 juillet 1299 comme le commencement des cent cinquante années qui prirent fin le 27 juillet 1449, lequel marqua à son tour le début des trois cent quatre-vingt-onze années et quinze jours qui s’achevèrent le 11 août 1840.</w:t>
      </w:r>
    </w:p>
    <w:p>
      <w:pPr>
        <w:pStyle w:val="ArticleBody"/>
        <w:jc w:val="left"/>
      </w:pPr>
      <w:r>
        <w:rPr>
          <w:rFonts w:ascii="Times New Roman" w:hAnsi="Times New Roman" w:eastAsia="Times New Roman" w:cs="Times New Roman"/>
        </w:rPr>
        <w:t>In het vorige artikel hebben wij het beleg van 1333 tot 1337 vastgesteld dat door sultan Orhan Gazi (zoon van Osman I, de stichter van het Ottomaanse beylik) over Nicomedia werd gebracht, toen hij de belangrijke Byzantijnse stad Nicomedia belegerde. Het beleg vormt de voltooiing van de oorlogvoering tegen Nicomedia die met zijn vader Osman was begonnen. De honderd vijftig jaren van Openbaring negen, vers tien, begonnen op 27 juli 1299, en als beginpunt van een profetie dient de geschiedenis die met die begindatum verbonden is, te worden opgemerkt. Osman I (stichter van de Ottomaanse dynastie) was de vader van sultan Orhan Gazi, die op 27 juli 1299 de betekenisvolle vroege overwinning op het Byzantijnse Rijk behaalde in de Slag bij Bapheus, die plaatsvond in de streek van Nicomedia, dicht bij de stad Nicomedia, een zeer belangrijke hoofdstad in de Romeinse en vroege Byzantijnse geschiedenis.</w:t>
      </w:r>
    </w:p>
    <w:p>
      <w:pPr>
        <w:pStyle w:val="ArticleHeading"/>
        <w:jc w:val="left"/>
      </w:pPr>
      <w:r>
        <w:rPr>
          <w:rFonts w:ascii="Arial" w:hAnsi="Arial" w:eastAsia="Arial" w:cs="Arial"/>
        </w:rPr>
        <w:t>Père et Fils</w:t>
      </w:r>
    </w:p>
    <w:p>
      <w:pPr>
        <w:pStyle w:val="ArticleBody"/>
        <w:jc w:val="left"/>
      </w:pPr>
      <w:r>
        <w:rPr>
          <w:rFonts w:ascii="Times New Roman" w:hAnsi="Times New Roman" w:eastAsia="Times New Roman" w:cs="Times New Roman"/>
        </w:rPr>
        <w:t>1299 оны 7-р сарын 27-нд Османы хүчнүүд орон нутгийн захирагчийн удирдсан Византийн армийг ялсан. Энэхүү тулалдаан нь Осман Битинид (Анатолийн баруун хойд хэсэг) эрх мэдлээ нэгтгэж эхэлсний дараах түүний бие даасан цэргийн анхны томоохон амжилтуудын нэг гэж үзэгддэг. Энэ нь Туркийн жижиг бейликээс (овгийн ванлиг) Византийн нутаг дэвсгэрийг эцэст нь сөрөн зогсож, байлдан дагуулах өсөн нэмэгдэж буй хүч болон хувирах шилжилтийн чухал алхам байв. Тэрхүү өдөр нь Исламын өсөн тэлэх үеийн эхлэлийг тэмдэглэсэн бөгөөд энэ нь эцэстээ 1453 онд Константинополь унаснаар Османы эзэнт гүрэн байгуулагдахад хүргэсэн юм. Осман гази дайчдыг (Исламын сэдлээр хөдөлсөн хилийн довтлогчид) ашигласан бөгөөд тэндээс гази хилийн дайчид илүү зохион байгуулалттай армид бүрэлдэн тогтож эхэлсэн ба энэ нь Османаас эхлэн, дараа нь түүний хүү Орхан хүртэл үе шаттайгаар хөгжсөн. Османы өвийн бусад чухал бүрэлдэхүүн хэсгүүдийн нэг нь Исламд өмч хөрөнгөө хадгалан үлдэх боломжийг олгосон явдал байсан. Энэ нь замбараагүй цохиод зугтах тактиктай гази дайчдын дайнаас ялгаатай бөгөөд тийм тактик тэдэнд ялалтынхаа зөвхөн олзыг л үлдээдэг байсан болохоос, хэзээ ч газар нутаг үлдээдэггүй байв.</w:t>
      </w:r>
    </w:p>
    <w:p>
      <w:pPr>
        <w:pStyle w:val="ArticleBody"/>
        <w:jc w:val="left"/>
      </w:pPr>
      <w:r>
        <w:rPr>
          <w:rFonts w:ascii="Times New Roman" w:hAnsi="Times New Roman" w:eastAsia="Times New Roman" w:cs="Times New Roman"/>
        </w:rPr>
        <w:t>1299</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27</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오스만은</w:t>
      </w:r>
      <w:r>
        <w:rPr>
          <w:rFonts w:ascii="Times New Roman" w:hAnsi="Times New Roman" w:eastAsia="Times New Roman" w:cs="Times New Roman"/>
        </w:rPr>
        <w:t xml:space="preserve"> </w:t>
      </w:r>
      <w:r>
        <w:rPr>
          <w:rFonts w:ascii="Malgun Gothic" w:hAnsi="Malgun Gothic" w:eastAsia="Malgun Gothic" w:cs="Malgun Gothic"/>
        </w:rPr>
        <w:t>니코메디아</w:t>
      </w:r>
      <w:r>
        <w:rPr>
          <w:rFonts w:ascii="Times New Roman" w:hAnsi="Times New Roman" w:eastAsia="Times New Roman" w:cs="Times New Roman"/>
        </w:rPr>
        <w:t xml:space="preserve"> </w:t>
      </w:r>
      <w:r>
        <w:rPr>
          <w:rFonts w:ascii="Malgun Gothic" w:hAnsi="Malgun Gothic" w:eastAsia="Malgun Gothic" w:cs="Malgun Gothic"/>
        </w:rPr>
        <w:t>지역에서</w:t>
      </w:r>
      <w:r>
        <w:rPr>
          <w:rFonts w:ascii="Times New Roman" w:hAnsi="Times New Roman" w:eastAsia="Times New Roman" w:cs="Times New Roman"/>
        </w:rPr>
        <w:t xml:space="preserve"> </w:t>
      </w:r>
      <w:r>
        <w:rPr>
          <w:rFonts w:ascii="Malgun Gothic" w:hAnsi="Malgun Gothic" w:eastAsia="Malgun Gothic" w:cs="Malgun Gothic"/>
        </w:rPr>
        <w:t>원정을</w:t>
      </w:r>
      <w:r>
        <w:rPr>
          <w:rFonts w:ascii="Times New Roman" w:hAnsi="Times New Roman" w:eastAsia="Times New Roman" w:cs="Times New Roman"/>
        </w:rPr>
        <w:t xml:space="preserve"> </w:t>
      </w:r>
      <w:r>
        <w:rPr>
          <w:rFonts w:ascii="Malgun Gothic" w:hAnsi="Malgun Gothic" w:eastAsia="Malgun Gothic" w:cs="Malgun Gothic"/>
        </w:rPr>
        <w:t>시작하였고</w:t>
      </w:r>
      <w:r>
        <w:rPr>
          <w:rFonts w:ascii="Times New Roman" w:hAnsi="Times New Roman" w:eastAsia="Times New Roman" w:cs="Times New Roman"/>
        </w:rPr>
        <w:t xml:space="preserve">, </w:t>
      </w:r>
      <w:r>
        <w:rPr>
          <w:rFonts w:ascii="Malgun Gothic" w:hAnsi="Malgun Gothic" w:eastAsia="Malgun Gothic" w:cs="Malgun Gothic"/>
        </w:rPr>
        <w:t>그로부터</w:t>
      </w:r>
      <w:r>
        <w:rPr>
          <w:rFonts w:ascii="Times New Roman" w:hAnsi="Times New Roman" w:eastAsia="Times New Roman" w:cs="Times New Roman"/>
        </w:rPr>
        <w:t xml:space="preserve"> </w:t>
      </w:r>
      <w:r>
        <w:rPr>
          <w:rFonts w:ascii="Malgun Gothic" w:hAnsi="Malgun Gothic" w:eastAsia="Malgun Gothic" w:cs="Malgun Gothic"/>
        </w:rPr>
        <w:t>삼십사</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아들은</w:t>
      </w:r>
      <w:r>
        <w:rPr>
          <w:rFonts w:ascii="Times New Roman" w:hAnsi="Times New Roman" w:eastAsia="Times New Roman" w:cs="Times New Roman"/>
        </w:rPr>
        <w:t xml:space="preserve"> </w:t>
      </w:r>
      <w:r>
        <w:rPr>
          <w:rFonts w:ascii="Malgun Gothic" w:hAnsi="Malgun Gothic" w:eastAsia="Malgun Gothic" w:cs="Malgun Gothic"/>
        </w:rPr>
        <w:t>수도</w:t>
      </w:r>
      <w:r>
        <w:rPr>
          <w:rFonts w:ascii="Times New Roman" w:hAnsi="Times New Roman" w:eastAsia="Times New Roman" w:cs="Times New Roman"/>
        </w:rPr>
        <w:t xml:space="preserve"> </w:t>
      </w:r>
      <w:r>
        <w:rPr>
          <w:rFonts w:ascii="Malgun Gothic" w:hAnsi="Malgun Gothic" w:eastAsia="Malgun Gothic" w:cs="Malgun Gothic"/>
        </w:rPr>
        <w:t>니코메디아</w:t>
      </w:r>
      <w:r>
        <w:rPr>
          <w:rFonts w:ascii="Times New Roman" w:hAnsi="Times New Roman" w:eastAsia="Times New Roman" w:cs="Times New Roman"/>
        </w:rPr>
        <w:t xml:space="preserve"> </w:t>
      </w:r>
      <w:r>
        <w:rPr>
          <w:rFonts w:ascii="Malgun Gothic" w:hAnsi="Malgun Gothic" w:eastAsia="Malgun Gothic" w:cs="Malgun Gothic"/>
        </w:rPr>
        <w:t>성에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사</w:t>
      </w:r>
      <w:r>
        <w:rPr>
          <w:rFonts w:ascii="Times New Roman" w:hAnsi="Times New Roman" w:eastAsia="Times New Roman" w:cs="Times New Roman"/>
        </w:rPr>
        <w:t xml:space="preserve"> </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걸친</w:t>
      </w:r>
      <w:r>
        <w:rPr>
          <w:rFonts w:ascii="Times New Roman" w:hAnsi="Times New Roman" w:eastAsia="Times New Roman" w:cs="Times New Roman"/>
        </w:rPr>
        <w:t xml:space="preserve"> </w:t>
      </w:r>
      <w:r>
        <w:rPr>
          <w:rFonts w:ascii="Malgun Gothic" w:hAnsi="Malgun Gothic" w:eastAsia="Malgun Gothic" w:cs="Malgun Gothic"/>
        </w:rPr>
        <w:t>포위를</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시작에는</w:t>
      </w:r>
      <w:r>
        <w:rPr>
          <w:rFonts w:ascii="Times New Roman" w:hAnsi="Times New Roman" w:eastAsia="Times New Roman" w:cs="Times New Roman"/>
        </w:rPr>
        <w:t xml:space="preserve"> </w:t>
      </w:r>
      <w:r>
        <w:rPr>
          <w:rFonts w:ascii="Malgun Gothic" w:hAnsi="Malgun Gothic" w:eastAsia="Malgun Gothic" w:cs="Malgun Gothic"/>
        </w:rPr>
        <w:t>아버지가</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마침에는</w:t>
      </w:r>
      <w:r>
        <w:rPr>
          <w:rFonts w:ascii="Times New Roman" w:hAnsi="Times New Roman" w:eastAsia="Times New Roman" w:cs="Times New Roman"/>
        </w:rPr>
        <w:t xml:space="preserve"> </w:t>
      </w:r>
      <w:r>
        <w:rPr>
          <w:rFonts w:ascii="Malgun Gothic" w:hAnsi="Malgun Gothic" w:eastAsia="Malgun Gothic" w:cs="Malgun Gothic"/>
        </w:rPr>
        <w:t>아들이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전쟁은</w:t>
      </w:r>
      <w:r>
        <w:rPr>
          <w:rFonts w:ascii="Times New Roman" w:hAnsi="Times New Roman" w:eastAsia="Times New Roman" w:cs="Times New Roman"/>
        </w:rPr>
        <w:t xml:space="preserve"> </w:t>
      </w:r>
      <w:r>
        <w:rPr>
          <w:rFonts w:ascii="Malgun Gothic" w:hAnsi="Malgun Gothic" w:eastAsia="Malgun Gothic" w:cs="Malgun Gothic"/>
        </w:rPr>
        <w:t>니코메디아로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지역을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지역</w:t>
      </w:r>
      <w:r>
        <w:rPr>
          <w:rFonts w:ascii="Times New Roman" w:hAnsi="Times New Roman" w:eastAsia="Times New Roman" w:cs="Times New Roman"/>
        </w:rPr>
        <w:t xml:space="preserve"> </w:t>
      </w:r>
      <w:r>
        <w:rPr>
          <w:rFonts w:ascii="Malgun Gothic" w:hAnsi="Malgun Gothic" w:eastAsia="Malgun Gothic" w:cs="Malgun Gothic"/>
        </w:rPr>
        <w:t>니코메디아의</w:t>
      </w:r>
      <w:r>
        <w:rPr>
          <w:rFonts w:ascii="Times New Roman" w:hAnsi="Times New Roman" w:eastAsia="Times New Roman" w:cs="Times New Roman"/>
        </w:rPr>
        <w:t xml:space="preserve"> </w:t>
      </w:r>
      <w:r>
        <w:rPr>
          <w:rFonts w:ascii="Malgun Gothic" w:hAnsi="Malgun Gothic" w:eastAsia="Malgun Gothic" w:cs="Malgun Gothic"/>
        </w:rPr>
        <w:t>수도인</w:t>
      </w:r>
      <w:r>
        <w:rPr>
          <w:rFonts w:ascii="Times New Roman" w:hAnsi="Times New Roman" w:eastAsia="Times New Roman" w:cs="Times New Roman"/>
        </w:rPr>
        <w:t xml:space="preserve"> </w:t>
      </w:r>
      <w:r>
        <w:rPr>
          <w:rFonts w:ascii="Malgun Gothic" w:hAnsi="Malgun Gothic" w:eastAsia="Malgun Gothic" w:cs="Malgun Gothic"/>
        </w:rPr>
        <w:t>니코메디아를</w:t>
      </w:r>
      <w:r>
        <w:rPr>
          <w:rFonts w:ascii="Times New Roman" w:hAnsi="Times New Roman" w:eastAsia="Times New Roman" w:cs="Times New Roman"/>
        </w:rPr>
        <w:t xml:space="preserve"> </w:t>
      </w:r>
      <w:r>
        <w:rPr>
          <w:rFonts w:ascii="Malgun Gothic" w:hAnsi="Malgun Gothic" w:eastAsia="Malgun Gothic" w:cs="Malgun Gothic"/>
        </w:rPr>
        <w:t>함락함으로써</w:t>
      </w:r>
      <w:r>
        <w:rPr>
          <w:rFonts w:ascii="Times New Roman" w:hAnsi="Times New Roman" w:eastAsia="Times New Roman" w:cs="Times New Roman"/>
        </w:rPr>
        <w:t xml:space="preserve"> </w:t>
      </w:r>
      <w:r>
        <w:rPr>
          <w:rFonts w:ascii="Malgun Gothic" w:hAnsi="Malgun Gothic" w:eastAsia="Malgun Gothic" w:cs="Malgun Gothic"/>
        </w:rPr>
        <w:t>맺어졌다</w:t>
      </w:r>
      <w:r>
        <w:rPr>
          <w:rFonts w:ascii="Times New Roman" w:hAnsi="Times New Roman" w:eastAsia="Times New Roman" w:cs="Times New Roman"/>
        </w:rPr>
        <w:t>. 1299</w:t>
      </w:r>
      <w:r>
        <w:rPr>
          <w:rFonts w:ascii="Malgun Gothic" w:hAnsi="Malgun Gothic" w:eastAsia="Malgun Gothic" w:cs="Malgun Gothic"/>
        </w:rPr>
        <w:t>년부터</w:t>
      </w:r>
      <w:r>
        <w:rPr>
          <w:rFonts w:ascii="Times New Roman" w:hAnsi="Times New Roman" w:eastAsia="Times New Roman" w:cs="Times New Roman"/>
        </w:rPr>
        <w:t xml:space="preserve"> 1337</w:t>
      </w:r>
      <w:r>
        <w:rPr>
          <w:rFonts w:ascii="Malgun Gothic" w:hAnsi="Malgun Gothic" w:eastAsia="Malgun Gothic" w:cs="Malgun Gothic"/>
        </w:rPr>
        <w:t>년까지는</w:t>
      </w:r>
      <w:r>
        <w:rPr>
          <w:rFonts w:ascii="Times New Roman" w:hAnsi="Times New Roman" w:eastAsia="Times New Roman" w:cs="Times New Roman"/>
        </w:rPr>
        <w:t xml:space="preserve"> </w:t>
      </w:r>
      <w:r>
        <w:rPr>
          <w:rFonts w:ascii="Malgun Gothic" w:hAnsi="Malgun Gothic" w:eastAsia="Malgun Gothic" w:cs="Malgun Gothic"/>
        </w:rPr>
        <w:t>삼십팔</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기간이며</w:t>
      </w:r>
      <w:r>
        <w:rPr>
          <w:rFonts w:ascii="Times New Roman" w:hAnsi="Times New Roman" w:eastAsia="Times New Roman" w:cs="Times New Roman"/>
        </w:rPr>
        <w:t xml:space="preserve">, </w:t>
      </w:r>
      <w:r>
        <w:rPr>
          <w:rFonts w:ascii="Malgun Gothic" w:hAnsi="Malgun Gothic" w:eastAsia="Malgun Gothic" w:cs="Malgun Gothic"/>
        </w:rPr>
        <w:t>예언적으로</w:t>
      </w:r>
      <w:r>
        <w:rPr>
          <w:rFonts w:ascii="Times New Roman" w:hAnsi="Times New Roman" w:eastAsia="Times New Roman" w:cs="Times New Roman"/>
        </w:rPr>
        <w:t xml:space="preserve"> “</w:t>
      </w:r>
      <w:r>
        <w:rPr>
          <w:rFonts w:ascii="Malgun Gothic" w:hAnsi="Malgun Gothic" w:eastAsia="Malgun Gothic" w:cs="Malgun Gothic"/>
        </w:rPr>
        <w:t>삼십팔</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수는</w:t>
      </w:r>
      <w:r>
        <w:rPr>
          <w:rFonts w:ascii="Times New Roman" w:hAnsi="Times New Roman" w:eastAsia="Times New Roman" w:cs="Times New Roman"/>
        </w:rPr>
        <w:t xml:space="preserve"> </w:t>
      </w:r>
      <w:r>
        <w:rPr>
          <w:rFonts w:ascii="Malgun Gothic" w:hAnsi="Malgun Gothic" w:eastAsia="Malgun Gothic" w:cs="Malgun Gothic"/>
        </w:rPr>
        <w:t>일어남을</w:t>
      </w:r>
      <w:r>
        <w:rPr>
          <w:rFonts w:ascii="Times New Roman" w:hAnsi="Times New Roman" w:eastAsia="Times New Roman" w:cs="Times New Roman"/>
        </w:rPr>
        <w:t xml:space="preserve"> </w:t>
      </w:r>
      <w:r>
        <w:rPr>
          <w:rFonts w:ascii="Malgun Gothic" w:hAnsi="Malgun Gothic" w:eastAsia="Malgun Gothic" w:cs="Malgun Gothic"/>
        </w:rPr>
        <w:t>상징한다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Basi ngimi, nikasema, mkavuke kijito cha Zeredi. Nasi tukavuka kijito cha Zeredi. Na muda tuliotoka Kadesh-barnea hata tulipokuwa tumekwisha kuvuka kijito cha Zeredi ulikuwa miaka thelathini na minane; hata kizazi chote cha watu wa vita kilipokuwa kimeangamizwa kutoka kati ya jeshi, kama Bwana alivyowaapia. Kumbukumbu la Torati 2:13, 14.</w:t>
      </w:r>
    </w:p>
    <w:p>
      <w:pPr>
        <w:pStyle w:val="ArticleBody"/>
        <w:jc w:val="left"/>
      </w:pPr>
      <w:r>
        <w:rPr>
          <w:rFonts w:ascii="Times New Roman" w:hAnsi="Times New Roman" w:eastAsia="Times New Roman" w:cs="Times New Roman"/>
        </w:rPr>
        <w:t>Tahun seratus lima puluh dari 27 Juli 1299 hingga 27 Juli 1449 melambangkan masa yang mengarah kepada berdirinya Kekaisaran Utsmaniyah dari celaka kedua dalam Wahyu pasal sembilan. Tiga puluh delapan tahun penaklukan progresif atas Nikomedia dimulai dengan seorang ayah (Osman) dan berakhir dengan putranya (Orphan). Masa itu menggambarkan langkah pertama dari kebangkitan bertahap suatu kepangeranan suku menjadi sebuah kekaisaran.</w:t>
      </w:r>
    </w:p>
    <w:p>
      <w:pPr>
        <w:pStyle w:val="ArticleBody"/>
        <w:jc w:val="left"/>
      </w:pPr>
      <w:r>
        <w:rPr>
          <w:rFonts w:ascii="Times New Roman" w:hAnsi="Times New Roman" w:eastAsia="Times New Roman" w:cs="Times New Roman"/>
        </w:rPr>
        <w:t>Iminyaka ijana na mirongo itanu kuva ku wa 27 Nyakanga 1299 kugeza ku wa 27 Nyakanga 1449 ikubiyemo ugutwaza imyaka ine kugaragaza iherezo ry’iyo myaka mirongo itatu n’umunani. Intangiriro yo kunesha Nicomedia yakozwe na se, Osman, kandi iherezo ryabyo ryarangijwe n’ugutwaza kumaze imyaka ine kuva mu 1333 kugeza mu 1337; ugutwaza kwakozwe n’umuhungu wa Osman.</w:t>
      </w:r>
    </w:p>
    <w:p>
      <w:pPr>
        <w:pStyle w:val="ArticleBody"/>
        <w:jc w:val="left"/>
      </w:pPr>
      <w:r>
        <w:rPr>
          <w:rFonts w:ascii="Times New Roman" w:hAnsi="Times New Roman" w:eastAsia="Times New Roman" w:cs="Times New Roman"/>
        </w:rPr>
        <w:t>Lorsque les cent cinquante années prirent fin le 27 juillet 1449, l’empereur byzantin, Constantin XI, ou le dernier Constantin de la Rome orientale, sollicita des Turcs la permission de monter sur le trône. À partir de cette date jusqu’à la conquête de Constantinople, il s’écoula quatre années. Ces quatre années s’achevèrent par le siège de Constantinople, et Constantin, le dernier, mourut durant le siège. L’essor de l’islam est représenté par les trente-huit premières années de la prophétie des cent cinquante ans, lesquelles culminèrent en un siège de quatre ans. Lorsque les cent cinquante années prirent fin, l’islam s’était élevé à un point tel que la Rome orientale était humiliée par la puissance que les Turcs possédaient alors. Depuis l’humiliation du 27 juillet 1449, quatre années conduisirent à la chute de la Rome orientale, lorsque Constantinople fut prise à l’issue d’un siège. La fin des trente-huit premières années est marquée par un siège, et l’établissement de l’Empire ottoman est marqué par un siège.</w:t>
      </w:r>
    </w:p>
    <w:p>
      <w:pPr>
        <w:pStyle w:val="ArticleHeading"/>
        <w:jc w:val="left"/>
      </w:pPr>
      <w:r>
        <w:rPr>
          <w:rFonts w:ascii="Arial" w:hAnsi="Arial" w:eastAsia="Arial" w:cs="Arial"/>
        </w:rPr>
        <w:t>38 et 40</w:t>
      </w:r>
    </w:p>
    <w:p>
      <w:pPr>
        <w:pStyle w:val="ArticleBody"/>
        <w:jc w:val="left"/>
      </w:pPr>
      <w:r>
        <w:rPr>
          <w:rFonts w:ascii="Times New Roman" w:hAnsi="Times New Roman" w:eastAsia="Times New Roman" w:cs="Times New Roman"/>
        </w:rPr>
        <w:t>نمبر اڑتیس، جیسا کہ موسیٰ نے استثنا میں چالیس سالہ بیابانی آوارگی کے فیصلے کے آخری اڑتیس برسوں کی نمائندگی کرتے ہوئے پیش کیا ہے، بطورِ علامت استعمال ہوا ہے۔ لہٰذا، نمبر اڑتیس بطورِ علامت نمبر چالیس کے ساتھ ایک تعلق رکھتا ہے۔ عثمان نے 27 جولائی 1299 کو نیکومیڈیا کے علاقے پر قبضہ کیا، اور اڑتیس برس بعد اُس کے بیٹے نے اُس علاقے کے دارالحکومت شہر پر قبضہ کر لیا۔ علاقہ اور دارالحکومت شہر، دونوں ہی نیکومیڈیا تھے۔ مؤرخین اس معرکے کو اُن ‘دو’ مراحل میں سے پہلا قرار دیتے ہیں جو سلطنتِ عثمانیہ کے عروج کے بالکل ابتدائی آغاز کی نشان دہی کرتے ہیں۔ تاریخ کے مطابق دوسرا مرحلہ 1301 میں نقیہ کی جنگ ہے۔ وہاں باپ، عثمان، نے نقیہ کہلانے والے علاقے پر قبضہ کیا، اور 1331 میں، تیس برس بعد، اُس کے بیٹے نے دارالحکومت شہر، جس کا نام بھی نقیہ تھا اور جو سابقہ رومی دارالحکومت تھا، پر قبضہ کر لیا۔</w:t>
      </w:r>
    </w:p>
    <w:p>
      <w:pPr>
        <w:pStyle w:val="ArticleBody"/>
        <w:jc w:val="left"/>
      </w:pPr>
      <w:r>
        <w:rPr>
          <w:rFonts w:ascii="Times New Roman" w:hAnsi="Times New Roman" w:eastAsia="Times New Roman" w:cs="Times New Roman"/>
        </w:rPr>
        <w:t xml:space="preserve">1299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निकोमीडिया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1301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1299 </w:t>
      </w:r>
      <w:r>
        <w:rPr>
          <w:rFonts w:ascii="Nirmala UI" w:hAnsi="Nirmala UI" w:eastAsia="Nirmala UI" w:cs="Nirmala UI"/>
        </w:rPr>
        <w:t>अड़तीस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निकैया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अड़तीस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27 </w:t>
      </w:r>
      <w:r>
        <w:rPr>
          <w:rFonts w:ascii="Nirmala UI" w:hAnsi="Nirmala UI" w:eastAsia="Nirmala UI" w:cs="Nirmala UI"/>
        </w:rPr>
        <w:t>जुलाई</w:t>
      </w:r>
      <w:r>
        <w:rPr>
          <w:rFonts w:ascii="Times New Roman" w:hAnsi="Times New Roman" w:eastAsia="Times New Roman" w:cs="Times New Roman"/>
        </w:rPr>
        <w:t xml:space="preserve">, 1299 </w:t>
      </w:r>
      <w:r>
        <w:rPr>
          <w:rFonts w:ascii="Nirmala UI" w:hAnsi="Nirmala UI" w:eastAsia="Nirmala UI" w:cs="Nirmala UI"/>
        </w:rPr>
        <w:t>और</w:t>
      </w:r>
      <w:r>
        <w:rPr>
          <w:rFonts w:ascii="Times New Roman" w:hAnsi="Times New Roman" w:eastAsia="Times New Roman" w:cs="Times New Roman"/>
        </w:rPr>
        <w:t xml:space="preserve"> 1301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अभियानों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राजधानियाँ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घेरेबंदी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राजधानियाँ</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राजधानियाँ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Le 27 juillet, 1299 et 1301 parviennent à leur terme le 11 août 1840, ce qui représente l’histoire de 1838, lorsque Litch publia pour la première fois sa compréhension et sa prédiction concernant la prophétie des trois cent quatre-vingt-onze ans et quinze jours, laquelle devait finalement s’accomplir le 11 août 1840. Les deux étapes du relèvement des millérites furent les années 1838 et 1840.</w:t>
      </w:r>
    </w:p>
    <w:p>
      <w:pPr>
        <w:pStyle w:val="ArticleScripture"/>
        <w:jc w:val="left"/>
      </w:pPr>
      <w:r>
        <w:rPr>
          <w:rFonts w:ascii="Times New Roman" w:hAnsi="Times New Roman" w:eastAsia="Times New Roman" w:cs="Times New Roman"/>
        </w:rPr>
        <w:t>«Taona 1840 dia nisy fahatanterahan’ny faminaniana iray hafa, miavaka, izay nampientanentana fatratra ny sain’ny maro. Roa taona talohan’izany, Josiah Litch, anankiray tamin’ireo mpitandrina nalaza indrindra nitory ny Fiavian’i Kristy fanindroany, dia namoaka fanazavana momba ny Apokalypsy 9, ka naminany ny fianjeran’ny Fanjakana Otomana. Araka ny kajikajiny dia tokony ho resy io fahefana io “amin’ny A.D. 1840, amin’ny fotoana iray mandritra ny volana Aogositra;” ary andro vitsivitsy monja talohan’ny nahatanterahany dia nanoratra izy hoe: “Raha ekena fa ny fe-potoana voalohany, 150 taona, dia tanteraka marina talohan’ny niakaran’i Deacozes teo amin’ny seza fiandrianana noho ny fanomezan-dàlan’ny Tiorka, ary fa ny 391 taona sy dimy ambin’ny folo andro dia nanomboka tamin’ny fiafaran’ilay fe-potoana voalohany, dia hifarana amin’ny 11 Aogositra 1840 izany, izay fotoana antenaina hirodanan’ny fahefana otomana ao Constantinople. Ary mino aho fa ho hita fa izany tokoa no zava-misy.” —Josiah Litch, ao amin’ny Signs of the Times, and Expositor of Prophecy, 1 Aogositra 1840.»</w:t>
      </w:r>
    </w:p>
    <w:p>
      <w:pPr>
        <w:pStyle w:val="ArticleScripture"/>
        <w:jc w:val="left"/>
      </w:pPr>
      <w:r>
        <w:rPr>
          <w:rFonts w:ascii="Times New Roman" w:hAnsi="Times New Roman" w:eastAsia="Times New Roman" w:cs="Times New Roman"/>
        </w:rPr>
        <w:t xml:space="preserve">“ff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সময়েই</w:t>
      </w:r>
      <w:r>
        <w:rPr>
          <w:rFonts w:ascii="Times New Roman" w:hAnsi="Times New Roman" w:eastAsia="Times New Roman" w:cs="Times New Roman"/>
        </w:rPr>
        <w:t xml:space="preserve"> </w:t>
      </w:r>
      <w:r>
        <w:rPr>
          <w:rFonts w:ascii="Nirmala UI" w:hAnsi="Nirmala UI" w:eastAsia="Nirmala UI" w:cs="Nirmala UI"/>
        </w:rPr>
        <w:t>তুরস্ক</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রাষ্ট্রদূতদের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ইউরোপের</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শক্তিসমূহের</w:t>
      </w:r>
      <w:r>
        <w:rPr>
          <w:rFonts w:ascii="Times New Roman" w:hAnsi="Times New Roman" w:eastAsia="Times New Roman" w:cs="Times New Roman"/>
        </w:rPr>
        <w:t xml:space="preserve"> </w:t>
      </w:r>
      <w:r>
        <w:rPr>
          <w:rFonts w:ascii="Nirmala UI" w:hAnsi="Nirmala UI" w:eastAsia="Nirmala UI" w:cs="Nirmala UI"/>
        </w:rPr>
        <w:t>সুরক্ষা</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নিয়ন্ত্রণাধীন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ঘটনাটি</w:t>
      </w:r>
      <w:r>
        <w:rPr>
          <w:rFonts w:ascii="Times New Roman" w:hAnsi="Times New Roman" w:eastAsia="Times New Roman" w:cs="Times New Roman"/>
        </w:rPr>
        <w:t xml:space="preserve"> </w:t>
      </w:r>
      <w:r>
        <w:rPr>
          <w:rFonts w:ascii="Nirmala UI" w:hAnsi="Nirmala UI" w:eastAsia="Nirmala UI" w:cs="Nirmala UI"/>
        </w:rPr>
        <w:t>ভবিষ্যদ্বাণীকে</w:t>
      </w:r>
      <w:r>
        <w:rPr>
          <w:rFonts w:ascii="Times New Roman" w:hAnsi="Times New Roman" w:eastAsia="Times New Roman" w:cs="Times New Roman"/>
        </w:rPr>
        <w:t xml:space="preserve"> </w:t>
      </w:r>
      <w:r>
        <w:rPr>
          <w:rFonts w:ascii="Nirmala UI" w:hAnsi="Nirmala UI" w:eastAsia="Nirmala UI" w:cs="Nirmala UI"/>
        </w:rPr>
        <w:t>হুবহু</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বহুজন</w:t>
      </w:r>
      <w:r>
        <w:rPr>
          <w:rFonts w:ascii="Times New Roman" w:hAnsi="Times New Roman" w:eastAsia="Times New Roman" w:cs="Times New Roman"/>
        </w:rPr>
        <w:t xml:space="preserve"> </w:t>
      </w:r>
      <w:r>
        <w:rPr>
          <w:rFonts w:ascii="Nirmala UI" w:hAnsi="Nirmala UI" w:eastAsia="Nirmala UI" w:cs="Nirmala UI"/>
        </w:rPr>
        <w:t>নিশ্চিত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সহকারীরা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ব্যাখ্যার</w:t>
      </w:r>
      <w:r>
        <w:rPr>
          <w:rFonts w:ascii="Times New Roman" w:hAnsi="Times New Roman" w:eastAsia="Times New Roman" w:cs="Times New Roman"/>
        </w:rPr>
        <w:t xml:space="preserve"> </w:t>
      </w:r>
      <w:r>
        <w:rPr>
          <w:rFonts w:ascii="Nirmala UI" w:hAnsi="Nirmala UI" w:eastAsia="Nirmala UI" w:cs="Nirmala UI"/>
        </w:rPr>
        <w:t>নীতিসমূহ</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অ্যাডভেন্ট</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বিস্ময়কর</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বিদ্যাশিক্ষা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মর্যাদাসম্পন্ন</w:t>
      </w:r>
      <w:r>
        <w:rPr>
          <w:rFonts w:ascii="Times New Roman" w:hAnsi="Times New Roman" w:eastAsia="Times New Roman" w:cs="Times New Roman"/>
        </w:rPr>
        <w:t xml:space="preserve"> </w:t>
      </w:r>
      <w:r>
        <w:rPr>
          <w:rFonts w:ascii="Nirmala UI" w:hAnsi="Nirmala UI" w:eastAsia="Nirmala UI" w:cs="Nirmala UI"/>
        </w:rPr>
        <w:t>ব্যক্তিরা</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মতামত</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প্রকাশনার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1840 </w:t>
      </w:r>
      <w:r>
        <w:rPr>
          <w:rFonts w:ascii="Nirmala UI" w:hAnsi="Nirmala UI" w:eastAsia="Nirmala UI" w:cs="Nirmala UI"/>
        </w:rPr>
        <w:t>থেকে</w:t>
      </w:r>
      <w:r>
        <w:rPr>
          <w:rFonts w:ascii="Times New Roman" w:hAnsi="Times New Roman" w:eastAsia="Times New Roman" w:cs="Times New Roman"/>
        </w:rPr>
        <w:t xml:space="preserve"> 1844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দ্রুত</w:t>
      </w:r>
      <w:r>
        <w:rPr>
          <w:rFonts w:ascii="Times New Roman" w:hAnsi="Times New Roman" w:eastAsia="Times New Roman" w:cs="Times New Roman"/>
        </w:rPr>
        <w:t xml:space="preserve"> </w:t>
      </w:r>
      <w:r>
        <w:rPr>
          <w:rFonts w:ascii="Nirmala UI" w:hAnsi="Nirmala UI" w:eastAsia="Nirmala UI" w:cs="Nirmala UI"/>
        </w:rPr>
        <w:t>প্রসার</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‘38</w:t>
      </w:r>
      <w:r>
        <w:rPr>
          <w:rFonts w:ascii="Microsoft Himalaya" w:hAnsi="Microsoft Himalaya" w:eastAsia="Microsoft Himalaya" w:cs="Microsoft Himalaya"/>
        </w:rPr>
        <w:t>ལོའི་ལིཆ་གི་སྔོན་བརྗོད་དང་།</w:t>
      </w:r>
      <w:r>
        <w:rPr>
          <w:rFonts w:ascii="Times New Roman" w:hAnsi="Times New Roman" w:eastAsia="Times New Roman" w:cs="Times New Roman"/>
        </w:rPr>
        <w:t xml:space="preserve"> ‘40</w:t>
      </w:r>
      <w:r>
        <w:rPr>
          <w:rFonts w:ascii="Microsoft Himalaya" w:hAnsi="Microsoft Himalaya" w:eastAsia="Microsoft Himalaya" w:cs="Microsoft Himalaya"/>
        </w:rPr>
        <w:t>ལོའི་ཁོང་གིས་བཅོས་བསྒྱུར་མཛད་པའི་མཐོང་སྣང་ནང་།</w:t>
      </w:r>
      <w:r>
        <w:rPr>
          <w:rFonts w:ascii="Times New Roman" w:hAnsi="Times New Roman" w:eastAsia="Times New Roman" w:cs="Times New Roman"/>
        </w:rPr>
        <w:t xml:space="preserve"> </w:t>
      </w:r>
      <w:r>
        <w:rPr>
          <w:rFonts w:ascii="Microsoft Himalaya" w:hAnsi="Microsoft Himalaya" w:eastAsia="Microsoft Himalaya" w:cs="Microsoft Himalaya"/>
        </w:rPr>
        <w:t>ཁོང་གི་མཐའ་མའི་གསུང་བཤད་ཀྱང་ཚུད་ཡོད་ལ།</w:t>
      </w:r>
      <w:r>
        <w:rPr>
          <w:rFonts w:ascii="Times New Roman" w:hAnsi="Times New Roman" w:eastAsia="Times New Roman" w:cs="Times New Roman"/>
        </w:rPr>
        <w:t xml:space="preserve"> </w:t>
      </w:r>
      <w:r>
        <w:rPr>
          <w:rFonts w:ascii="Microsoft Himalaya" w:hAnsi="Microsoft Himalaya" w:eastAsia="Microsoft Himalaya" w:cs="Microsoft Himalaya"/>
        </w:rPr>
        <w:t>དེ་ནི་ཁོང་གིས་བཅོས་བསྒྱུར་མ་བྱས་པའི་སྔོན་བརྗོད་དེའི་སྔོན་ལ་ཉིན་བཅུ་ཡོད་པའི་ཟླ་</w:t>
      </w:r>
      <w:r>
        <w:rPr>
          <w:rFonts w:ascii="Times New Roman" w:hAnsi="Times New Roman" w:eastAsia="Times New Roman" w:cs="Times New Roman"/>
        </w:rPr>
        <w:t>8</w:t>
      </w:r>
      <w:r>
        <w:rPr>
          <w:rFonts w:ascii="Microsoft Himalaya" w:hAnsi="Microsoft Himalaya" w:eastAsia="Microsoft Himalaya" w:cs="Microsoft Himalaya"/>
        </w:rPr>
        <w:t>ཚེས་</w:t>
      </w:r>
      <w:r>
        <w:rPr>
          <w:rFonts w:ascii="Times New Roman" w:hAnsi="Times New Roman" w:eastAsia="Times New Roman" w:cs="Times New Roman"/>
        </w:rPr>
        <w:t>1</w:t>
      </w:r>
      <w:r>
        <w:rPr>
          <w:rFonts w:ascii="Microsoft Himalaya" w:hAnsi="Microsoft Himalaya" w:eastAsia="Microsoft Himalaya" w:cs="Microsoft Himalaya"/>
        </w:rPr>
        <w:t>ཉིན་བྲིས་པ་ཡིན།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སྔོན་བརྗོད་དེ་འགྲུབ་པ་དེས་འཛམ་གླིང་ལ་གསུང་རབ་ཀྱི་ལུང་བསྟན་གྱི་ཐབས་ལམ་ཡང་དག་པ་ཡིན་པར་ཡིད་ཆེས་བསྐྱེད་པ་ཡིན།</w:t>
      </w:r>
      <w:r>
        <w:rPr>
          <w:rFonts w:ascii="Times New Roman" w:hAnsi="Times New Roman" w:eastAsia="Times New Roman" w:cs="Times New Roman"/>
        </w:rPr>
        <w:t xml:space="preserve"> </w:t>
      </w:r>
      <w:r>
        <w:rPr>
          <w:rFonts w:ascii="Microsoft Himalaya" w:hAnsi="Microsoft Himalaya" w:eastAsia="Microsoft Himalaya" w:cs="Microsoft Himalaya"/>
        </w:rPr>
        <w:t>ལོ་སུམ་ཅུ་སོ་བརྒྱད་དེས་གནའ་བོའི་ཨིས་ར་ཨེལ་ཡར་ལངས་པའི་རྟགས་མཚན་བྱས་པ་དང་།</w:t>
      </w:r>
      <w:r>
        <w:rPr>
          <w:rFonts w:ascii="Times New Roman" w:hAnsi="Times New Roman" w:eastAsia="Times New Roman" w:cs="Times New Roman"/>
        </w:rPr>
        <w:t xml:space="preserve"> </w:t>
      </w:r>
      <w:r>
        <w:rPr>
          <w:rFonts w:ascii="Microsoft Himalaya" w:hAnsi="Microsoft Himalaya" w:eastAsia="Microsoft Himalaya" w:cs="Microsoft Himalaya"/>
        </w:rPr>
        <w:t>དེའི་ནང་ལ་དམར་མཚོ་བརྒལ་བ་ནས་ཀ་དེས་སུ་ཐོག་མའི་ངོ་ལོག་བྱུང་བའི་བར་གྱི་ལོ་གཉིས་ཀྱང་ཚུད་ཡོད།</w:t>
      </w:r>
    </w:p>
    <w:p>
      <w:pPr>
        <w:pStyle w:val="ArticleScripture"/>
        <w:jc w:val="left"/>
      </w:pPr>
      <w:r>
        <w:rPr>
          <w:rFonts w:ascii="Times New Roman" w:hAnsi="Times New Roman" w:eastAsia="Times New Roman" w:cs="Times New Roman"/>
        </w:rPr>
        <w:t>For alle disse mennene som har sett min herlighet og mine tegn, som jeg gjorde i Egypt og i ørkenen, og som nå har fristet meg disse ti ganger og ikke har hørt på min røst, sannelig, de skal ikke få se det landet som jeg tilsvor deres fedre; heller ikke skal noen av dem som egget meg til vrede, få se det. 4 Mosebok 14:22, 23.</w:t>
      </w:r>
    </w:p>
    <w:p>
      <w:pPr>
        <w:pStyle w:val="ArticleBody"/>
        <w:jc w:val="left"/>
      </w:pPr>
      <w:r>
        <w:rPr>
          <w:rFonts w:ascii="Times New Roman" w:hAnsi="Times New Roman" w:eastAsia="Times New Roman" w:cs="Times New Roman"/>
        </w:rPr>
        <w:t>Cette rébellion est identifiée comme la dernière de dix épreuves. Une période d’épreuve de deux ans comprenant dix épreuves, ajoutée aux trente-huit années dans le désert, préfigurait 1838 et 1840, et 1840 comportait une période de dix jours.</w:t>
      </w:r>
    </w:p>
    <w:p>
      <w:pPr>
        <w:pStyle w:val="ArticleBody"/>
        <w:jc w:val="left"/>
      </w:pPr>
      <w:r>
        <w:rPr>
          <w:rFonts w:ascii="Times New Roman" w:hAnsi="Times New Roman" w:eastAsia="Times New Roman" w:cs="Times New Roman"/>
        </w:rPr>
        <w:t>Et le point de départ de l’essor de l’islam avec Osman, le 27 juillet 1299, ouvre une période de trente-huit ans qui s’achève par un siège de quatre ans en 1337. Le 27 juillet 1299 fut la première de deux étapes que les historiens identifient comme le point de départ de l’essor de l’Empire ottoman, et la seconde étape fut 1301. Les deux étapes des batailles de Nicomédie et de Nicée, en 1299 et en 1301, préfigurent 1838 et 1840. Le commencement de la prophétie illustre la fin.</w:t>
      </w:r>
    </w:p>
    <w:p>
      <w:pPr>
        <w:pStyle w:val="ArticleBody"/>
        <w:jc w:val="left"/>
      </w:pPr>
      <w:r>
        <w:rPr>
          <w:rFonts w:ascii="Nirmala UI" w:hAnsi="Nirmala UI" w:eastAsia="Nirmala UI" w:cs="Nirmala UI"/>
        </w:rPr>
        <w:t>নিকোমিডিয়া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নাইসিয়া</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সাময়িকভাবে</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রাজধানী</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দায়িত্ব</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৩৩০</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১৪৫৩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কনস্টান্টিনোপলই</w:t>
      </w:r>
      <w:r>
        <w:rPr>
          <w:rFonts w:ascii="Times New Roman" w:hAnsi="Times New Roman" w:eastAsia="Times New Roman" w:cs="Times New Roman"/>
        </w:rPr>
        <w:t xml:space="preserve"> </w:t>
      </w:r>
      <w:r>
        <w:rPr>
          <w:rFonts w:ascii="Nirmala UI" w:hAnsi="Nirmala UI" w:eastAsia="Nirmala UI" w:cs="Nirmala UI"/>
        </w:rPr>
        <w:t>পূর্বাঞ্চলীয়</w:t>
      </w:r>
      <w:r>
        <w:rPr>
          <w:rFonts w:ascii="Times New Roman" w:hAnsi="Times New Roman" w:eastAsia="Times New Roman" w:cs="Times New Roman"/>
        </w:rPr>
        <w:t xml:space="preserve"> </w:t>
      </w:r>
      <w:r>
        <w:rPr>
          <w:rFonts w:ascii="Nirmala UI" w:hAnsi="Nirmala UI" w:eastAsia="Nirmala UI" w:cs="Nirmala UI"/>
        </w:rPr>
        <w:t>রাজধানী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নিকোমিডিয়া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নাইসিয়া</w:t>
      </w:r>
      <w:r>
        <w:rPr>
          <w:rFonts w:ascii="Times New Roman" w:hAnsi="Times New Roman" w:eastAsia="Times New Roman" w:cs="Times New Roman"/>
        </w:rPr>
        <w:t xml:space="preserve"> </w:t>
      </w:r>
      <w:r>
        <w:rPr>
          <w:rFonts w:ascii="Nirmala UI" w:hAnsi="Nirmala UI" w:eastAsia="Nirmala UI" w:cs="Nirmala UI"/>
        </w:rPr>
        <w:t>কনস্টান্টিনোপলের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অবরোধের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অভিযানের</w:t>
      </w:r>
      <w:r>
        <w:rPr>
          <w:rFonts w:ascii="Times New Roman" w:hAnsi="Times New Roman" w:eastAsia="Times New Roman" w:cs="Times New Roman"/>
        </w:rPr>
        <w:t xml:space="preserve"> </w:t>
      </w:r>
      <w:r>
        <w:rPr>
          <w:rFonts w:ascii="Nirmala UI" w:hAnsi="Nirmala UI" w:eastAsia="Nirmala UI" w:cs="Nirmala UI"/>
        </w:rPr>
        <w:t>পরিসমাপ্তি</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ভূখণ্ডটির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রাজধানী</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Vizingiti vya kwanza vya miaka minne, kuanzia 1333 hadi 1337, vinawakilisha miaka minne kuanzia 1449 hadi 1453, wakati unabii ulipofikia mwisho. Miaka mia tatu na tisini na moja na siku kumi na tano baadaye, Uislamu unazuiliwa, huku Wamillerite ‘wakiinuka’ chini ya uweza wa kiunabii unaowakilishwa katika sifa za ‘thelathini na nane na arobaini,’ kama inavyowakilishwa katika historia ya alfa ya historia ya Julai 27, 1299 na Julai 27, 1449. Kuunuka kwa Uislamu na kuinuka kwa wajumbe wa Mungu wa siku za mwisho kunawakilishwa katika ishara ya kiidadi iliyojengwa kwa uhusiano wa nambari 38 na 40.</w:t>
      </w:r>
    </w:p>
    <w:p>
      <w:pPr>
        <w:pStyle w:val="ArticleBody"/>
        <w:jc w:val="left"/>
      </w:pP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सुअनतिसा</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पुबेनि</w:t>
      </w:r>
      <w:r>
        <w:rPr>
          <w:rFonts w:ascii="Times New Roman" w:hAnsi="Times New Roman" w:eastAsia="Times New Roman" w:cs="Times New Roman"/>
        </w:rPr>
        <w:t xml:space="preserve"> </w:t>
      </w:r>
      <w:r>
        <w:rPr>
          <w:rFonts w:ascii="Nirmala UI" w:hAnsi="Nirmala UI" w:eastAsia="Nirmala UI" w:cs="Nirmala UI"/>
        </w:rPr>
        <w:t>बिफानि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गोमौ</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फिसाफोरनि</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सानायाव</w:t>
      </w:r>
      <w:r>
        <w:rPr>
          <w:rFonts w:ascii="Times New Roman" w:hAnsi="Times New Roman" w:eastAsia="Times New Roman" w:cs="Times New Roman"/>
        </w:rPr>
        <w:t xml:space="preserve"> </w:t>
      </w:r>
      <w:r>
        <w:rPr>
          <w:rFonts w:ascii="Nirmala UI" w:hAnsi="Nirmala UI" w:eastAsia="Nirmala UI" w:cs="Nirmala UI"/>
        </w:rPr>
        <w:t>फुंजाबनाय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पारगोन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सेनाफोर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येहेजकेलनि</w:t>
      </w:r>
      <w:r>
        <w:rPr>
          <w:rFonts w:ascii="Times New Roman" w:hAnsi="Times New Roman" w:eastAsia="Times New Roman" w:cs="Times New Roman"/>
        </w:rPr>
        <w:t xml:space="preserve"> </w:t>
      </w:r>
      <w:r>
        <w:rPr>
          <w:rFonts w:ascii="Nirmala UI" w:hAnsi="Nirmala UI" w:eastAsia="Nirmala UI" w:cs="Nirmala UI"/>
        </w:rPr>
        <w:t>बिथांआ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फोजोबनायनि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1838 </w:t>
      </w:r>
      <w:r>
        <w:rPr>
          <w:rFonts w:ascii="Nirmala UI" w:hAnsi="Nirmala UI" w:eastAsia="Nirmala UI" w:cs="Nirmala UI"/>
        </w:rPr>
        <w:t>आरो</w:t>
      </w:r>
      <w:r>
        <w:rPr>
          <w:rFonts w:ascii="Times New Roman" w:hAnsi="Times New Roman" w:eastAsia="Times New Roman" w:cs="Times New Roman"/>
        </w:rPr>
        <w:t xml:space="preserve"> 1840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जौगाव</w:t>
      </w:r>
      <w:r>
        <w:rPr>
          <w:rFonts w:ascii="Times New Roman" w:hAnsi="Times New Roman" w:eastAsia="Times New Roman" w:cs="Times New Roman"/>
        </w:rPr>
        <w:t xml:space="preserve"> </w:t>
      </w:r>
      <w:r>
        <w:rPr>
          <w:rFonts w:ascii="Nirmala UI" w:hAnsi="Nirmala UI" w:eastAsia="Nirmala UI" w:cs="Nirmala UI"/>
        </w:rPr>
        <w:t>जादोंमोन।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बिथांआ</w:t>
      </w:r>
      <w:r>
        <w:rPr>
          <w:rFonts w:ascii="Times New Roman" w:hAnsi="Times New Roman" w:eastAsia="Times New Roman" w:cs="Times New Roman"/>
        </w:rPr>
        <w:t xml:space="preserve"> 9/11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पहुंचैसिल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समावहोनाय</w:t>
      </w:r>
      <w:r>
        <w:rPr>
          <w:rFonts w:ascii="Times New Roman" w:hAnsi="Times New Roman" w:eastAsia="Times New Roman" w:cs="Times New Roman"/>
        </w:rPr>
        <w:t xml:space="preserve"> </w:t>
      </w:r>
      <w:r>
        <w:rPr>
          <w:rFonts w:ascii="Nirmala UI" w:hAnsi="Nirmala UI" w:eastAsia="Nirmala UI" w:cs="Nirmala UI"/>
        </w:rPr>
        <w:t>सानिबारनि</w:t>
      </w:r>
      <w:r>
        <w:rPr>
          <w:rFonts w:ascii="Times New Roman" w:hAnsi="Times New Roman" w:eastAsia="Times New Roman" w:cs="Times New Roman"/>
        </w:rPr>
        <w:t xml:space="preserve"> </w:t>
      </w:r>
      <w:r>
        <w:rPr>
          <w:rFonts w:ascii="Nirmala UI" w:hAnsi="Nirmala UI" w:eastAsia="Nirmala UI" w:cs="Nirmala UI"/>
        </w:rPr>
        <w:t>आइनेनि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गोजौफोरआ</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सेनाफोर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गोसांइनि</w:t>
      </w:r>
      <w:r>
        <w:rPr>
          <w:rFonts w:ascii="Times New Roman" w:hAnsi="Times New Roman" w:eastAsia="Times New Roman" w:cs="Times New Roman"/>
        </w:rPr>
        <w:t xml:space="preserve"> </w:t>
      </w:r>
      <w:r>
        <w:rPr>
          <w:rFonts w:ascii="Nirmala UI" w:hAnsi="Nirmala UI" w:eastAsia="Nirmala UI" w:cs="Nirmala UI"/>
        </w:rPr>
        <w:t>सेनाखौ</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लाहैनि</w:t>
      </w:r>
      <w:r>
        <w:rPr>
          <w:rFonts w:ascii="Times New Roman" w:hAnsi="Times New Roman" w:eastAsia="Times New Roman" w:cs="Times New Roman"/>
        </w:rPr>
        <w:t xml:space="preserve"> </w:t>
      </w:r>
      <w:r>
        <w:rPr>
          <w:rFonts w:ascii="Nirmala UI" w:hAnsi="Nirmala UI" w:eastAsia="Nirmala UI" w:cs="Nirmala UI"/>
        </w:rPr>
        <w:t>सान्फाराव</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फोजोबनायखौ</w:t>
      </w:r>
      <w:r>
        <w:rPr>
          <w:rFonts w:ascii="Times New Roman" w:hAnsi="Times New Roman" w:eastAsia="Times New Roman" w:cs="Times New Roman"/>
        </w:rPr>
        <w:t xml:space="preserve"> 1838 </w:t>
      </w:r>
      <w:r>
        <w:rPr>
          <w:rFonts w:ascii="Nirmala UI" w:hAnsi="Nirmala UI" w:eastAsia="Nirmala UI" w:cs="Nirmala UI"/>
        </w:rPr>
        <w:t>आरो</w:t>
      </w:r>
      <w:r>
        <w:rPr>
          <w:rFonts w:ascii="Times New Roman" w:hAnsi="Times New Roman" w:eastAsia="Times New Roman" w:cs="Times New Roman"/>
        </w:rPr>
        <w:t xml:space="preserve"> 1840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9/11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सानिबारनि</w:t>
      </w:r>
      <w:r>
        <w:rPr>
          <w:rFonts w:ascii="Times New Roman" w:hAnsi="Times New Roman" w:eastAsia="Times New Roman" w:cs="Times New Roman"/>
        </w:rPr>
        <w:t xml:space="preserve"> </w:t>
      </w:r>
      <w:r>
        <w:rPr>
          <w:rFonts w:ascii="Nirmala UI" w:hAnsi="Nirmala UI" w:eastAsia="Nirmala UI" w:cs="Nirmala UI"/>
        </w:rPr>
        <w:t>आइनेनि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1840 </w:t>
      </w:r>
      <w:r>
        <w:rPr>
          <w:rFonts w:ascii="Nirmala UI" w:hAnsi="Nirmala UI" w:eastAsia="Nirmala UI" w:cs="Nirmala UI"/>
        </w:rPr>
        <w:t>निफ्राय</w:t>
      </w:r>
      <w:r>
        <w:rPr>
          <w:rFonts w:ascii="Times New Roman" w:hAnsi="Times New Roman" w:eastAsia="Times New Roman" w:cs="Times New Roman"/>
        </w:rPr>
        <w:t xml:space="preserve"> 1844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December 31, 2023 </w:t>
      </w:r>
      <w:r>
        <w:rPr>
          <w:rFonts w:ascii="Nirmala UI" w:hAnsi="Nirmala UI" w:eastAsia="Nirmala UI" w:cs="Nirmala UI"/>
        </w:rPr>
        <w:t>निफ्राय</w:t>
      </w:r>
      <w:r>
        <w:rPr>
          <w:rFonts w:ascii="Times New Roman" w:hAnsi="Times New Roman" w:eastAsia="Times New Roman" w:cs="Times New Roman"/>
        </w:rPr>
        <w:t xml:space="preserve"> Nashville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फाइअरबलफोरनि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समायखौ</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होयो।</w:t>
      </w:r>
    </w:p>
    <w:p>
      <w:pPr>
        <w:pStyle w:val="ArticleHeading"/>
        <w:jc w:val="left"/>
      </w:pPr>
      <w:r>
        <w:rPr>
          <w:rFonts w:ascii="Microsoft YaHei" w:hAnsi="Microsoft YaHei" w:eastAsia="Microsoft YaHei" w:cs="Microsoft YaHei"/>
        </w:rPr>
        <w:t>東</w:t>
      </w:r>
      <w:r>
        <w:rPr>
          <w:rFonts w:ascii="MS Gothic" w:hAnsi="MS Gothic" w:eastAsia="MS Gothic" w:cs="MS Gothic"/>
        </w:rPr>
        <w:t>ローマ</w:t>
      </w:r>
      <w:r>
        <w:rPr>
          <w:rFonts w:ascii="Microsoft YaHei" w:hAnsi="Microsoft YaHei" w:eastAsia="Microsoft YaHei" w:cs="Microsoft YaHei"/>
        </w:rPr>
        <w:t>帝国</w:t>
      </w:r>
    </w:p>
    <w:p>
      <w:pPr>
        <w:pStyle w:val="ArticleBody"/>
        <w:jc w:val="left"/>
      </w:pP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भविष्यद्वाणीपरक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भविष्यद्वाणीपरक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भविष्यद्वाणीपरक</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कॉन्स्टैन्टिनोपल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कॉन्स्टैन्टिनोपल</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भविष्यद्वाणीपरक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27 </w:t>
      </w:r>
      <w:r>
        <w:rPr>
          <w:rFonts w:ascii="Nirmala UI" w:hAnsi="Nirmala UI" w:eastAsia="Nirmala UI" w:cs="Nirmala UI"/>
        </w:rPr>
        <w:t>जुलाई</w:t>
      </w:r>
      <w:r>
        <w:rPr>
          <w:rFonts w:ascii="Times New Roman" w:hAnsi="Times New Roman" w:eastAsia="Times New Roman" w:cs="Times New Roman"/>
        </w:rPr>
        <w:t xml:space="preserve">, 1299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150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38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4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1449 </w:t>
      </w:r>
      <w:r>
        <w:rPr>
          <w:rFonts w:ascii="Nirmala UI" w:hAnsi="Nirmala UI" w:eastAsia="Nirmala UI" w:cs="Nirmala UI"/>
        </w:rPr>
        <w:t>से</w:t>
      </w:r>
      <w:r>
        <w:rPr>
          <w:rFonts w:ascii="Times New Roman" w:hAnsi="Times New Roman" w:eastAsia="Times New Roman" w:cs="Times New Roman"/>
        </w:rPr>
        <w:t xml:space="preserve"> 1453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निकोमीडिया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अभियान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निकोमीडिया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p>
    <w:p>
      <w:pPr>
        <w:pStyle w:val="ArticleHeading"/>
        <w:jc w:val="left"/>
      </w:pPr>
      <w:r>
        <w:rPr>
          <w:rFonts w:ascii="Arial" w:hAnsi="Arial" w:eastAsia="Arial" w:cs="Arial"/>
        </w:rPr>
        <w:t>I can translate it, but I need to know what language “ff” refers to.</w:t>
      </w:r>
    </w:p>
    <w:p>
      <w:pPr>
        <w:pStyle w:val="ArticleBody"/>
        <w:jc w:val="left"/>
      </w:pPr>
      <w:r>
        <w:rPr>
          <w:rFonts w:ascii="Times New Roman" w:hAnsi="Times New Roman" w:eastAsia="Times New Roman" w:cs="Times New Roman"/>
        </w:rPr>
        <w:t>یک محاصرهٔ چهارساله در دورهٔ آغازینِ آن یکصد و پنجاه سال که به آن چهار سال، از خواریِ قسطنطینِ آخر در ۱۴۴۹ تا ۱۴۵۳، هنگامی که قسطنطنیه محاصره شد و سقوط کرد، انجامید. نبوتِ زمانیِ وایِ دوم که نمایانگر سیصد و نود و یک سال و پانزده روز است، در ۲۷ ژوئیهٔ ۱۴۴۹ آغاز شد و در ۱۱ اوتِ ۱۸۴۰ پایان یافت. آن تاریخ آغازِ یک دورهٔ چهارساله را نشان می‌دهد که خواهر وایت آن را تجلیِ باشکوهِ قدرتِ خدا نامید.</w:t>
      </w:r>
    </w:p>
    <w:p>
      <w:pPr>
        <w:pStyle w:val="ArticleScripture"/>
        <w:jc w:val="left"/>
      </w:pPr>
      <w:r>
        <w:rPr>
          <w:rFonts w:ascii="Times New Roman" w:hAnsi="Times New Roman" w:eastAsia="Times New Roman" w:cs="Times New Roman"/>
        </w:rPr>
        <w:t>« L’ange qui s’unit à la proclamation du message du troisième ange doit illuminer toute la terre de sa gloire. Une œuvre d’une portée mondiale et d’une puissance sans précédent est ici annoncée. Le mouvement adventiste de 1840–1844 fut une glorieuse manifestation de la puissance de Dieu ; le message du premier ange fut porté dans tous les postes missionnaires du monde, et, dans certains pays, il y eut le plus grand réveil religieux dont on ait été témoin en quelque contrée que ce soit depuis la Réforme du seizième siècle ; mais tout cela doit être surpassé par le puissant mouvement suscité sous le dernier avertissement du troisième ange. » The Great Controversy, 611.</w:t>
      </w:r>
    </w:p>
    <w:p>
      <w:pPr>
        <w:pStyle w:val="ArticleBody"/>
        <w:jc w:val="left"/>
      </w:pPr>
      <w:r>
        <w:rPr>
          <w:rFonts w:ascii="Times New Roman" w:hAnsi="Times New Roman" w:eastAsia="Times New Roman" w:cs="Times New Roman"/>
        </w:rPr>
        <w:t>L’islam fut retenu le 11 août 1840, et il y eut une période de quatre ans qui correspond à la fois à l’effusion du Saint-Esprit à la Pentecôte et à la descente de l’ange puissant d’Apocalypse 18, lorsque les « grands édifices » de New York furent frappés par l’islam du troisième malheur le 11/9. Le 11/9 marque le commencement du temps du scellement des cent quarante-quatre mille. Le scellement est une période de temps, et la fin de la période du scellement possède les caractéristiques du commencement de la période. Lorsque Christ descendit le 11/9, il préfigurait Michel descendant pour ressusciter les deux témoins le 31 décembre 2023, lorsque commença la période finale du scellement.</w:t>
      </w:r>
    </w:p>
    <w:p>
      <w:pPr>
        <w:pStyle w:val="ArticleBody"/>
        <w:jc w:val="left"/>
      </w:pP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नीनवेह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मुक्तियों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1453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इक्यानवे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पन्द्रह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akaapa kwa yeye aishiye milele na milele, aliyeziumba mbingu, na vitu vilivyomo ndani yake, na nchi, na vitu vilivyomo ndani yake, na bahari, na vitu vilivyomo ndani yake, kwamba wakati hautakuwapo tena. Ufunuo 10:6.</w:t>
      </w:r>
    </w:p>
    <w:p>
      <w:pPr>
        <w:pStyle w:val="ArticleHeading"/>
        <w:jc w:val="left"/>
      </w:pPr>
      <w:r>
        <w:rPr>
          <w:rFonts w:ascii="Arial" w:hAnsi="Arial" w:eastAsia="Arial" w:cs="Arial"/>
        </w:rPr>
        <w:t xml:space="preserve">1333 </w:t>
      </w:r>
      <w:r>
        <w:rPr>
          <w:rFonts w:ascii="Ebrima" w:hAnsi="Ebrima" w:eastAsia="Ebrima" w:cs="Ebrima"/>
        </w:rPr>
        <w:t>እስከ</w:t>
      </w:r>
      <w:r>
        <w:rPr>
          <w:rFonts w:ascii="Arial" w:hAnsi="Arial" w:eastAsia="Arial" w:cs="Arial"/>
        </w:rPr>
        <w:t xml:space="preserve"> 1337</w:t>
      </w:r>
      <w:r>
        <w:rPr>
          <w:rFonts w:ascii="Ebrima" w:hAnsi="Ebrima" w:eastAsia="Ebrima" w:cs="Ebrima"/>
        </w:rPr>
        <w:t>፣</w:t>
      </w:r>
      <w:r>
        <w:rPr>
          <w:rFonts w:ascii="Arial" w:hAnsi="Arial" w:eastAsia="Arial" w:cs="Arial"/>
        </w:rPr>
        <w:t xml:space="preserve"> 1449 </w:t>
      </w:r>
      <w:r>
        <w:rPr>
          <w:rFonts w:ascii="Ebrima" w:hAnsi="Ebrima" w:eastAsia="Ebrima" w:cs="Ebrima"/>
        </w:rPr>
        <w:t>እስከ</w:t>
      </w:r>
      <w:r>
        <w:rPr>
          <w:rFonts w:ascii="Arial" w:hAnsi="Arial" w:eastAsia="Arial" w:cs="Arial"/>
        </w:rPr>
        <w:t xml:space="preserve"> 1453</w:t>
      </w:r>
      <w:r>
        <w:rPr>
          <w:rFonts w:ascii="Ebrima" w:hAnsi="Ebrima" w:eastAsia="Ebrima" w:cs="Ebrima"/>
        </w:rPr>
        <w:t>፣</w:t>
      </w:r>
      <w:r>
        <w:rPr>
          <w:rFonts w:ascii="Arial" w:hAnsi="Arial" w:eastAsia="Arial" w:cs="Arial"/>
        </w:rPr>
        <w:t xml:space="preserve"> 1840 </w:t>
      </w:r>
      <w:r>
        <w:rPr>
          <w:rFonts w:ascii="Ebrima" w:hAnsi="Ebrima" w:eastAsia="Ebrima" w:cs="Ebrima"/>
        </w:rPr>
        <w:t>እስከ</w:t>
      </w:r>
      <w:r>
        <w:rPr>
          <w:rFonts w:ascii="Arial" w:hAnsi="Arial" w:eastAsia="Arial" w:cs="Arial"/>
        </w:rPr>
        <w:t xml:space="preserve"> 1844</w:t>
      </w:r>
    </w:p>
    <w:p>
      <w:pPr>
        <w:pStyle w:val="ArticleBody"/>
        <w:jc w:val="left"/>
      </w:pPr>
      <w:r>
        <w:rPr>
          <w:rFonts w:ascii="Times New Roman" w:hAnsi="Times New Roman" w:eastAsia="Times New Roman" w:cs="Times New Roman"/>
        </w:rPr>
        <w:t>Ces trois lignes de périodes de quatre ans s’alignent sur le temps du scellement depuis le 11 septembre jusqu’à la loi dominicale, et elles s’alignent aussi sur le fractal allant du 11 septembre jusqu’à la loi dominicale, lequel est représenté depuis le 31 décembre 2023 jusqu’à ce que l’islam soit de nouveau relâché pour lancer les boules de feu de Nashville.</w:t>
      </w:r>
    </w:p>
    <w:p>
      <w:pPr>
        <w:pStyle w:val="ArticleBody"/>
        <w:jc w:val="left"/>
      </w:pPr>
      <w:r>
        <w:rPr>
          <w:rFonts w:ascii="Times New Roman" w:hAnsi="Times New Roman" w:eastAsia="Times New Roman" w:cs="Times New Roman"/>
        </w:rPr>
        <w:t>De profetiska fraktalerna från den 31 december 2023 till Nashvilles eldkulor har förebildats genom tre fyraåriga profetiska perioder, vilka alla sammanfaller med beseglingstiden från 11 september till söndagslagen. Således identifierar fyra vittnen historien från den 31 december 2023 fram till attacken mot Nashville, och det var slaget om Nineve som är ”nyckeln” för vart och ett av dessa vittnen. 1333, 1449, 1840 och 11 september var alla vändpunkter — ”nycklar”.</w:t>
      </w:r>
    </w:p>
    <w:p>
      <w:pPr>
        <w:pStyle w:val="ArticleScripture"/>
        <w:jc w:val="left"/>
      </w:pPr>
      <w:r>
        <w:rPr>
          <w:rFonts w:ascii="Times New Roman" w:hAnsi="Times New Roman" w:eastAsia="Times New Roman" w:cs="Times New Roman"/>
        </w:rPr>
        <w:t>“Ka tisa nih hian zir tur zirlai a awm a; hengte hi ngaihven tura kohna siam a ni, mi zawng zawngin Pathian chuan a hmasawnna kalpui thin ang bawkin tunah hian pawh a thawk reng tih an hriat theih nan. A kut chu A hnathawhnaah leh ram hrang hrang zingah tunah pawh a lang a, chumi chu chanchin tha chu Eden huanah Adama hnena hmasa ber puan chhuah a nih atang khan a ni tawh ang bawkin a lang reng.”</w:t>
      </w:r>
    </w:p>
    <w:p>
      <w:pPr>
        <w:pStyle w:val="ArticleScripture"/>
        <w:jc w:val="left"/>
      </w:pPr>
      <w:r>
        <w:rPr>
          <w:rFonts w:ascii="Times New Roman" w:hAnsi="Times New Roman" w:eastAsia="Times New Roman" w:cs="Times New Roman"/>
        </w:rPr>
        <w:t>«نہایت ایسے ادوار ہوتے ہیں جو اقوام اور کلیسیا کی تاریخ میں نقطۂ تحول ثابت ہوتے ہیں۔ خدا کی عنایت میں، جب یہ مختلف بحران آتے ہیں، تو اُس وقت کے لیے نور عطا کیا جاتا ہے۔ اگر اسے قبول کر لیا جائے تو روحانی ترقی ہوتی ہے؛ اور اگر اسے رد کر دیا جائے تو روحانی زوال اور تباہیِ کامل اس کے پیچھے آتی ہے۔ خداوند نے اپنے کلام میں انجیل کے اُس پیش قدم کام کو آشکارا کیا ہے جیسا کہ وہ ماضی میں جاری رہا ہے، اور مستقبل میں بھی رہے گا، یہاں تک کہ آخری معرکہ برپا ہو، جب شیطانی قوتیں اپنی آخری حیرت انگیز جنبش کریں گی۔» Bible Echo, August 26, 1895.</w:t>
      </w:r>
    </w:p>
    <w:p>
      <w:pPr>
        <w:pStyle w:val="ArticleHeading"/>
        <w:jc w:val="left"/>
      </w:pPr>
      <w:r>
        <w:rPr>
          <w:rFonts w:ascii="Arial" w:hAnsi="Arial" w:eastAsia="Arial" w:cs="Arial"/>
        </w:rPr>
        <w:t>Nicomedia</w:t>
      </w:r>
    </w:p>
    <w:p>
      <w:pPr>
        <w:pStyle w:val="ArticleBody"/>
        <w:jc w:val="left"/>
      </w:pPr>
      <w:r>
        <w:rPr>
          <w:rFonts w:ascii="Times New Roman" w:hAnsi="Times New Roman" w:eastAsia="Times New Roman" w:cs="Times New Roman"/>
        </w:rPr>
        <w:t>Após tornar-se imperador em 284, Diocleciano, em 293, escolheu Nicomédia como a capital oriental do Império Romano quando dividiu legalmente o império em Oriente e Ocidente, estabelecendo o sistema da Tetrarquia. Nicomédia serviu como a principal capital administrativa e militar no Oriente durante várias décadas. Constantino, o Grande, utilizou-a como base antes de decidir construir a nova capital na vizinha Bizâncio (que ele renomeou Constantinopla em 330). Mesmo depois de Constantinopla se tornar a capital principal, Nicomédia permaneceu um importante centro regional, estrategicamente situada na margem oriental do Mar de Mármara. Assim, embora não fosse a capital permanente como Roma ou Constantinopla, Nicomédia foi oficialmente designada como a capital oriental durante um período decisivo de transição na história romana. No início dos cento e cinquenta anos, uma capital da Roma oriental é conquistada, e no fim, uma capital da Roma oriental é conquistada. Ambas as conquistas incluíram um cerco.</w:t>
      </w:r>
    </w:p>
    <w:p>
      <w:pPr>
        <w:pStyle w:val="ArticleHeading"/>
        <w:jc w:val="left"/>
      </w:pPr>
      <w:r>
        <w:rPr>
          <w:rFonts w:ascii="Arial" w:hAnsi="Arial" w:eastAsia="Arial" w:cs="Arial"/>
        </w:rPr>
        <w:t>Diocletian</w:t>
      </w:r>
    </w:p>
    <w:p>
      <w:pPr>
        <w:pStyle w:val="ArticleBody"/>
        <w:jc w:val="left"/>
      </w:pPr>
      <w:r>
        <w:rPr>
          <w:rFonts w:ascii="Ebrima" w:hAnsi="Ebrima" w:eastAsia="Ebrima" w:cs="Ebrima"/>
        </w:rPr>
        <w:t>ንጉሠ</w:t>
      </w:r>
      <w:r>
        <w:rPr>
          <w:rFonts w:ascii="Times New Roman" w:hAnsi="Times New Roman" w:eastAsia="Times New Roman" w:cs="Times New Roman"/>
        </w:rPr>
        <w:t xml:space="preserve"> </w:t>
      </w:r>
      <w:r>
        <w:rPr>
          <w:rFonts w:ascii="Ebrima" w:hAnsi="Ebrima" w:eastAsia="Ebrima" w:cs="Ebrima"/>
        </w:rPr>
        <w:t>ነገሥቱ</w:t>
      </w:r>
      <w:r>
        <w:rPr>
          <w:rFonts w:ascii="Times New Roman" w:hAnsi="Times New Roman" w:eastAsia="Times New Roman" w:cs="Times New Roman"/>
        </w:rPr>
        <w:t xml:space="preserve"> </w:t>
      </w:r>
      <w:r>
        <w:rPr>
          <w:rFonts w:ascii="Ebrima" w:hAnsi="Ebrima" w:eastAsia="Ebrima" w:cs="Ebrima"/>
        </w:rPr>
        <w:t>ዲዮቅልጥያኖስ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293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የቴትራርኪ</w:t>
      </w:r>
      <w:r>
        <w:rPr>
          <w:rFonts w:ascii="Times New Roman" w:hAnsi="Times New Roman" w:eastAsia="Times New Roman" w:cs="Times New Roman"/>
        </w:rPr>
        <w:t xml:space="preserve"> </w:t>
      </w:r>
      <w:r>
        <w:rPr>
          <w:rFonts w:ascii="Ebrima" w:hAnsi="Ebrima" w:eastAsia="Ebrima" w:cs="Ebrima"/>
        </w:rPr>
        <w:t>ሥርዓትን</w:t>
      </w:r>
      <w:r>
        <w:rPr>
          <w:rFonts w:ascii="Times New Roman" w:hAnsi="Times New Roman" w:eastAsia="Times New Roman" w:cs="Times New Roman"/>
        </w:rPr>
        <w:t xml:space="preserve"> </w:t>
      </w:r>
      <w:r>
        <w:rPr>
          <w:rFonts w:ascii="Ebrima" w:hAnsi="Ebrima" w:eastAsia="Ebrima" w:cs="Ebrima"/>
        </w:rPr>
        <w:t>በሥራ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ሲያውል</w:t>
      </w:r>
      <w:r>
        <w:rPr>
          <w:rFonts w:ascii="Times New Roman" w:hAnsi="Times New Roman" w:eastAsia="Times New Roman" w:cs="Times New Roman"/>
        </w:rPr>
        <w:t xml:space="preserve"> </w:t>
      </w:r>
      <w:r>
        <w:rPr>
          <w:rFonts w:ascii="Ebrima" w:hAnsi="Ebrima" w:eastAsia="Ebrima" w:cs="Ebrima"/>
        </w:rPr>
        <w:t>ኒቆሜድያን</w:t>
      </w:r>
      <w:r>
        <w:rPr>
          <w:rFonts w:ascii="Times New Roman" w:hAnsi="Times New Roman" w:eastAsia="Times New Roman" w:cs="Times New Roman"/>
        </w:rPr>
        <w:t xml:space="preserve"> </w:t>
      </w:r>
      <w:r>
        <w:rPr>
          <w:rFonts w:ascii="Ebrima" w:hAnsi="Ebrima" w:eastAsia="Ebrima" w:cs="Ebrima"/>
        </w:rPr>
        <w:t>የሮማ</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ምሥራቃዊ</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በይፋ</w:t>
      </w:r>
      <w:r>
        <w:rPr>
          <w:rFonts w:ascii="Times New Roman" w:hAnsi="Times New Roman" w:eastAsia="Times New Roman" w:cs="Times New Roman"/>
        </w:rPr>
        <w:t xml:space="preserve"> </w:t>
      </w:r>
      <w:r>
        <w:rPr>
          <w:rFonts w:ascii="Ebrima" w:hAnsi="Ebrima" w:eastAsia="Ebrima" w:cs="Ebrima"/>
        </w:rPr>
        <w:t>አደረጋት።</w:t>
      </w:r>
      <w:r>
        <w:rPr>
          <w:rFonts w:ascii="Times New Roman" w:hAnsi="Times New Roman" w:eastAsia="Times New Roman" w:cs="Times New Roman"/>
        </w:rPr>
        <w:t xml:space="preserve"> </w:t>
      </w:r>
      <w:r>
        <w:rPr>
          <w:rFonts w:ascii="Ebrima" w:hAnsi="Ebrima" w:eastAsia="Ebrima" w:cs="Ebrima"/>
        </w:rPr>
        <w:t>የቴትራርኪ</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ከመንግሥቱ</w:t>
      </w:r>
      <w:r>
        <w:rPr>
          <w:rFonts w:ascii="Times New Roman" w:hAnsi="Times New Roman" w:eastAsia="Times New Roman" w:cs="Times New Roman"/>
        </w:rPr>
        <w:t xml:space="preserve"> </w:t>
      </w:r>
      <w:r>
        <w:rPr>
          <w:rFonts w:ascii="Ebrima" w:hAnsi="Ebrima" w:eastAsia="Ebrima" w:cs="Ebrima"/>
        </w:rPr>
        <w:t>ምዕራባዊና</w:t>
      </w:r>
      <w:r>
        <w:rPr>
          <w:rFonts w:ascii="Times New Roman" w:hAnsi="Times New Roman" w:eastAsia="Times New Roman" w:cs="Times New Roman"/>
        </w:rPr>
        <w:t xml:space="preserve"> </w:t>
      </w:r>
      <w:r>
        <w:rPr>
          <w:rFonts w:ascii="Ebrima" w:hAnsi="Ebrima" w:eastAsia="Ebrima" w:cs="Ebrima"/>
        </w:rPr>
        <w:t>ምሥራቃዊ</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የተዋቀረ</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በምሥራቅና</w:t>
      </w:r>
      <w:r>
        <w:rPr>
          <w:rFonts w:ascii="Times New Roman" w:hAnsi="Times New Roman" w:eastAsia="Times New Roman" w:cs="Times New Roman"/>
        </w:rPr>
        <w:t xml:space="preserve"> </w:t>
      </w:r>
      <w:r>
        <w:rPr>
          <w:rFonts w:ascii="Ebrima" w:hAnsi="Ebrima" w:eastAsia="Ebrima" w:cs="Ebrima"/>
        </w:rPr>
        <w:t>በምዕራብ</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ከፍተኛ</w:t>
      </w:r>
      <w:r>
        <w:rPr>
          <w:rFonts w:ascii="Times New Roman" w:hAnsi="Times New Roman" w:eastAsia="Times New Roman" w:cs="Times New Roman"/>
        </w:rPr>
        <w:t xml:space="preserve"> </w:t>
      </w:r>
      <w:r>
        <w:rPr>
          <w:rFonts w:ascii="Ebrima" w:hAnsi="Ebrima" w:eastAsia="Ebrima" w:cs="Ebrima"/>
        </w:rPr>
        <w:t>ንጉሠ</w:t>
      </w:r>
      <w:r>
        <w:rPr>
          <w:rFonts w:ascii="Times New Roman" w:hAnsi="Times New Roman" w:eastAsia="Times New Roman" w:cs="Times New Roman"/>
        </w:rPr>
        <w:t xml:space="preserve"> </w:t>
      </w:r>
      <w:r>
        <w:rPr>
          <w:rFonts w:ascii="Ebrima" w:hAnsi="Ebrima" w:eastAsia="Ebrima" w:cs="Ebrima"/>
        </w:rPr>
        <w:t>ነገሥት</w:t>
      </w:r>
      <w:r>
        <w:rPr>
          <w:rFonts w:ascii="Times New Roman" w:hAnsi="Times New Roman" w:eastAsia="Times New Roman" w:cs="Times New Roman"/>
        </w:rPr>
        <w:t xml:space="preserve"> (Augusti)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ዝቅተኛ</w:t>
      </w:r>
      <w:r>
        <w:rPr>
          <w:rFonts w:ascii="Times New Roman" w:hAnsi="Times New Roman" w:eastAsia="Times New Roman" w:cs="Times New Roman"/>
        </w:rPr>
        <w:t xml:space="preserve"> </w:t>
      </w:r>
      <w:r>
        <w:rPr>
          <w:rFonts w:ascii="Ebrima" w:hAnsi="Ebrima" w:eastAsia="Ebrima" w:cs="Ebrima"/>
        </w:rPr>
        <w:t>ንጉሠ</w:t>
      </w:r>
      <w:r>
        <w:rPr>
          <w:rFonts w:ascii="Times New Roman" w:hAnsi="Times New Roman" w:eastAsia="Times New Roman" w:cs="Times New Roman"/>
        </w:rPr>
        <w:t xml:space="preserve"> </w:t>
      </w:r>
      <w:r>
        <w:rPr>
          <w:rFonts w:ascii="Ebrima" w:hAnsi="Ebrima" w:eastAsia="Ebrima" w:cs="Ebrima"/>
        </w:rPr>
        <w:t>ነገሥት</w:t>
      </w:r>
      <w:r>
        <w:rPr>
          <w:rFonts w:ascii="Times New Roman" w:hAnsi="Times New Roman" w:eastAsia="Times New Roman" w:cs="Times New Roman"/>
        </w:rPr>
        <w:t xml:space="preserve"> (Caesar) </w:t>
      </w:r>
      <w:r>
        <w:rPr>
          <w:rFonts w:ascii="Ebrima" w:hAnsi="Ebrima" w:eastAsia="Ebrima" w:cs="Ebrima"/>
        </w:rPr>
        <w:t>ይኖሩ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‘tetrarchy’ </w:t>
      </w:r>
      <w:r>
        <w:rPr>
          <w:rFonts w:ascii="Ebrima" w:hAnsi="Ebrima" w:eastAsia="Ebrima" w:cs="Ebrima"/>
        </w:rPr>
        <w:t>በተባለው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የሚወከለውን</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ያበጅ</w:t>
      </w:r>
      <w:r>
        <w:rPr>
          <w:rFonts w:ascii="Times New Roman" w:hAnsi="Times New Roman" w:eastAsia="Times New Roman" w:cs="Times New Roman"/>
        </w:rPr>
        <w:t xml:space="preserve"> </w:t>
      </w:r>
      <w:r>
        <w:rPr>
          <w:rFonts w:ascii="Ebrima" w:hAnsi="Ebrima" w:eastAsia="Ebrima" w:cs="Ebrima"/>
        </w:rPr>
        <w:t>ነበር።</w:t>
      </w:r>
    </w:p>
    <w:p>
      <w:pPr>
        <w:pStyle w:val="ArticleHeading"/>
        <w:jc w:val="left"/>
      </w:pPr>
      <w:r>
        <w:rPr>
          <w:rFonts w:ascii="Arial" w:hAnsi="Arial" w:eastAsia="Arial" w:cs="Arial"/>
        </w:rPr>
        <w:t>Alfa na Omega</w:t>
      </w:r>
    </w:p>
    <w:p>
      <w:pPr>
        <w:pStyle w:val="ArticleBody"/>
        <w:jc w:val="left"/>
      </w:pPr>
      <w:r>
        <w:rPr>
          <w:rFonts w:ascii="Times New Roman" w:hAnsi="Times New Roman" w:eastAsia="Times New Roman" w:cs="Times New Roman"/>
        </w:rPr>
        <w:t>Dioclétien est le symbole oméga de l’Église de Smyrne, et Néron en est le symbole alpha. Constantin le Grand est le symbole alpha de l’Église de Pergame, et Justinien en est le symbole oméga.</w:t>
      </w:r>
    </w:p>
    <w:p>
      <w:pPr>
        <w:pStyle w:val="ArticleBody"/>
        <w:jc w:val="left"/>
      </w:pPr>
      <w:r>
        <w:rPr>
          <w:rFonts w:ascii="Times New Roman" w:hAnsi="Times New Roman" w:eastAsia="Times New Roman" w:cs="Times New Roman"/>
        </w:rPr>
        <w:t>La division « juridique » de Rome entre l’orient et l’occident (qui ne dura pas) fut accomplie par Dioclétien, et la division prophétique de Rome entre l’orient et l’occident fut accomplie par Constantin. Au cours de l’histoire de la deuxième Église symbolique de persécution, représentée par Smyrne, Rome fut juridiquement divisée entre l’orient et l’occident, et dans l’histoire de la troisième Église symbolique de compromis, représentée par Pergame, Rome fut prophétiquement divisée entre l’orient et l’occident. 293 fut l’alpha et 330 fut l’oméga, et le 11 mai 330, Constantin le Grand consacra Constantinople comme capitale de l’Empire.</w:t>
      </w:r>
    </w:p>
    <w:p>
      <w:pPr>
        <w:pStyle w:val="ArticleBody"/>
        <w:jc w:val="left"/>
      </w:pPr>
      <w:r>
        <w:rPr>
          <w:rFonts w:ascii="Times New Roman" w:hAnsi="Times New Roman" w:eastAsia="Times New Roman" w:cs="Times New Roman"/>
        </w:rPr>
        <w:t>A divisão legal promovida por Diocleciano em 293 desfez-se por meio da guerra civil que se seguiu, até o Édito de Milão, no ano 313, quando Constantino do Oriente e Licínio do Ocidente promulgaram o Édito de Milão, legalizando o cristianismo e pondo efetivamente fim à Tetrarquia — o sistema de quatro governantes coordenados que se desintegrou numa luta entre dois poderes principais (Constantino no Ocidente e Licínio no Oriente). A divisão legal, que introduziu um colapso, representa um período de vinte anos, de divisão a divisão, e ambas as divisões precipitaram um colapso do sistema.</w:t>
      </w:r>
    </w:p>
    <w:p>
      <w:pPr>
        <w:pStyle w:val="ArticleBody"/>
        <w:jc w:val="left"/>
      </w:pPr>
      <w:r>
        <w:rPr>
          <w:rFonts w:ascii="Times New Roman" w:hAnsi="Times New Roman" w:eastAsia="Times New Roman" w:cs="Times New Roman"/>
        </w:rPr>
        <w:t>Kanisa la Smirna lilianza na Nero mnamo mwaka 64, wakati ule moto mkuu wa Rumi ulipotumiwa na Nero kuwatesa Wakristo, ambao Nero aliwashutumu kwamba ndio walioanzisha moto huo. Nero huashiria mwanzo wa mateso, naye ni mfano wa mateso ya mwisho ya siku za mwisho. Mateso hayo ya mwisho yanaendelea hadi kufungwa kwa muda wa rehema, hapo nguvu ya upapa inapofikia mwisho wake bila yeyote wa kuisaidia. Hivyo kipindi cha kwanza cha mateso kilianza kwa kuteketezwa kwa Rumi, nacho kinaishia kwa kuteketezwa kwa Rumi.</w:t>
      </w:r>
    </w:p>
    <w:p>
      <w:pPr>
        <w:pStyle w:val="ArticleScripture"/>
        <w:jc w:val="left"/>
      </w:pPr>
      <w:r>
        <w:rPr>
          <w:rFonts w:ascii="Ebrima" w:hAnsi="Ebrima" w:eastAsia="Ebrima" w:cs="Ebrima"/>
        </w:rPr>
        <w:t>ዐሥሩም</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በአውሬው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ያየሃቸው፥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ጋለሞታይቱን</w:t>
      </w:r>
      <w:r>
        <w:rPr>
          <w:rFonts w:ascii="Times New Roman" w:hAnsi="Times New Roman" w:eastAsia="Times New Roman" w:cs="Times New Roman"/>
        </w:rPr>
        <w:t xml:space="preserve"> </w:t>
      </w:r>
      <w:r>
        <w:rPr>
          <w:rFonts w:ascii="Ebrima" w:hAnsi="Ebrima" w:eastAsia="Ebrima" w:cs="Ebrima"/>
        </w:rPr>
        <w:t>ይጠሉአታል፤</w:t>
      </w:r>
      <w:r>
        <w:rPr>
          <w:rFonts w:ascii="Times New Roman" w:hAnsi="Times New Roman" w:eastAsia="Times New Roman" w:cs="Times New Roman"/>
        </w:rPr>
        <w:t xml:space="preserve"> </w:t>
      </w:r>
      <w:r>
        <w:rPr>
          <w:rFonts w:ascii="Ebrima" w:hAnsi="Ebrima" w:eastAsia="Ebrima" w:cs="Ebrima"/>
        </w:rPr>
        <w:t>ባዶና</w:t>
      </w:r>
      <w:r>
        <w:rPr>
          <w:rFonts w:ascii="Times New Roman" w:hAnsi="Times New Roman" w:eastAsia="Times New Roman" w:cs="Times New Roman"/>
        </w:rPr>
        <w:t xml:space="preserve"> </w:t>
      </w:r>
      <w:r>
        <w:rPr>
          <w:rFonts w:ascii="Ebrima" w:hAnsi="Ebrima" w:eastAsia="Ebrima" w:cs="Ebrima"/>
        </w:rPr>
        <w:t>ዕራቁት</w:t>
      </w:r>
      <w:r>
        <w:rPr>
          <w:rFonts w:ascii="Times New Roman" w:hAnsi="Times New Roman" w:eastAsia="Times New Roman" w:cs="Times New Roman"/>
        </w:rPr>
        <w:t xml:space="preserve"> </w:t>
      </w:r>
      <w:r>
        <w:rPr>
          <w:rFonts w:ascii="Ebrima" w:hAnsi="Ebrima" w:eastAsia="Ebrima" w:cs="Ebrima"/>
        </w:rPr>
        <w:t>ያደርጓታል፤</w:t>
      </w:r>
      <w:r>
        <w:rPr>
          <w:rFonts w:ascii="Times New Roman" w:hAnsi="Times New Roman" w:eastAsia="Times New Roman" w:cs="Times New Roman"/>
        </w:rPr>
        <w:t xml:space="preserve"> </w:t>
      </w:r>
      <w:r>
        <w:rPr>
          <w:rFonts w:ascii="Ebrima" w:hAnsi="Ebrima" w:eastAsia="Ebrima" w:cs="Ebrima"/>
        </w:rPr>
        <w:t>ሥጋዋንም</w:t>
      </w:r>
      <w:r>
        <w:rPr>
          <w:rFonts w:ascii="Times New Roman" w:hAnsi="Times New Roman" w:eastAsia="Times New Roman" w:cs="Times New Roman"/>
        </w:rPr>
        <w:t xml:space="preserve"> </w:t>
      </w:r>
      <w:r>
        <w:rPr>
          <w:rFonts w:ascii="Ebrima" w:hAnsi="Ebrima" w:eastAsia="Ebrima" w:cs="Ebrima"/>
        </w:rPr>
        <w:t>ይበላሉ፤</w:t>
      </w:r>
      <w:r>
        <w:rPr>
          <w:rFonts w:ascii="Times New Roman" w:hAnsi="Times New Roman" w:eastAsia="Times New Roman" w:cs="Times New Roman"/>
        </w:rPr>
        <w:t xml:space="preserve"> </w:t>
      </w:r>
      <w:r>
        <w:rPr>
          <w:rFonts w:ascii="Ebrima" w:hAnsi="Ebrima" w:eastAsia="Ebrima" w:cs="Ebrima"/>
        </w:rPr>
        <w:t>በእሳትም</w:t>
      </w:r>
      <w:r>
        <w:rPr>
          <w:rFonts w:ascii="Times New Roman" w:hAnsi="Times New Roman" w:eastAsia="Times New Roman" w:cs="Times New Roman"/>
        </w:rPr>
        <w:t xml:space="preserve"> </w:t>
      </w:r>
      <w:r>
        <w:rPr>
          <w:rFonts w:ascii="Ebrima" w:hAnsi="Ebrima" w:eastAsia="Ebrima" w:cs="Ebrima"/>
        </w:rPr>
        <w:t>ያቃጥሏታል።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17</w:t>
      </w:r>
      <w:r>
        <w:rPr>
          <w:rFonts w:ascii="Ebrima" w:hAnsi="Ebrima" w:eastAsia="Ebrima" w:cs="Ebrima"/>
        </w:rPr>
        <w:t>፥</w:t>
      </w:r>
      <w:r>
        <w:rPr>
          <w:rFonts w:ascii="Times New Roman" w:hAnsi="Times New Roman" w:eastAsia="Times New Roman" w:cs="Times New Roman"/>
        </w:rPr>
        <w:t>16</w:t>
      </w:r>
    </w:p>
    <w:p>
      <w:pPr>
        <w:pStyle w:val="ArticleBody"/>
        <w:jc w:val="left"/>
      </w:pPr>
      <w:r>
        <w:rPr>
          <w:rFonts w:ascii="Times New Roman" w:hAnsi="Times New Roman" w:eastAsia="Times New Roman" w:cs="Times New Roman"/>
        </w:rPr>
        <w:t>Lubandla lwaseSmyrna lwaqala ngoNero ngonyaka ka-64, lapho umlilo omkhulu waseRoma wasetshenziswa nguNero ukuhlupha amaKristu, uNero awamangalela ngokuthi yiwo aqala lowo mlilo. Eminyakeni engamakhulu amabili namashumi amahlanu kamuva lwaphela ngo-313 nge-Edict of Milan. “Isimemezelo” siyisiphetho sesikhathi seminyaka engamashumi amabili esaqala ngokwehlukaniswa kombuso ngokomthetho okwenziwa nguDiocletian, futhi sasiyisiphetho futhi seminyaka engamakhulu amabili namashumi amahlanu yaseSmyrna eyaqala ngoNero. Leyo minyaka engamakhulu amabili namashumi amahlanu yokuhlushwa emelwe yibandla laseSmyrna noNero yayihlanganisa iminyaka eyishumi yokuhlushwa okubi kakhulu okwalethwa nguDiocletian. Leyo minyaka eyishumi yokuhlushwa yayiyingxenye yokugcina yeminyaka engamashumi amabili kaDiocletian eyaqala ngokwehlukaniswa kwakhe kombuso ngokomthetho ngo-293. Kusukela ekuhlukanisweni kombuso ngokomthetho waba ngasempumalanga nangasentshonalanga okwenziwa nguDiocletian ngo-293, kwaqala isikhathi seminyaka engamashumi amabili esakhiwa izikhathi ezimbili zeminyaka eyishumi.</w:t>
      </w:r>
    </w:p>
    <w:p>
      <w:pPr>
        <w:pStyle w:val="ArticleBody"/>
        <w:jc w:val="left"/>
      </w:pPr>
      <w:r>
        <w:rPr>
          <w:rFonts w:ascii="Times New Roman" w:hAnsi="Times New Roman" w:eastAsia="Times New Roman" w:cs="Times New Roman"/>
        </w:rPr>
        <w:t>Dioclétien divisa légalement l’empire en Orient et en Occident, préfigurant ainsi la division prophétique accomplie par Constantin. La division de Dioclétien était entre l’Orient et l’Occident, mais elle se composait de deux dirigeants en Orient et de deux dirigeants en Occident : un dirigeant principal et un dirigeant secondaire pour chaque région. Le 23 février 303, Dioclétien promulgua le premier de plusieurs « édits » contre les chrétiens, marquant le commencement de la Grande Persécution (également appelée la persécution de Dioclétien), la persécution des chrétiens la plus sévère et la plus étendue dans l’Empire romain.</w:t>
      </w:r>
    </w:p>
    <w:p>
      <w:pPr>
        <w:pStyle w:val="ArticleScripture"/>
        <w:jc w:val="left"/>
      </w:pPr>
      <w:r>
        <w:rPr>
          <w:rFonts w:ascii="Times New Roman" w:hAnsi="Times New Roman" w:eastAsia="Times New Roman" w:cs="Times New Roman"/>
        </w:rPr>
        <w:t>Nandikira ngirozi y’itorero ryo mu Smurna uti: Uku ni ko Uwa mbere n’Uwa nyuma avuga, uwapfuye kandi akaba ari muzima. Nzi imirimo yawe, n’amakuba, n’ubukene bwawe (nyamara uri umutunzi), kandi nzi n’ibitutsi by’abavuga ko ari Abayahudi, nyamara atari bo, ahubwo ari isinagogi ya Satani. Ntutinye na kimwe mu byo ugiye kubabazwa; dore, Satani agiye kujugunya bamwe muri mwe muri gereza kugira ngo mugeragezwe; kandi muzagira amakuba iminsi cumi. Ujye uba uwizerwa kugeza ku rupfu, nanjye nzaguha ikamba ry’ubugingo. Ufite ugutwi niyumve icyo Umwuka abwira amatorero; unesha ntazagirwa icyo atwarwaho n’urupfu rwa kabiri. Ibyahishuwe 2:8–10.</w:t>
      </w:r>
    </w:p>
    <w:p>
      <w:pPr>
        <w:pStyle w:val="ArticleBody"/>
        <w:jc w:val="left"/>
      </w:pPr>
      <w:r>
        <w:rPr>
          <w:rFonts w:ascii="Times New Roman" w:hAnsi="Times New Roman" w:eastAsia="Times New Roman" w:cs="Times New Roman"/>
        </w:rPr>
        <w:t>Ҷазои бузург таҳти ворисони Диоклетиан (махсусан Галерий) то соли 313 идома ёфт, замоне ки он бо Фармони Милан ба поён расид. Нерон рамзи алфаии таъқиб аст, ки Диоклетианро ҳамчун таъқиби омегавии давраи нубувватӣ, ки аз ҷониби калисои Смирно намояндагӣ мешавад, намунавор нишон медод. Таъқиб бо издивоҷи сиёсӣ ва аҳдномае миёни Константини шарқ ва Лицинии ғарб анҷом ёфт. Дар моҳи феврали соли 313, Константин ва Лициний дар Милан мулоқот карданд ва Фармони Миланро содир намуданд, ки ба масеҳиён (ва дигарон) дар саросари империя таҳаммулпазирии динӣ ато мекард. Барои таҳкими иттиҳоди сиёсии худ, Лициний дар ҷараёни ин мулоқот ё дар атрофи он бо Констансия (хоҳари нимхунии Константин) издивоҷ кард. Ин издивоҷ як иттиҳоди сиёсии маъмулии румӣ буд, ки созишномаи миёни ду императорро мӯҳр мезад ва пас аз солҳои ҷанги шаҳрвандӣ ба муваққатан субот ёфтани империя кумак кард. Ин иттиҳод дер напоид. Константин ва Лициний баъдтар бо ҳам ҷангиданд, ва Константин дар соли 324 Лицинийро мағлуб намуда, ҳокими ягона гардид.</w:t>
      </w:r>
    </w:p>
    <w:p>
      <w:pPr>
        <w:pStyle w:val="ArticleBody"/>
        <w:jc w:val="left"/>
      </w:pPr>
      <w:r>
        <w:rPr>
          <w:rFonts w:ascii="Times New Roman" w:hAnsi="Times New Roman" w:eastAsia="Times New Roman" w:cs="Times New Roman"/>
        </w:rPr>
        <w:t>Kutoka kwa Nero hadi kwa Konstantino, kipindi cha kinabii cha Smirna cha miaka mia mbili na hamsini kilitimizwa, na mwaka 313 kanisa la Pergamo, yaani kanisa la maridhiano, lilianza, likifikia mwisho wake pamoja na kanisa la Thiatira mwaka 538. Miaka hiyo mia mbili na hamsini ya Smirna iliwasilisha kipindi cha mateso, na mwishoni mwa kipindi hicho cha jumla, mateso ya Diokletiano yalitimiza “siku kumi” za Ufunuo (miaka kumi), ambapo kipindi kilicho kibaya zaidi cha mateso kinawakilisha fractal ya kipindi chote kwa ujumla. Miaka hiyo kumi ni fractal ya miaka mia mbili na hamsini. Miaka hiyo kumi inawakilisha omega ya mateso ya Nero, na katika hitimisho lake, mgawanyiko wa omega wa himaya katika mashariki na magharibi.</w:t>
      </w:r>
    </w:p>
    <w:p>
      <w:pPr>
        <w:pStyle w:val="ArticleHeading"/>
        <w:jc w:val="left"/>
      </w:pPr>
      <w:r>
        <w:rPr>
          <w:rFonts w:ascii="Arial" w:hAnsi="Arial" w:eastAsia="Arial" w:cs="Arial"/>
        </w:rPr>
        <w:t>Nikoh va ajralish</w:t>
      </w:r>
    </w:p>
    <w:p>
      <w:pPr>
        <w:pStyle w:val="ArticleBody"/>
        <w:jc w:val="left"/>
      </w:pPr>
      <w:r>
        <w:rPr>
          <w:rFonts w:ascii="Times New Roman" w:hAnsi="Times New Roman" w:eastAsia="Times New Roman" w:cs="Times New Roman"/>
        </w:rPr>
        <w:t>Smyrna e simlil 64 khan chhungkhua an hal lai atangin, kum zabi hnih leh sawmnga hnuah 313-ah Milan Thupek leh chhimlam leh tlanglei ramte inlaichin dân hmangin a tawp a ni. Tihduhdahna kum sawm “fractal” chu 303-ah a tan a, 313-ah Milan Thupek leh chhimlam leh tlanglei ramte inlaichin dân hmangin a tawp a ni. Diocletian-in 293-ah chhimlam leh tlanglei ramte dân anga a then hran aṭanga kum sawm hnih chu 313-ah chhimlam leh tlanglei ramte inlaichin dân hmangin a tawp a ni. 313-a chhimlam leh tlanglei ramte inkawpna thuthlung chu 324-a thenlehnain a tawp a ni; chu lai chuan Constantine-in tlanglei ram Licinius a hneh a, Rome lalber pakhat chauh a lo ni ta. 324-a hrilhlawk thenlehna chu 321-a Sunday dân hmasa ber hnua kum thumah a lo thleng a ni.</w:t>
      </w:r>
    </w:p>
    <w:p>
      <w:pPr>
        <w:pStyle w:val="ArticleBody"/>
        <w:jc w:val="left"/>
      </w:pPr>
      <w:r>
        <w:rPr>
          <w:rFonts w:ascii="Nirmala UI" w:hAnsi="Nirmala UI" w:eastAsia="Nirmala UI" w:cs="Nirmala UI"/>
        </w:rPr>
        <w:t>३१३</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३३०</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वर्षहरूले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विवाहलाई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नीरोद्वारा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पर्गामोसद्वारा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सम्झौतावादी</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३१३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विवाहसँगै</w:t>
      </w:r>
      <w:r>
        <w:rPr>
          <w:rFonts w:ascii="Times New Roman" w:hAnsi="Times New Roman" w:eastAsia="Times New Roman" w:cs="Times New Roman"/>
        </w:rPr>
        <w:t xml:space="preserve"> </w:t>
      </w:r>
      <w:r>
        <w:rPr>
          <w:rFonts w:ascii="Nirmala UI" w:hAnsi="Nirmala UI" w:eastAsia="Nirmala UI" w:cs="Nirmala UI"/>
        </w:rPr>
        <w:t>पर्गामोसको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भएपछि</w:t>
      </w:r>
      <w:r>
        <w:rPr>
          <w:rFonts w:ascii="Times New Roman" w:hAnsi="Times New Roman" w:eastAsia="Times New Roman" w:cs="Times New Roman"/>
        </w:rPr>
        <w:t xml:space="preserve">, </w:t>
      </w:r>
      <w:r>
        <w:rPr>
          <w:rFonts w:ascii="Nirmala UI" w:hAnsi="Nirmala UI" w:eastAsia="Nirmala UI" w:cs="Nirmala UI"/>
        </w:rPr>
        <w:t>३२१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व्यवस्थासँग</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३२४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पश्चिमलाई</w:t>
      </w:r>
      <w:r>
        <w:rPr>
          <w:rFonts w:ascii="Times New Roman" w:hAnsi="Times New Roman" w:eastAsia="Times New Roman" w:cs="Times New Roman"/>
        </w:rPr>
        <w:t xml:space="preserve"> </w:t>
      </w:r>
      <w:r>
        <w:rPr>
          <w:rFonts w:ascii="Nirmala UI" w:hAnsi="Nirmala UI" w:eastAsia="Nirmala UI" w:cs="Nirmala UI"/>
        </w:rPr>
        <w:t>कन्स्टान्टाइनको</w:t>
      </w:r>
      <w:r>
        <w:rPr>
          <w:rFonts w:ascii="Times New Roman" w:hAnsi="Times New Roman" w:eastAsia="Times New Roman" w:cs="Times New Roman"/>
        </w:rPr>
        <w:t xml:space="preserve"> </w:t>
      </w:r>
      <w:r>
        <w:rPr>
          <w:rFonts w:ascii="Nirmala UI" w:hAnsi="Nirmala UI" w:eastAsia="Nirmala UI" w:cs="Nirmala UI"/>
        </w:rPr>
        <w:t>अधीनमा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साम्राज्यमा</w:t>
      </w:r>
      <w:r>
        <w:rPr>
          <w:rFonts w:ascii="Times New Roman" w:hAnsi="Times New Roman" w:eastAsia="Times New Roman" w:cs="Times New Roman"/>
        </w:rPr>
        <w:t xml:space="preserve"> </w:t>
      </w:r>
      <w:r>
        <w:rPr>
          <w:rFonts w:ascii="Nirmala UI" w:hAnsi="Nirmala UI" w:eastAsia="Nirmala UI" w:cs="Nirmala UI"/>
        </w:rPr>
        <w:t>ल्यायो।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३३०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वर्षहरूले</w:t>
      </w:r>
      <w:r>
        <w:rPr>
          <w:rFonts w:ascii="Times New Roman" w:hAnsi="Times New Roman" w:eastAsia="Times New Roman" w:cs="Times New Roman"/>
        </w:rPr>
        <w:t xml:space="preserve"> </w:t>
      </w:r>
      <w:r>
        <w:rPr>
          <w:rFonts w:ascii="Nirmala UI" w:hAnsi="Nirmala UI" w:eastAsia="Nirmala UI" w:cs="Nirmala UI"/>
        </w:rPr>
        <w:t>पर्गामोस</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थियातिरा</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५३८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नगरेसम्म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अवधिले</w:t>
      </w:r>
      <w:r>
        <w:rPr>
          <w:rFonts w:ascii="Times New Roman" w:hAnsi="Times New Roman" w:eastAsia="Times New Roman" w:cs="Times New Roman"/>
        </w:rPr>
        <w:t xml:space="preserve"> </w:t>
      </w:r>
      <w:r>
        <w:rPr>
          <w:rFonts w:ascii="Nirmala UI" w:hAnsi="Nirmala UI" w:eastAsia="Nirmala UI" w:cs="Nirmala UI"/>
        </w:rPr>
        <w:t>३३०</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५३८</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पर्गामोसको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इतिहासले</w:t>
      </w:r>
      <w:r>
        <w:rPr>
          <w:rFonts w:ascii="Times New Roman" w:hAnsi="Times New Roman" w:eastAsia="Times New Roman" w:cs="Times New Roman"/>
        </w:rPr>
        <w:t xml:space="preserve"> </w:t>
      </w:r>
      <w:r>
        <w:rPr>
          <w:rFonts w:ascii="Nirmala UI" w:hAnsi="Nirmala UI" w:eastAsia="Nirmala UI" w:cs="Nirmala UI"/>
        </w:rPr>
        <w:t>४९६</w:t>
      </w:r>
      <w:r>
        <w:rPr>
          <w:rFonts w:ascii="Times New Roman" w:hAnsi="Times New Roman" w:eastAsia="Times New Roman" w:cs="Times New Roman"/>
        </w:rPr>
        <w:t xml:space="preserve">, </w:t>
      </w:r>
      <w:r>
        <w:rPr>
          <w:rFonts w:ascii="Nirmala UI" w:hAnsi="Nirmala UI" w:eastAsia="Nirmala UI" w:cs="Nirmala UI"/>
        </w:rPr>
        <w:t>५०८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५३३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p>
    <w:p>
      <w:pPr>
        <w:pStyle w:val="ArticleHeading"/>
        <w:jc w:val="left"/>
      </w:pPr>
      <w:r>
        <w:rPr>
          <w:rFonts w:ascii="Arial" w:hAnsi="Arial" w:eastAsia="Arial" w:cs="Arial"/>
        </w:rPr>
        <w:t>Kumi na Saba za Miaka</w:t>
      </w:r>
    </w:p>
    <w:p>
      <w:pPr>
        <w:pStyle w:val="ArticleBody"/>
        <w:jc w:val="left"/>
      </w:pPr>
      <w:r>
        <w:rPr>
          <w:rFonts w:ascii="Times New Roman" w:hAnsi="Times New Roman" w:eastAsia="Times New Roman" w:cs="Times New Roman"/>
        </w:rPr>
        <w:t>Ptolemy wa nkhondo ya Raphia analamulira “zaka khumi ndi zisanu ndi ziwiri,” ndipo panali “zaka khumi ndi zisanu ndi ziwiri” pakati pa nkhondo ya Raphia ndi nkhondo ya Panium. Zaka khumi ndi zisanu ndi ziwirizo zikugwirizana mwa chizindikiro ndi zaka khumi ndi zisanu ndi ziwiri kuyambira 313 kufika 330. Zaka mazana awiri ndi makumi asanu za Nero za Smurna zinatsogolera ku zaka khumi ndi zisanu ndi ziwiri zoyambirira za mpingo wa Pergamo, ndipo zikugwirizana ndi zaka mazana awiri ndi makumi asanu zimene zinayamba pa lamulo lachitatu mu 457BC, malo oyambira a zaka 2300 a Danieli 8:14, ndipo ndi maziko ndi mzati wapakati wa Chiadiventi. Mboni ziwiri za zaka mazana awiri ndi makumi asanu zikugwirizana ndi zaka mazana awiri ndi makumi asanu za ufumu wachisanu ndi chimodzi wa uneneri wa m’Baibulo umene unayamba mu 1776 ndipo umatha chaka chino mu 2026.</w:t>
      </w:r>
    </w:p>
    <w:p>
      <w:pPr>
        <w:pStyle w:val="ArticleBody"/>
        <w:jc w:val="left"/>
      </w:pPr>
      <w:r>
        <w:rPr>
          <w:rFonts w:ascii="Times New Roman" w:hAnsi="Times New Roman" w:eastAsia="Times New Roman" w:cs="Times New Roman"/>
        </w:rPr>
        <w:t>Wa adhisi a Adventismu avhango ngo vhona kana u pfesesa miṅwaha ya fumiiṱhanu na mivhili ya 313 u swika 330, ngauri nga 1844 vho vha vha sa athu u pfesesa na luthihi mafhungo a Sabatha ya ḓuvha ḽa vhusumbe kana ḓuvha ḽa ḓuvha. Naho zwo ralo, vho zwi ḓivha miṅwaha ya ḓana na maṱanu ya ndimana ya fumi ya Nzumbululo ya 9, nahone ya vha mathomo a tshifhinga tsho isa kha miṅwaha ya ḓana tharu na fuiṋa-thihi na maḓuvha a fumiiṱhanu zwe zwa fhela nga 11 Ṱhangule, 1840. Uho u pfesesa ho bveledza “tsumbedzo khulu ya maanḓa a Mudzimu.”</w:t>
      </w:r>
    </w:p>
    <w:p>
      <w:pPr>
        <w:pStyle w:val="ArticleBody"/>
        <w:jc w:val="left"/>
      </w:pPr>
      <w:r>
        <w:rPr>
          <w:rFonts w:ascii="Times New Roman" w:hAnsi="Times New Roman" w:eastAsia="Times New Roman" w:cs="Times New Roman"/>
        </w:rPr>
        <w:t>Les pionniers n’ont pas reconnu une seconde période de cent cinquante ans dans Apocalypse neuf. Leur compréhension fondamentale représente la plateforme sur laquelle est édifiée la « lumière nouvelle » d’Apocalypse neuf. Cette lumière est ouverte par la « clé » de la bataille de Ninive. Cette « clé » permet à l’étudiant de la prophétie de reconnaître tous les royaumes de la prophétie biblique représentés dans Daniel et l’Apocalypse. Babylone, la Médo-Perse, la Grèce, les empires séleucide et ptolémaïque, le royaume de Mahomet, et, plus significativement encore, elle magnifie l’empire de Rome en identifiant l’ascension et la chute non seulement de Rome, mais aussi des royaumes de l’Orient et de l’Occident romains, ainsi que des États-Unis (le faux prophète), de la papauté (la bête) et des Nations Unies (le dragon). Toutes les ascensions et toutes les chutes de ces royaumes rendent témoignage aux mouvements du dragon, de la bête et du faux prophète, qui conduisent finalement le monde à Armageddon. Ce mouvement est représenté dans les six derniers versets de Daniel onze, et le commencement de ce mouvement est représenté dans l’histoire cachée du verset quarante.</w:t>
      </w:r>
    </w:p>
    <w:p>
      <w:pPr>
        <w:pStyle w:val="ArticleBody"/>
        <w:jc w:val="left"/>
      </w:pPr>
      <w:r>
        <w:rPr>
          <w:rFonts w:ascii="Times New Roman" w:hAnsi="Times New Roman" w:eastAsia="Times New Roman" w:cs="Times New Roman"/>
        </w:rPr>
        <w:t>La bataille de Ninive fournit le point de référence prophétique permettant d’aligner les témoignages de l’empire de Rome, des royaumes de Rome orientale et occidentale, et de la Rome papale dans la séquence des événements de la fin des temps. Ainsi, la bataille de Ninive est la clé qui illustre pleinement les divers témoignages prophétiques concernant Rome, et, selon le verset quatorze de Daniel onze, c’est Rome qui établit la vision. La clé qui réunit ces lignes est la bataille de Ninive.</w:t>
      </w:r>
    </w:p>
    <w:p>
      <w:pPr>
        <w:pStyle w:val="ArticleBody"/>
        <w:jc w:val="left"/>
      </w:pPr>
      <w:r>
        <w:rPr>
          <w:rFonts w:ascii="Times New Roman" w:hAnsi="Times New Roman" w:eastAsia="Times New Roman" w:cs="Times New Roman"/>
        </w:rPr>
        <w:t>Dans notre prochain article, nous commencerons à rassembler les cinq articles précédents traitant des malheurs du chapitre neuf de l’Apocalypse.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dix-huit</dc:title>
  <dc:subject>Te Ɔhaw a Ɛto so Mmienu no - Ɔfã a Ɛto so Anum</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