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dix-neuf</w:t>
      </w:r>
    </w:p>
    <w:p>
      <w:pPr>
        <w:pStyle w:val="ArticleSubtitle"/>
        <w:jc w:val="left"/>
      </w:pPr>
      <w:r>
        <w:rPr>
          <w:rFonts w:ascii="Arial" w:hAnsi="Arial" w:eastAsia="Arial" w:cs="Arial"/>
        </w:rPr>
        <w:t>The Second Woe - Part Six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Les livres de Daniel et de l’Apocalypse se complètent l’un l’autre, c’est-à-dire qu’ensemble ils sont portés à leur perfection.</w:t>
      </w:r>
    </w:p>
    <w:p>
      <w:pPr>
        <w:pStyle w:val="ArticleScripture"/>
        <w:jc w:val="left"/>
      </w:pPr>
      <w:r>
        <w:rPr>
          <w:rFonts w:ascii="Times New Roman" w:hAnsi="Times New Roman" w:eastAsia="Times New Roman" w:cs="Times New Roman"/>
        </w:rPr>
        <w:t>“Mu Ibyahishuwe ni ho ibitabo byose bya Bibiliya bihurira kandi bikarangirira. Aha ni ho igitabo cya Daniyeli cyuzurizwa.” Ibyakozwe n’Intumwa, 585.</w:t>
      </w:r>
    </w:p>
    <w:p>
      <w:pPr>
        <w:pStyle w:val="ArticleBody"/>
        <w:jc w:val="left"/>
      </w:pPr>
      <w:r>
        <w:rPr>
          <w:rFonts w:ascii="Times New Roman" w:hAnsi="Times New Roman" w:eastAsia="Times New Roman" w:cs="Times New Roman"/>
        </w:rPr>
        <w:t>Les royaumes de la prophétie biblique doivent être au centre de l’attention de l’étudiant de la prophétie, car c’est là que l’histoire extérieure des derniers jours est principalement exposée.</w:t>
      </w:r>
    </w:p>
    <w:p>
      <w:pPr>
        <w:pStyle w:val="ArticleScripture"/>
        <w:jc w:val="left"/>
      </w:pPr>
      <w:r>
        <w:rPr>
          <w:rFonts w:ascii="Times New Roman" w:hAnsi="Times New Roman" w:eastAsia="Times New Roman" w:cs="Times New Roman"/>
        </w:rPr>
        <w:t>“Dépassément mieux vaut-il apprendre, à la lumière de la parole de Dieu, les causes qui président à l’élévation et à la chute des royaumes. Que la jeunesse étudie ces récits et voie combien la véritable prospérité des nations a été liée à l’acceptation des principes divins. Qu’elle étudie l’histoire des grands mouvements de réforme, et voie combien souvent ces principes, bien que méprisés et haïs, leurs défenseurs étant conduits au cachot et à l’échafaud, ont néanmoins triomphé par ces sacrifices mêmes.” Éducation, 238.</w:t>
      </w:r>
    </w:p>
    <w:p>
      <w:pPr>
        <w:pStyle w:val="ArticleBody"/>
        <w:jc w:val="left"/>
      </w:pPr>
      <w:r>
        <w:rPr>
          <w:rFonts w:ascii="Times New Roman" w:hAnsi="Times New Roman" w:eastAsia="Times New Roman" w:cs="Times New Roman"/>
        </w:rPr>
        <w:t>Historia suci, baik “gerakan-gerakan reformasi besar” maupun “bangkit dan runtuhnya kerajaan-kerajaan”; sejarah-sejarah suci merupakan persoalan hidup atau mati di dalam Firman Allah. Paulus mencatat dalam 2 Tesalonika pasal dua bahwa mereka yang tidak mengasihi kebenaran, dan yang sesudah itu menerima kesesatan yang kuat, berbuat demikian karena mereka memilih untuk menolak pekabaran yang diidentifikasi Paulus dalam bagian itu. Bagian tersebut mengenali hubungan antara Roma kafir dan Roma kepausan, yang juga merupakan hubungan antara Pergamus dan Tiatira dan juga merupakan hubungan antara besi dan tanah liat, serta hubungan antara naga dan binatang itu. Kebangkitan Roma kepausan yang dilambangkan oleh Tiatira dan kejatuhan Roma kafir sebagaimana dilambangkan oleh Pergamus adalah suatu kebenaran yang dibenci oleh mereka yang menerima kesesatan yang kuat.</w:t>
      </w:r>
    </w:p>
    <w:p>
      <w:pPr>
        <w:pStyle w:val="ArticleBody"/>
        <w:jc w:val="left"/>
      </w:pPr>
      <w:r>
        <w:rPr>
          <w:rFonts w:ascii="Times New Roman" w:hAnsi="Times New Roman" w:eastAsia="Times New Roman" w:cs="Times New Roman"/>
        </w:rPr>
        <w:t>W historii ruchu millerowskiego spór między millerystami a protestantami, który znalazł odzwierciedlenie na pionierskiej karcie z 1843 roku, dotyczył tego, jaką historyczną potęgę przedstawiono jako „gwałtowników z twego ludu” w czternastym wersecie jedenastego rozdziału Księgi Daniela. Czy owi gwałtownicy oznaczali powstanie pogańskiego Rzymu, jak utrzymywali milleryści, czy też upadek Seleucydów, jak twierdzili protestanci?</w:t>
      </w:r>
    </w:p>
    <w:p>
      <w:pPr>
        <w:pStyle w:val="ArticleScripture"/>
        <w:jc w:val="left"/>
      </w:pPr>
      <w:r>
        <w:rPr>
          <w:rFonts w:ascii="Times New Roman" w:hAnsi="Times New Roman" w:eastAsia="Times New Roman" w:cs="Times New Roman"/>
        </w:rPr>
        <w:t>“Tiap bangsa yang telah tampil di panggung sejarah telah diizinkan menempati tempatnya di bumi, supaya dapat terlihat apakah bangsa itu akan menggenapi maksud dari ‘Sang Pengawas dan Yang Mahakudus.’ Nubuat telah menelusuri kebangkitan dan kejatuhan kerajaan-kerajaan besar dunia—Babel, Media-Persia, Yunani, dan Roma. Pada masing-masing kerajaan ini, sebagaimana pada bangsa-bangsa yang kurang berkuasa, sejarah berulang. Masing-masing memiliki masa ujian, masing-masing gagal, kemuliaannya memudar, kuasanya lenyap, dan tempatnya diduduki oleh yang lain....”</w:t>
      </w:r>
    </w:p>
    <w:p>
      <w:pPr>
        <w:pStyle w:val="ArticleScripture"/>
        <w:jc w:val="left"/>
      </w:pPr>
      <w:r>
        <w:rPr>
          <w:rFonts w:ascii="Times New Roman" w:hAnsi="Times New Roman" w:eastAsia="Times New Roman" w:cs="Times New Roman"/>
        </w:rPr>
        <w:t>«خدا کلامِ مقدّس کے صفحات میں اقوام کے عروج و زوال کو جس طرح واضح کرتا ہے، اُس سے اُنہیں یہ سیکھنا چاہیے کہ محض ظاہری اور دنیوی جلال کس قدر بے حقیقت ہے۔ بابل، اپنی تمام قوت اور اپنی تمام شان و شوکت کے ساتھ—جس کی مانند ہماری دنیا نے اُس کے بعد کبھی نہیں دیکھی—وہ قوت اور وہ عظمت جو اُس زمانہ کے لوگوں کو نہایت مستحکم اور پائیدار معلوم ہوتی تھی—کس قدر کامل طور پر مٹ گئی! “گھاس کے پھول” کی مانند وہ فنا ہو گئی۔ اسی طرح ہر وہ چیز فنا ہو جاتی ہے جس کی بنیاد خدا پر نہیں۔ صرف وہی چیز قائم رہ سکتی ہے جو اُس کے مقصد سے وابستہ ہو اور اُس کے کردار کا اظہار کرتی ہو۔ اُس کے اصول ہی وہ واحد امور ہیں جنہیں ہماری دنیا میں ثبات حاصل ہے۔» Education, 177, 184.</w:t>
      </w:r>
    </w:p>
    <w:p>
      <w:pPr>
        <w:pStyle w:val="ArticleBody"/>
        <w:jc w:val="left"/>
      </w:pP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솔로몬이</w:t>
      </w:r>
      <w:r>
        <w:rPr>
          <w:rFonts w:ascii="Times New Roman" w:hAnsi="Times New Roman" w:eastAsia="Times New Roman" w:cs="Times New Roman"/>
        </w:rPr>
        <w:t xml:space="preserve"> </w:t>
      </w:r>
      <w:r>
        <w:rPr>
          <w:rFonts w:ascii="Malgun Gothic" w:hAnsi="Malgun Gothic" w:eastAsia="Malgun Gothic" w:cs="Malgun Gothic"/>
        </w:rPr>
        <w:t>말하기를</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없으면</w:t>
      </w:r>
      <w:r>
        <w:rPr>
          <w:rFonts w:ascii="Times New Roman" w:hAnsi="Times New Roman" w:eastAsia="Times New Roman" w:cs="Times New Roman"/>
        </w:rPr>
        <w:t xml:space="preserve"> </w:t>
      </w:r>
      <w:r>
        <w:rPr>
          <w:rFonts w:ascii="Malgun Gothic" w:hAnsi="Malgun Gothic" w:eastAsia="Malgun Gothic" w:cs="Malgun Gothic"/>
        </w:rPr>
        <w:t>망한다고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이상이다</w:t>
      </w:r>
      <w:r>
        <w:rPr>
          <w:rFonts w:ascii="Times New Roman" w:hAnsi="Times New Roman" w:eastAsia="Times New Roman" w:cs="Times New Roman"/>
        </w:rPr>
        <w:t xml:space="preserve">. </w:t>
      </w:r>
      <w:r>
        <w:rPr>
          <w:rFonts w:ascii="Malgun Gothic" w:hAnsi="Malgun Gothic" w:eastAsia="Malgun Gothic" w:cs="Malgun Gothic"/>
        </w:rPr>
        <w:t>밀러파는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9</w:t>
      </w:r>
      <w:r>
        <w:rPr>
          <w:rFonts w:ascii="Malgun Gothic" w:hAnsi="Malgun Gothic" w:eastAsia="Malgun Gothic" w:cs="Malgun Gothic"/>
        </w:rPr>
        <w:t>장</w:t>
      </w:r>
      <w:r>
        <w:rPr>
          <w:rFonts w:ascii="Times New Roman" w:hAnsi="Times New Roman" w:eastAsia="Times New Roman" w:cs="Times New Roman"/>
        </w:rPr>
        <w:t xml:space="preserve"> 5</w:t>
      </w:r>
      <w:r>
        <w:rPr>
          <w:rFonts w:ascii="Malgun Gothic" w:hAnsi="Malgun Gothic" w:eastAsia="Malgun Gothic" w:cs="Malgun Gothic"/>
        </w:rPr>
        <w:t>절과</w:t>
      </w:r>
      <w:r>
        <w:rPr>
          <w:rFonts w:ascii="Times New Roman" w:hAnsi="Times New Roman" w:eastAsia="Times New Roman" w:cs="Times New Roman"/>
        </w:rPr>
        <w:t xml:space="preserve"> 10</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백오십</w:t>
      </w:r>
      <w:r>
        <w:rPr>
          <w:rFonts w:ascii="Times New Roman" w:hAnsi="Times New Roman" w:eastAsia="Times New Roman" w:cs="Times New Roman"/>
        </w:rPr>
        <w:t xml:space="preserve"> </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인식하고</w:t>
      </w:r>
      <w:r>
        <w:rPr>
          <w:rFonts w:ascii="Times New Roman" w:hAnsi="Times New Roman" w:eastAsia="Times New Roman" w:cs="Times New Roman"/>
        </w:rPr>
        <w:t xml:space="preserve"> </w:t>
      </w:r>
      <w:r>
        <w:rPr>
          <w:rFonts w:ascii="Malgun Gothic" w:hAnsi="Malgun Gothic" w:eastAsia="Malgun Gothic" w:cs="Malgun Gothic"/>
        </w:rPr>
        <w:t>선포하였으나</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9</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깊이</w:t>
      </w:r>
      <w:r>
        <w:rPr>
          <w:rFonts w:ascii="Times New Roman" w:hAnsi="Times New Roman" w:eastAsia="Times New Roman" w:cs="Times New Roman"/>
        </w:rPr>
        <w:t xml:space="preserve"> </w:t>
      </w:r>
      <w:r>
        <w:rPr>
          <w:rFonts w:ascii="Malgun Gothic" w:hAnsi="Malgun Gothic" w:eastAsia="Malgun Gothic" w:cs="Malgun Gothic"/>
        </w:rPr>
        <w:t>파헤치지는</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10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달을</w:t>
      </w:r>
      <w:r>
        <w:rPr>
          <w:rFonts w:ascii="Times New Roman" w:hAnsi="Times New Roman" w:eastAsia="Times New Roman" w:cs="Times New Roman"/>
        </w:rPr>
        <w:t xml:space="preserve"> </w:t>
      </w:r>
      <w:r>
        <w:rPr>
          <w:rFonts w:ascii="Malgun Gothic" w:hAnsi="Malgun Gothic" w:eastAsia="Malgun Gothic" w:cs="Malgun Gothic"/>
        </w:rPr>
        <w:t>올바르게</w:t>
      </w:r>
      <w:r>
        <w:rPr>
          <w:rFonts w:ascii="Times New Roman" w:hAnsi="Times New Roman" w:eastAsia="Times New Roman" w:cs="Times New Roman"/>
        </w:rPr>
        <w:t xml:space="preserve"> </w:t>
      </w:r>
      <w:r>
        <w:rPr>
          <w:rFonts w:ascii="Malgun Gothic" w:hAnsi="Malgun Gothic" w:eastAsia="Malgun Gothic" w:cs="Malgun Gothic"/>
        </w:rPr>
        <w:t>확인하였지만</w:t>
      </w:r>
      <w:r>
        <w:rPr>
          <w:rFonts w:ascii="Times New Roman" w:hAnsi="Times New Roman" w:eastAsia="Times New Roman" w:cs="Times New Roman"/>
        </w:rPr>
        <w:t>, 5</w:t>
      </w:r>
      <w:r>
        <w:rPr>
          <w:rFonts w:ascii="Malgun Gothic" w:hAnsi="Malgun Gothic" w:eastAsia="Malgun Gothic" w:cs="Malgun Gothic"/>
        </w:rPr>
        <w:t>절과</w:t>
      </w:r>
      <w:r>
        <w:rPr>
          <w:rFonts w:ascii="Times New Roman" w:hAnsi="Times New Roman" w:eastAsia="Times New Roman" w:cs="Times New Roman"/>
        </w:rPr>
        <w:t xml:space="preserve"> 10</w:t>
      </w:r>
      <w:r>
        <w:rPr>
          <w:rFonts w:ascii="Malgun Gothic" w:hAnsi="Malgun Gothic" w:eastAsia="Malgun Gothic" w:cs="Malgun Gothic"/>
        </w:rPr>
        <w:t>절이</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표현을</w:t>
      </w:r>
      <w:r>
        <w:rPr>
          <w:rFonts w:ascii="Times New Roman" w:hAnsi="Times New Roman" w:eastAsia="Times New Roman" w:cs="Times New Roman"/>
        </w:rPr>
        <w:t xml:space="preserve"> </w:t>
      </w:r>
      <w:r>
        <w:rPr>
          <w:rFonts w:ascii="Malgun Gothic" w:hAnsi="Malgun Gothic" w:eastAsia="Malgun Gothic" w:cs="Malgun Gothic"/>
        </w:rPr>
        <w:t>담고</w:t>
      </w:r>
      <w:r>
        <w:rPr>
          <w:rFonts w:ascii="Times New Roman" w:hAnsi="Times New Roman" w:eastAsia="Times New Roman" w:cs="Times New Roman"/>
        </w:rPr>
        <w:t xml:space="preserve"> </w:t>
      </w:r>
      <w:r>
        <w:rPr>
          <w:rFonts w:ascii="Malgun Gothic" w:hAnsi="Malgun Gothic" w:eastAsia="Malgun Gothic" w:cs="Malgun Gothic"/>
        </w:rPr>
        <w:t>있다는</w:t>
      </w:r>
      <w:r>
        <w:rPr>
          <w:rFonts w:ascii="Times New Roman" w:hAnsi="Times New Roman" w:eastAsia="Times New Roman" w:cs="Times New Roman"/>
        </w:rPr>
        <w:t xml:space="preserve"> </w:t>
      </w:r>
      <w:r>
        <w:rPr>
          <w:rFonts w:ascii="Malgun Gothic" w:hAnsi="Malgun Gothic" w:eastAsia="Malgun Gothic" w:cs="Malgun Gothic"/>
        </w:rPr>
        <w:t>이유로</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단순히</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절</w:t>
      </w:r>
      <w:r>
        <w:rPr>
          <w:rFonts w:ascii="Times New Roman" w:hAnsi="Times New Roman" w:eastAsia="Times New Roman" w:cs="Times New Roman"/>
        </w:rPr>
        <w:t xml:space="preserve"> </w:t>
      </w:r>
      <w:r>
        <w:rPr>
          <w:rFonts w:ascii="Malgun Gothic" w:hAnsi="Malgun Gothic" w:eastAsia="Malgun Gothic" w:cs="Malgun Gothic"/>
        </w:rPr>
        <w:t>모두에</w:t>
      </w:r>
      <w:r>
        <w:rPr>
          <w:rFonts w:ascii="Times New Roman" w:hAnsi="Times New Roman" w:eastAsia="Times New Roman" w:cs="Times New Roman"/>
        </w:rPr>
        <w:t xml:space="preserve"> </w:t>
      </w:r>
      <w:r>
        <w:rPr>
          <w:rFonts w:ascii="Malgun Gothic" w:hAnsi="Malgun Gothic" w:eastAsia="Malgun Gothic" w:cs="Malgun Gothic"/>
        </w:rPr>
        <w:t>나타난</w:t>
      </w:r>
      <w:r>
        <w:rPr>
          <w:rFonts w:ascii="Times New Roman" w:hAnsi="Times New Roman" w:eastAsia="Times New Roman" w:cs="Times New Roman"/>
        </w:rPr>
        <w:t xml:space="preserve"> </w:t>
      </w:r>
      <w:r>
        <w:rPr>
          <w:rFonts w:ascii="Malgun Gothic" w:hAnsi="Malgun Gothic" w:eastAsia="Malgun Gothic" w:cs="Malgun Gothic"/>
        </w:rPr>
        <w:t>괴롭힘의</w:t>
      </w:r>
      <w:r>
        <w:rPr>
          <w:rFonts w:ascii="Times New Roman" w:hAnsi="Times New Roman" w:eastAsia="Times New Roman" w:cs="Times New Roman"/>
        </w:rPr>
        <w:t xml:space="preserve"> </w:t>
      </w:r>
      <w:r>
        <w:rPr>
          <w:rFonts w:ascii="Malgun Gothic" w:hAnsi="Malgun Gothic" w:eastAsia="Malgun Gothic" w:cs="Malgun Gothic"/>
        </w:rPr>
        <w:t>예언을</w:t>
      </w:r>
      <w:r>
        <w:rPr>
          <w:rFonts w:ascii="Times New Roman" w:hAnsi="Times New Roman" w:eastAsia="Times New Roman" w:cs="Times New Roman"/>
        </w:rPr>
        <w:t xml:space="preserve"> </w:t>
      </w:r>
      <w:r>
        <w:rPr>
          <w:rFonts w:ascii="Malgun Gothic" w:hAnsi="Malgun Gothic" w:eastAsia="Malgun Gothic" w:cs="Malgun Gothic"/>
        </w:rPr>
        <w:t>강조하는</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생각한</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분명하다</w:t>
      </w:r>
      <w:r>
        <w:rPr>
          <w:rFonts w:ascii="Times New Roman" w:hAnsi="Times New Roman" w:eastAsia="Times New Roman" w:cs="Times New Roman"/>
        </w:rPr>
        <w:t xml:space="preserve">. </w:t>
      </w:r>
      <w:r>
        <w:rPr>
          <w:rFonts w:ascii="Malgun Gothic" w:hAnsi="Malgun Gothic" w:eastAsia="Malgun Gothic" w:cs="Malgun Gothic"/>
        </w:rPr>
        <w:t>이제는</w:t>
      </w:r>
      <w:r>
        <w:rPr>
          <w:rFonts w:ascii="Times New Roman" w:hAnsi="Times New Roman" w:eastAsia="Times New Roman" w:cs="Times New Roman"/>
        </w:rPr>
        <w:t xml:space="preserve"> 5</w:t>
      </w:r>
      <w:r>
        <w:rPr>
          <w:rFonts w:ascii="Malgun Gothic" w:hAnsi="Malgun Gothic" w:eastAsia="Malgun Gothic" w:cs="Malgun Gothic"/>
        </w:rPr>
        <w:t>절이</w:t>
      </w:r>
      <w:r>
        <w:rPr>
          <w:rFonts w:ascii="Times New Roman" w:hAnsi="Times New Roman" w:eastAsia="Times New Roman" w:cs="Times New Roman"/>
        </w:rPr>
        <w:t xml:space="preserve"> </w:t>
      </w:r>
      <w:r>
        <w:rPr>
          <w:rFonts w:ascii="Malgun Gothic" w:hAnsi="Malgun Gothic" w:eastAsia="Malgun Gothic" w:cs="Malgun Gothic"/>
        </w:rPr>
        <w:t>나타내는</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달</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무함마드의</w:t>
      </w:r>
      <w:r>
        <w:rPr>
          <w:rFonts w:ascii="Times New Roman" w:hAnsi="Times New Roman" w:eastAsia="Times New Roman" w:cs="Times New Roman"/>
        </w:rPr>
        <w:t xml:space="preserve"> </w:t>
      </w:r>
      <w:r>
        <w:rPr>
          <w:rFonts w:ascii="Malgun Gothic" w:hAnsi="Malgun Gothic" w:eastAsia="Malgun Gothic" w:cs="Malgun Gothic"/>
        </w:rPr>
        <w:t>사망인</w:t>
      </w:r>
      <w:r>
        <w:rPr>
          <w:rFonts w:ascii="Times New Roman" w:hAnsi="Times New Roman" w:eastAsia="Times New Roman" w:cs="Times New Roman"/>
        </w:rPr>
        <w:t xml:space="preserve"> 632</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시작되어</w:t>
      </w:r>
      <w:r>
        <w:rPr>
          <w:rFonts w:ascii="Times New Roman" w:hAnsi="Times New Roman" w:eastAsia="Times New Roman" w:cs="Times New Roman"/>
        </w:rPr>
        <w:t xml:space="preserve">, </w:t>
      </w:r>
      <w:r>
        <w:rPr>
          <w:rFonts w:ascii="Malgun Gothic" w:hAnsi="Malgun Gothic" w:eastAsia="Malgun Gothic" w:cs="Malgun Gothic"/>
        </w:rPr>
        <w:t>비잔틴</w:t>
      </w:r>
      <w:r>
        <w:rPr>
          <w:rFonts w:ascii="Times New Roman" w:hAnsi="Times New Roman" w:eastAsia="Times New Roman" w:cs="Times New Roman"/>
        </w:rPr>
        <w:t xml:space="preserve"> </w:t>
      </w:r>
      <w:r>
        <w:rPr>
          <w:rFonts w:ascii="Malgun Gothic" w:hAnsi="Malgun Gothic" w:eastAsia="Malgun Gothic" w:cs="Malgun Gothic"/>
        </w:rPr>
        <w:t>제국</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동로마</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여제</w:t>
      </w:r>
      <w:r>
        <w:rPr>
          <w:rFonts w:ascii="Times New Roman" w:hAnsi="Times New Roman" w:eastAsia="Times New Roman" w:cs="Times New Roman"/>
        </w:rPr>
        <w:t xml:space="preserve"> </w:t>
      </w:r>
      <w:r>
        <w:rPr>
          <w:rFonts w:ascii="Malgun Gothic" w:hAnsi="Malgun Gothic" w:eastAsia="Malgun Gothic" w:cs="Malgun Gothic"/>
        </w:rPr>
        <w:t>이레네가</w:t>
      </w:r>
      <w:r>
        <w:rPr>
          <w:rFonts w:ascii="Times New Roman" w:hAnsi="Times New Roman" w:eastAsia="Times New Roman" w:cs="Times New Roman"/>
        </w:rPr>
        <w:t xml:space="preserve"> </w:t>
      </w:r>
      <w:r>
        <w:rPr>
          <w:rFonts w:ascii="Malgun Gothic" w:hAnsi="Malgun Gothic" w:eastAsia="Malgun Gothic" w:cs="Malgun Gothic"/>
        </w:rPr>
        <w:t>치욕을</w:t>
      </w:r>
      <w:r>
        <w:rPr>
          <w:rFonts w:ascii="Times New Roman" w:hAnsi="Times New Roman" w:eastAsia="Times New Roman" w:cs="Times New Roman"/>
        </w:rPr>
        <w:t xml:space="preserve"> </w:t>
      </w:r>
      <w:r>
        <w:rPr>
          <w:rFonts w:ascii="Malgun Gothic" w:hAnsi="Malgun Gothic" w:eastAsia="Malgun Gothic" w:cs="Malgun Gothic"/>
        </w:rPr>
        <w:t>당한</w:t>
      </w:r>
      <w:r>
        <w:rPr>
          <w:rFonts w:ascii="Times New Roman" w:hAnsi="Times New Roman" w:eastAsia="Times New Roman" w:cs="Times New Roman"/>
        </w:rPr>
        <w:t xml:space="preserve"> 782</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끝난</w:t>
      </w:r>
      <w:r>
        <w:rPr>
          <w:rFonts w:ascii="Times New Roman" w:hAnsi="Times New Roman" w:eastAsia="Times New Roman" w:cs="Times New Roman"/>
        </w:rPr>
        <w:t xml:space="preserve"> </w:t>
      </w:r>
      <w:r>
        <w:rPr>
          <w:rFonts w:ascii="Malgun Gothic" w:hAnsi="Malgun Gothic" w:eastAsia="Malgun Gothic" w:cs="Malgun Gothic"/>
        </w:rPr>
        <w:t>백오십</w:t>
      </w:r>
      <w:r>
        <w:rPr>
          <w:rFonts w:ascii="Times New Roman" w:hAnsi="Times New Roman" w:eastAsia="Times New Roman" w:cs="Times New Roman"/>
        </w:rPr>
        <w:t xml:space="preserve"> </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뜻한다는</w:t>
      </w:r>
      <w:r>
        <w:rPr>
          <w:rFonts w:ascii="Times New Roman" w:hAnsi="Times New Roman" w:eastAsia="Times New Roman" w:cs="Times New Roman"/>
        </w:rPr>
        <w:t xml:space="preserve"> </w:t>
      </w:r>
      <w:r>
        <w:rPr>
          <w:rFonts w:ascii="Malgun Gothic" w:hAnsi="Malgun Gothic" w:eastAsia="Malgun Gothic" w:cs="Malgun Gothic"/>
        </w:rPr>
        <w:t>사실이</w:t>
      </w:r>
      <w:r>
        <w:rPr>
          <w:rFonts w:ascii="Times New Roman" w:hAnsi="Times New Roman" w:eastAsia="Times New Roman" w:cs="Times New Roman"/>
        </w:rPr>
        <w:t xml:space="preserve"> </w:t>
      </w:r>
      <w:r>
        <w:rPr>
          <w:rFonts w:ascii="Malgun Gothic" w:hAnsi="Malgun Gothic" w:eastAsia="Malgun Gothic" w:cs="Malgun Gothic"/>
        </w:rPr>
        <w:t>쉽게</w:t>
      </w:r>
      <w:r>
        <w:rPr>
          <w:rFonts w:ascii="Times New Roman" w:hAnsi="Times New Roman" w:eastAsia="Times New Roman" w:cs="Times New Roman"/>
        </w:rPr>
        <w:t xml:space="preserve"> </w:t>
      </w:r>
      <w:r>
        <w:rPr>
          <w:rFonts w:ascii="Malgun Gothic" w:hAnsi="Malgun Gothic" w:eastAsia="Malgun Gothic" w:cs="Malgun Gothic"/>
        </w:rPr>
        <w:t>입증된다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Fa akwanya no yɛe nokware wɔ wɔn de a wɔde nkyekyem du no yɛɛ Nicomedia ko a ɛbaa so wɔ July 27, 1299 no, sɛ ɛno na ɛyɛ mfe ɔha aduonum no mfiase, a ɛbaa awiei wɔ July 27, 1449 bere a wɔbrɛɛ Constantine a ɔtwa to a odii hene wɔ Constantinople no ase. Asɛm no si so dua wɔ asɛm so, mfe ɔha aduonum bere bi kyerɛ wiase nyinaa Islam, sɛnea wɔgyina hɔ ma no wɔ Arabia Islam amanehunu a edi kan no ne Turkey Islam amanehunu a ɛto so abien no mu. Islam a ɛbrɛɛ ɔhempɔn ne ɔhemmaa no nyinaa ase no kyerɛ wiase nyinaa Islam a edi ahenni bi so nkonim, ahenni a ɛwɔ ɔbea bi a Irene gyina hɔ ma no ne ɔbarima bi a Constantine a ɔtwa to no gyina hɔ ma no.</w:t>
      </w:r>
    </w:p>
    <w:p>
      <w:pPr>
        <w:pStyle w:val="ArticleBody"/>
        <w:jc w:val="left"/>
      </w:pPr>
      <w:r>
        <w:rPr>
          <w:rFonts w:ascii="Times New Roman" w:hAnsi="Times New Roman" w:eastAsia="Times New Roman" w:cs="Times New Roman"/>
        </w:rPr>
        <w:t>Katika kipindi cha miaka mia moja hamsini kinachoishia kwa kufedheheshwa kwa Irene, Uislamu wa Arabia unalitawala eneo au himaya ya Byzantium, ukimwacha Irene katika hali ya aibu kubwa kiasi kwamba alilazimika kulipa kodi ya ushuru kwa muda wa miaka mitatu, pamoja na madai mengine ya kulazimishwa. Fedheha ya Konstantino wa mwisho ilipotukia, iliashiria mwanzo wa kipindi cha miaka minne kinachoishia kwa kuzingirwa na kuangushwa kwa mji mkuu wa Roma ya mashariki. Katika hali zote mbili ulikuwa ni Uislamu: Uislamu wa Arabia kwa Irene, na Uislamu wa Uturuki kwa Konstantino wa mwisho. Katika siku za mwisho, Uislamu wa ulimwenguni pote, kama unavyowakilishwa na mashahidi wawili wa Uislamu wa Arabia na Uislamu wa Uturuki waliowekwa mbele katika ole la kwanza na la pili, kwanza utaliteka eneo, kisha mji mkuu. Chombo cha kisiasa cha siku za mwisho kinachowakilishwa na Konstantino wa Roma ya mashariki kimefungwa ndoa kwa njia ya mfano na chombo cha kidini cha siku za mwisho kinachowakilishwa na Irene wa Roma ya mashariki. Natumia neno chombo cha kisiasa na cha kidini kueleza kwamba mfano wa sanamu ya mnyama hutokea kwanza katika Marekani na kisha ulimwenguni. Sanamu ya mnyama ni ndoa ya mfano ya Konstantino na Irene, ambao wote wawili wamefedheheshwa kwa kupoteza eneo lao na mji wao mkuu kwa Uislamu.</w:t>
      </w:r>
    </w:p>
    <w:p>
      <w:pPr>
        <w:pStyle w:val="ArticleBody"/>
        <w:jc w:val="left"/>
      </w:pPr>
      <w:r>
        <w:rPr>
          <w:rFonts w:ascii="Times New Roman" w:hAnsi="Times New Roman" w:eastAsia="Times New Roman" w:cs="Times New Roman"/>
        </w:rPr>
        <w:t>Kunyelaniswa kwabo kuchongwa ngokuhambelanisa ezo mbali zimbini, yaye kwafaniswa ngomtshato phakathi kukaConstantia noLicinius ngowama-313 xa uMmiselo waseMilan waqalisa ukusebenza, yaye ibandla elingumfuziselo laseSmirna laphela kwaza kwaqala ibandla elingumfuziselo lasePergamo. Abo uPawulos abachaza njengabamkela ulahlekiso olunamandla bayala ukuwubona umyalezo wesilumkiso kaPawulos oquka ukuwa, ngaphambi kokuba kutyhilwe umntu wesono. Ukuwa kwenzeka kwimbali yasePergamo, yaye umntu wesono watyhilwa ngowama-538, xa kwaqala ibandla laseTiyatira.</w:t>
      </w:r>
    </w:p>
    <w:p>
      <w:pPr>
        <w:pStyle w:val="ArticleScripture"/>
        <w:jc w:val="left"/>
      </w:pPr>
      <w:r>
        <w:rPr>
          <w:rFonts w:ascii="Times New Roman" w:hAnsi="Times New Roman" w:eastAsia="Times New Roman" w:cs="Times New Roman"/>
        </w:rPr>
        <w:t>Na onye ọ bụla ghara iduhie unu n’ụzọ ọ bụla: n’ihi na ụbọchị ahụ agaghị abịa, ma ọ bụrụ na ọ bụghị na mbu, ọdịda n’okwukwe ga-abịa, a ga-ekpughekwa nwoke mmehie ahụ, nwa nke ịla n’iyi; onye ahụ na-emegide ma na-ebuli onwe ya elu karịa ihe niile a na-akpọ Chineke, ma ọ bụ nke a na-efe ofufe; nke mere na ya, dị ka Chineke, nọdụrụ n’ụlọ nsọ Chineke, na-egosi onwe ya na ọ bụ Chineke. 2 Ndị Tesalonaịka 2:3, 4.</w:t>
      </w:r>
    </w:p>
    <w:p>
      <w:pPr>
        <w:pStyle w:val="ArticleBody"/>
        <w:jc w:val="left"/>
      </w:pPr>
      <w:r>
        <w:rPr>
          <w:rFonts w:ascii="Times New Roman" w:hAnsi="Times New Roman" w:eastAsia="Times New Roman" w:cs="Times New Roman"/>
        </w:rPr>
        <w:t>L’histoire de Rome orientale fournit deux témoins de la vérité prophétique qui est aussi représentée dans la relation symbolique de Rome orientale avec Rome occidentale. Dans cette relation, Rome occidentale est l’Église et Rome orientale est l’État. Rome est une combinaison de l’Église et de l’État, représentée par le fer et l’argile dans Daniel, chapitre deux.</w:t>
      </w:r>
    </w:p>
    <w:p>
      <w:pPr>
        <w:pStyle w:val="ArticleBody"/>
        <w:jc w:val="left"/>
      </w:pPr>
      <w:r>
        <w:rPr>
          <w:rFonts w:ascii="Times New Roman" w:hAnsi="Times New Roman" w:eastAsia="Times New Roman" w:cs="Times New Roman"/>
        </w:rPr>
        <w:t>Eine Begründung dafür, dass in den letzten Tagen der weltweite Islam gegen eine Macht auftritt, die als eine Verbindung von Kirche und Staat dargestellt wird, deren Gebiet und Hauptstadt einnimmt, wird durch zwei weitere Zeugen aus der heiligen Geschichte von Offenbarung neun bestätigt. Osman eroberte das Gebiet von Nikomedia am 27. Juli 1299, und zwei Jahre später, im Jahr 1301, eroberte er sodann das Gebiet von Nizäa. Sein Sohn eroberte im Jahr 1331 die Hauptstadt Nizäa, und derselbe Sohn eroberte die Hauptstadt Nikomedia in einer vierjährigen Belagerung, die 1337 endete. Die Pioniere kennzeichneten den 27. Juli 1299 mit Osman, betrachteten jedoch niemals die nächste Schlacht, die Schlacht von Nizäa, als den geschichtlichen zweiten Schritt zur Errichtung des Osmanischen Reiches. Der 27. Juli 1299 war der erste Schritt von mehreren Schritten auf dem Weg zum Sonntagsgesetz. Die ersten beiden Schritte des türkischen Islam kennzeichneten den Beginn einer Weissagung, die 1449 endete, dann erneut 1840, dann erneut am 11. September und dann wiederum am 31. Dezember 2023.</w:t>
      </w:r>
    </w:p>
    <w:p>
      <w:pPr>
        <w:pStyle w:val="ArticleBody"/>
        <w:jc w:val="left"/>
      </w:pPr>
      <w:r>
        <w:rPr>
          <w:rFonts w:ascii="Times New Roman" w:hAnsi="Times New Roman" w:eastAsia="Times New Roman" w:cs="Times New Roman"/>
        </w:rPr>
        <w:t>El primero de esos dos pasos señaló no solo el comienzo de ciento cincuenta años, sino que también señaló el comienzo de treinta y ocho años. Comenzó cuando Osmán tomó el territorio de Nicomedia, y terminó treinta y ocho años después, cuando el hijo de Osmán tomó la ciudad capital de Nicomedia al término de un asedio de cuatro años, en 1337. El número treinta y ocho representa “levantarse”, y el paso inicial de la toma del territorio por parte de Osmán señaló el levantamiento del islam turco. En ese primer paso de treinta y ocho años, un asedio de “cuatro años” marca la conclusión. En el último paso de los ciento cincuenta años, se inflige la humillación y, cuatro años después, en 1453, la capital de la Roma oriental es tomada.</w:t>
      </w:r>
    </w:p>
    <w:p>
      <w:pPr>
        <w:pStyle w:val="ArticleBody"/>
        <w:jc w:val="left"/>
      </w:pPr>
      <w:r>
        <w:rPr>
          <w:rFonts w:ascii="Times New Roman" w:hAnsi="Times New Roman" w:eastAsia="Times New Roman" w:cs="Times New Roman"/>
        </w:rPr>
        <w:t>Yalnızca 1453’te Osmanlı Türkleri söz konusu olsun, yahut Osman’ın oğlunun 1337’de hem Nikomedia’yı hem de 1331’de İznik’i alışı söz konusu olsun, her üç durumda da bu başkentlerin her biri tarihin bir döneminde doğu Roma’nın başkenti olarak hizmet etmişti. Bu üç çizginin tümü, doğu Roma’nın fethedilişini belirlemektedir. Bu üç çizginin her biri, İslâm’ın önce bölgeyi, ardından da doğu Roma’nın başkentini fethedişini tanımlamaktadır. Üç başkentin adının tümü, bölgenin adıyla aynıdır. Bu üç çizginin her birinin birbirinden farklı alfa ve omega tarihî şahsiyetleri vardır. Hem imparatorun hem de imparatoriçenin İslâm tarafından aşağılanmasıyla bir kilise-devlet ilişkisini tanımlarken, peygamberlikteki bu aşağılanma, onların çizgilerini, 330 yılında Büyük Konstantin’in Roma şehri yerine Konstantinopolis’i seçmesiyle aşağılanan batı Roma ile birleştirmektedir. Batı Roma’nın nihai aşağılanması 476’da son imparatorla geldi ve o noktadan sonra hızla gerilemeye devam etti.</w:t>
      </w:r>
    </w:p>
    <w:p>
      <w:pPr>
        <w:pStyle w:val="ArticleBody"/>
        <w:jc w:val="left"/>
      </w:pPr>
      <w:r>
        <w:rPr>
          <w:rFonts w:ascii="Nirmala UI" w:hAnsi="Nirmala UI" w:eastAsia="Nirmala UI" w:cs="Nirmala UI"/>
        </w:rPr>
        <w:t>ரோமின்</w:t>
      </w:r>
      <w:r>
        <w:rPr>
          <w:rFonts w:ascii="Times New Roman" w:hAnsi="Times New Roman" w:eastAsia="Times New Roman" w:cs="Times New Roman"/>
        </w:rPr>
        <w:t xml:space="preserve"> </w:t>
      </w:r>
      <w:r>
        <w:rPr>
          <w:rFonts w:ascii="Nirmala UI" w:hAnsi="Nirmala UI" w:eastAsia="Nirmala UI" w:cs="Nirmala UI"/>
        </w:rPr>
        <w:t>கிழக்குப்</w:t>
      </w:r>
      <w:r>
        <w:rPr>
          <w:rFonts w:ascii="Times New Roman" w:hAnsi="Times New Roman" w:eastAsia="Times New Roman" w:cs="Times New Roman"/>
        </w:rPr>
        <w:t xml:space="preserve"> </w:t>
      </w:r>
      <w:r>
        <w:rPr>
          <w:rFonts w:ascii="Nirmala UI" w:hAnsi="Nirmala UI" w:eastAsia="Nirmala UI" w:cs="Nirmala UI"/>
        </w:rPr>
        <w:t>பகுதியுடன்</w:t>
      </w:r>
      <w:r>
        <w:rPr>
          <w:rFonts w:ascii="Times New Roman" w:hAnsi="Times New Roman" w:eastAsia="Times New Roman" w:cs="Times New Roman"/>
        </w:rPr>
        <w:t xml:space="preserve"> </w:t>
      </w:r>
      <w:r>
        <w:rPr>
          <w:rFonts w:ascii="Nirmala UI" w:hAnsi="Nirmala UI" w:eastAsia="Nirmala UI" w:cs="Nirmala UI"/>
        </w:rPr>
        <w:t>ஒப்பிடுகையில்</w:t>
      </w:r>
      <w:r>
        <w:rPr>
          <w:rFonts w:ascii="Times New Roman" w:hAnsi="Times New Roman" w:eastAsia="Times New Roman" w:cs="Times New Roman"/>
        </w:rPr>
        <w:t xml:space="preserve"> </w:t>
      </w:r>
      <w:r>
        <w:rPr>
          <w:rFonts w:ascii="Nirmala UI" w:hAnsi="Nirmala UI" w:eastAsia="Nirmala UI" w:cs="Nirmala UI"/>
        </w:rPr>
        <w:t>மேற்கத்திய</w:t>
      </w:r>
      <w:r>
        <w:rPr>
          <w:rFonts w:ascii="Times New Roman" w:hAnsi="Times New Roman" w:eastAsia="Times New Roman" w:cs="Times New Roman"/>
        </w:rPr>
        <w:t xml:space="preserve"> </w:t>
      </w:r>
      <w:r>
        <w:rPr>
          <w:rFonts w:ascii="Nirmala UI" w:hAnsi="Nirmala UI" w:eastAsia="Nirmala UI" w:cs="Nirmala UI"/>
        </w:rPr>
        <w:t>ரோம்</w:t>
      </w:r>
      <w:r>
        <w:rPr>
          <w:rFonts w:ascii="Times New Roman" w:hAnsi="Times New Roman" w:eastAsia="Times New Roman" w:cs="Times New Roman"/>
        </w:rPr>
        <w:t xml:space="preserve"> </w:t>
      </w:r>
      <w:r>
        <w:rPr>
          <w:rFonts w:ascii="Nirmala UI" w:hAnsi="Nirmala UI" w:eastAsia="Nirmala UI" w:cs="Nirmala UI"/>
        </w:rPr>
        <w:t>சபையாக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கிழக்கு</w:t>
      </w:r>
      <w:r>
        <w:rPr>
          <w:rFonts w:ascii="Times New Roman" w:hAnsi="Times New Roman" w:eastAsia="Times New Roman" w:cs="Times New Roman"/>
        </w:rPr>
        <w:t xml:space="preserve"> </w:t>
      </w:r>
      <w:r>
        <w:rPr>
          <w:rFonts w:ascii="Nirmala UI" w:hAnsi="Nirmala UI" w:eastAsia="Nirmala UI" w:cs="Nirmala UI"/>
        </w:rPr>
        <w:t>அரசாக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ஆரம்பத்தில்</w:t>
      </w:r>
      <w:r>
        <w:rPr>
          <w:rFonts w:ascii="Times New Roman" w:hAnsi="Times New Roman" w:eastAsia="Times New Roman" w:cs="Times New Roman"/>
        </w:rPr>
        <w:t xml:space="preserve"> 330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அவமானம்</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476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அவமானம்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பின்</w:t>
      </w:r>
      <w:r>
        <w:rPr>
          <w:rFonts w:ascii="Times New Roman" w:hAnsi="Times New Roman" w:eastAsia="Times New Roman" w:cs="Times New Roman"/>
        </w:rPr>
        <w:t xml:space="preserve"> 782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மறுபடியும்</w:t>
      </w:r>
      <w:r>
        <w:rPr>
          <w:rFonts w:ascii="Times New Roman" w:hAnsi="Times New Roman" w:eastAsia="Times New Roman" w:cs="Times New Roman"/>
        </w:rPr>
        <w:t xml:space="preserve"> 1449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ராஜ்யத்தின்</w:t>
      </w:r>
      <w:r>
        <w:rPr>
          <w:rFonts w:ascii="Times New Roman" w:hAnsi="Times New Roman" w:eastAsia="Times New Roman" w:cs="Times New Roman"/>
        </w:rPr>
        <w:t xml:space="preserve"> </w:t>
      </w:r>
      <w:r>
        <w:rPr>
          <w:rFonts w:ascii="Nirmala UI" w:hAnsi="Nirmala UI" w:eastAsia="Nirmala UI" w:cs="Nirmala UI"/>
        </w:rPr>
        <w:t>பிரிவால்</w:t>
      </w:r>
      <w:r>
        <w:rPr>
          <w:rFonts w:ascii="Times New Roman" w:hAnsi="Times New Roman" w:eastAsia="Times New Roman" w:cs="Times New Roman"/>
        </w:rPr>
        <w:t xml:space="preserve"> </w:t>
      </w:r>
      <w:r>
        <w:rPr>
          <w:rFonts w:ascii="Nirmala UI" w:hAnsi="Nirmala UI" w:eastAsia="Nirmala UI" w:cs="Nirmala UI"/>
        </w:rPr>
        <w:t>தொடங்கிய</w:t>
      </w:r>
      <w:r>
        <w:rPr>
          <w:rFonts w:ascii="Times New Roman" w:hAnsi="Times New Roman" w:eastAsia="Times New Roman" w:cs="Times New Roman"/>
        </w:rPr>
        <w:t xml:space="preserve"> </w:t>
      </w:r>
      <w:r>
        <w:rPr>
          <w:rFonts w:ascii="Nirmala UI" w:hAnsi="Nirmala UI" w:eastAsia="Nirmala UI" w:cs="Nirmala UI"/>
        </w:rPr>
        <w:t>அவமானத்தின்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தொடர்ச்சி</w:t>
      </w:r>
      <w:r>
        <w:rPr>
          <w:rFonts w:ascii="Times New Roman" w:hAnsi="Times New Roman" w:eastAsia="Times New Roman" w:cs="Times New Roman"/>
        </w:rPr>
        <w:t xml:space="preserve">—476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சக்கரவர்த்தியை</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பேரரசையும்</w:t>
      </w:r>
      <w:r>
        <w:rPr>
          <w:rFonts w:ascii="Times New Roman" w:hAnsi="Times New Roman" w:eastAsia="Times New Roman" w:cs="Times New Roman"/>
        </w:rPr>
        <w:t xml:space="preserve">, </w:t>
      </w:r>
      <w:r>
        <w:rPr>
          <w:rFonts w:ascii="Nirmala UI" w:hAnsi="Nirmala UI" w:eastAsia="Nirmala UI" w:cs="Nirmala UI"/>
        </w:rPr>
        <w:t>இழந்த</w:t>
      </w:r>
      <w:r>
        <w:rPr>
          <w:rFonts w:ascii="Times New Roman" w:hAnsi="Times New Roman" w:eastAsia="Times New Roman" w:cs="Times New Roman"/>
        </w:rPr>
        <w:t xml:space="preserve"> </w:t>
      </w:r>
      <w:r>
        <w:rPr>
          <w:rFonts w:ascii="Nirmala UI" w:hAnsi="Nirmala UI" w:eastAsia="Nirmala UI" w:cs="Nirmala UI"/>
        </w:rPr>
        <w:t>அவமானம்</w:t>
      </w:r>
      <w:r>
        <w:rPr>
          <w:rFonts w:ascii="Times New Roman" w:hAnsi="Times New Roman" w:eastAsia="Times New Roman" w:cs="Times New Roman"/>
        </w:rPr>
        <w:t xml:space="preserve"> </w:t>
      </w:r>
      <w:r>
        <w:rPr>
          <w:rFonts w:ascii="Nirmala UI" w:hAnsi="Nirmala UI" w:eastAsia="Nirmala UI" w:cs="Nirmala UI"/>
        </w:rPr>
        <w:t>அதனைத்</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வந்தது</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இஸ்லாம்</w:t>
      </w:r>
      <w:r>
        <w:rPr>
          <w:rFonts w:ascii="Times New Roman" w:hAnsi="Times New Roman" w:eastAsia="Times New Roman" w:cs="Times New Roman"/>
        </w:rPr>
        <w:t xml:space="preserve"> </w:t>
      </w:r>
      <w:r>
        <w:rPr>
          <w:rFonts w:ascii="Nirmala UI" w:hAnsi="Nirmala UI" w:eastAsia="Nirmala UI" w:cs="Nirmala UI"/>
        </w:rPr>
        <w:t>முதலில்</w:t>
      </w:r>
      <w:r>
        <w:rPr>
          <w:rFonts w:ascii="Times New Roman" w:hAnsi="Times New Roman" w:eastAsia="Times New Roman" w:cs="Times New Roman"/>
        </w:rPr>
        <w:t xml:space="preserve"> 782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கிழக்கின்</w:t>
      </w:r>
      <w:r>
        <w:rPr>
          <w:rFonts w:ascii="Times New Roman" w:hAnsi="Times New Roman" w:eastAsia="Times New Roman" w:cs="Times New Roman"/>
        </w:rPr>
        <w:t xml:space="preserve"> </w:t>
      </w:r>
      <w:r>
        <w:rPr>
          <w:rFonts w:ascii="Nirmala UI" w:hAnsi="Nirmala UI" w:eastAsia="Nirmala UI" w:cs="Nirmala UI"/>
        </w:rPr>
        <w:t>பிரதேசத்திற்கும்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பின்</w:t>
      </w:r>
      <w:r>
        <w:rPr>
          <w:rFonts w:ascii="Times New Roman" w:hAnsi="Times New Roman" w:eastAsia="Times New Roman" w:cs="Times New Roman"/>
        </w:rPr>
        <w:t xml:space="preserve"> 1453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கிழக்கின்</w:t>
      </w:r>
      <w:r>
        <w:rPr>
          <w:rFonts w:ascii="Times New Roman" w:hAnsi="Times New Roman" w:eastAsia="Times New Roman" w:cs="Times New Roman"/>
        </w:rPr>
        <w:t xml:space="preserve"> </w:t>
      </w:r>
      <w:r>
        <w:rPr>
          <w:rFonts w:ascii="Nirmala UI" w:hAnsi="Nirmala UI" w:eastAsia="Nirmala UI" w:cs="Nirmala UI"/>
        </w:rPr>
        <w:t>தலைநகரத்திற்கும்</w:t>
      </w:r>
      <w:r>
        <w:rPr>
          <w:rFonts w:ascii="Times New Roman" w:hAnsi="Times New Roman" w:eastAsia="Times New Roman" w:cs="Times New Roman"/>
        </w:rPr>
        <w:t xml:space="preserve"> </w:t>
      </w:r>
      <w:r>
        <w:rPr>
          <w:rFonts w:ascii="Nirmala UI" w:hAnsi="Nirmala UI" w:eastAsia="Nirmala UI" w:cs="Nirmala UI"/>
        </w:rPr>
        <w:t>அவமானத்தை</w:t>
      </w:r>
      <w:r>
        <w:rPr>
          <w:rFonts w:ascii="Times New Roman" w:hAnsi="Times New Roman" w:eastAsia="Times New Roman" w:cs="Times New Roman"/>
        </w:rPr>
        <w:t xml:space="preserve"> </w:t>
      </w:r>
      <w:r>
        <w:rPr>
          <w:rFonts w:ascii="Nirmala UI" w:hAnsi="Nirmala UI" w:eastAsia="Nirmala UI" w:cs="Nirmala UI"/>
        </w:rPr>
        <w:t>உண்டாக்கியது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Islam de la prophétie biblique met en lumière la lignée de Rome orientale aussi bien que de Rome occidentale, et la lumière qu’Islam produit aujourd’hui est en accord avec la lumière fondamentale qu’Islam représentait pour les pionniers millérites, tout en la dépassant largement. Le temps d’épreuve qui a commencé en 2024 avec la question de savoir qui sont « les violents de ton peuple, qui accompliront la vision » fut l’alpha de la période d’épreuve, et maintenant, à la fin de cette période d’épreuve, la lumière tirée du sujet d’Islam dans le chapitre neuf de l’Apocalypse ajoute des témoins de Rome occidentale et orientale qui n’avaient jamais été examinés avant ces derniers jours actuels.</w:t>
      </w:r>
    </w:p>
    <w:p>
      <w:pPr>
        <w:pStyle w:val="ArticleBody"/>
        <w:jc w:val="left"/>
      </w:pP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এগারো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রেখাসমূহ</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১০</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১৬</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রেখাসমূহকে</w:t>
      </w:r>
      <w:r>
        <w:rPr>
          <w:rFonts w:ascii="Times New Roman" w:hAnsi="Times New Roman" w:eastAsia="Times New Roman" w:cs="Times New Roman"/>
        </w:rPr>
        <w:t xml:space="preserve"> </w:t>
      </w:r>
      <w:r>
        <w:rPr>
          <w:rFonts w:ascii="Nirmala UI" w:hAnsi="Nirmala UI" w:eastAsia="Nirmala UI" w:cs="Nirmala UI"/>
        </w:rPr>
        <w:t>একত্রিত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প্রবন্ধসমূহে</w:t>
      </w:r>
      <w:r>
        <w:rPr>
          <w:rFonts w:ascii="Times New Roman" w:hAnsi="Times New Roman" w:eastAsia="Times New Roman" w:cs="Times New Roman"/>
        </w:rPr>
        <w:t xml:space="preserve"> </w:t>
      </w:r>
      <w:r>
        <w:rPr>
          <w:rFonts w:ascii="Nirmala UI" w:hAnsi="Nirmala UI" w:eastAsia="Nirmala UI" w:cs="Nirmala UI"/>
        </w:rPr>
        <w:t>ইতিমধ্যে</w:t>
      </w:r>
      <w:r>
        <w:rPr>
          <w:rFonts w:ascii="Times New Roman" w:hAnsi="Times New Roman" w:eastAsia="Times New Roman" w:cs="Times New Roman"/>
        </w:rPr>
        <w:t xml:space="preserve"> </w:t>
      </w:r>
      <w:r>
        <w:rPr>
          <w:rFonts w:ascii="Nirmala UI" w:hAnsi="Nirmala UI" w:eastAsia="Nirmala UI" w:cs="Nirmala UI"/>
        </w:rPr>
        <w:t>আলোচ্য</w:t>
      </w:r>
      <w:r>
        <w:rPr>
          <w:rFonts w:ascii="Times New Roman" w:hAnsi="Times New Roman" w:eastAsia="Times New Roman" w:cs="Times New Roman"/>
        </w:rPr>
        <w:t xml:space="preserve"> </w:t>
      </w:r>
      <w:r>
        <w:rPr>
          <w:rFonts w:ascii="Nirmala UI" w:hAnsi="Nirmala UI" w:eastAsia="Nirmala UI" w:cs="Nirmala UI"/>
        </w:rPr>
        <w:t>রেখাসমূহের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উত্থানের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দৃষ্টান্তের</w:t>
      </w:r>
      <w:r>
        <w:rPr>
          <w:rFonts w:ascii="Times New Roman" w:hAnsi="Times New Roman" w:eastAsia="Times New Roman" w:cs="Times New Roman"/>
        </w:rPr>
        <w:t xml:space="preserve"> </w:t>
      </w:r>
      <w:r>
        <w:rPr>
          <w:rFonts w:ascii="Nirmala UI" w:hAnsi="Nirmala UI" w:eastAsia="Nirmala UI" w:cs="Nirmala UI"/>
        </w:rPr>
        <w:t>অন্তর্গত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মিলারীয়দের</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উত্থান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উত্থান</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ভবিষ্যদ্বাণীগুলির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দৃঢ়ভাবে</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অংশরূপে</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দুইটি</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w:t>
      </w:r>
      <w:r>
        <w:rPr>
          <w:rFonts w:ascii="Nirmala UI" w:hAnsi="Nirmala UI" w:eastAsia="Nirmala UI" w:cs="Nirmala UI"/>
        </w:rPr>
        <w:t>বৎসরব্যাপী</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বৎসরের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w:t>
      </w:r>
      <w:r>
        <w:rPr>
          <w:rFonts w:ascii="Nirmala UI" w:hAnsi="Nirmala UI" w:eastAsia="Nirmala UI" w:cs="Nirmala UI"/>
        </w:rPr>
        <w:t>বৎসরব্যাপী</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বৈশিষ্ট্য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সংজ্ঞায়িত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w:t>
      </w:r>
      <w:r>
        <w:rPr>
          <w:rFonts w:ascii="Nirmala UI" w:hAnsi="Nirmala UI" w:eastAsia="Nirmala UI" w:cs="Nirmala UI"/>
        </w:rPr>
        <w:t>বৎসরব্যাপী</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১৩৩৭</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নিকোমিদিয়া</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অঞ্চল</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আটত্রিশ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১৪৪৯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রাজনৈতিক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শাসকগণের</w:t>
      </w:r>
      <w:r>
        <w:rPr>
          <w:rFonts w:ascii="Times New Roman" w:hAnsi="Times New Roman" w:eastAsia="Times New Roman" w:cs="Times New Roman"/>
        </w:rPr>
        <w:t xml:space="preserve"> </w:t>
      </w:r>
      <w:r>
        <w:rPr>
          <w:rFonts w:ascii="Nirmala UI" w:hAnsi="Nirmala UI" w:eastAsia="Nirmala UI" w:cs="Nirmala UI"/>
        </w:rPr>
        <w:t>অপমান</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মহিমান্বিত</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মহিমায়</w:t>
      </w:r>
      <w:r>
        <w:rPr>
          <w:rFonts w:ascii="Times New Roman" w:hAnsi="Times New Roman" w:eastAsia="Times New Roman" w:cs="Times New Roman"/>
        </w:rPr>
        <w:t xml:space="preserve"> </w:t>
      </w:r>
      <w:r>
        <w:rPr>
          <w:rFonts w:ascii="Nirmala UI" w:hAnsi="Nirmala UI" w:eastAsia="Nirmala UI" w:cs="Nirmala UI"/>
        </w:rPr>
        <w:t>পৃথিবীকে</w:t>
      </w:r>
      <w:r>
        <w:rPr>
          <w:rFonts w:ascii="Times New Roman" w:hAnsi="Times New Roman" w:eastAsia="Times New Roman" w:cs="Times New Roman"/>
        </w:rPr>
        <w:t xml:space="preserve"> </w:t>
      </w:r>
      <w:r>
        <w:rPr>
          <w:rFonts w:ascii="Nirmala UI" w:hAnsi="Nirmala UI" w:eastAsia="Nirmala UI" w:cs="Nirmala UI"/>
        </w:rPr>
        <w:t>আলোকিত</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আগস্ট</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হইলেন।</w:t>
      </w:r>
    </w:p>
    <w:p>
      <w:pPr>
        <w:pStyle w:val="ArticleBody"/>
        <w:jc w:val="left"/>
      </w:pPr>
      <w:r>
        <w:rPr>
          <w:rFonts w:ascii="Times New Roman" w:hAnsi="Times New Roman" w:eastAsia="Times New Roman" w:cs="Times New Roman"/>
        </w:rPr>
        <w:t>L’histoire millérite du premier et du deuxième ange correspond à l’histoire du troisième ange durant le scellement des cent quarante-quatre mille. Cette œuvre finale de scellement est l’effacement du péché; elle est l’union de la Divinité avec l’humanité, et elle se déroule au cours d’une guerre amenée par l’islam.</w:t>
      </w:r>
    </w:p>
    <w:p>
      <w:pPr>
        <w:pStyle w:val="ArticleScripture"/>
        <w:jc w:val="left"/>
      </w:pPr>
      <w:r>
        <w:rPr>
          <w:rFonts w:ascii="Times New Roman" w:hAnsi="Times New Roman" w:eastAsia="Times New Roman" w:cs="Times New Roman"/>
        </w:rPr>
        <w:t>Und er öffnete den Abgrund; und es stieg Rauch aus dem Abgrund auf wie der Rauch eines großen Ofens; und die Sonne und die Luft wurden von dem Rauch des Abgrunds verfinstert. Und aus dem Rauch kamen Heuschrecken auf die Erde hervor; und ihnen wurde Macht gegeben, wie die Skorpione der Erde Macht haben. Und es wurde ihnen geboten, dass sie das Gras der Erde nicht beschädigen sollten, auch nichts Grünes noch irgendeinen Baum; sondern allein die Menschen, die nicht das Siegel Gottes an ihren Stirnen haben. Offenbarung 9:2–4.</w:t>
      </w:r>
    </w:p>
    <w:p>
      <w:pPr>
        <w:pStyle w:val="ArticleBody"/>
        <w:jc w:val="left"/>
      </w:pPr>
      <w:r>
        <w:rPr>
          <w:rFonts w:ascii="Times New Roman" w:hAnsi="Times New Roman" w:eastAsia="Times New Roman" w:cs="Times New Roman"/>
        </w:rPr>
        <w:t>La parfaite réalisation de chaque prophétie se trouve dans les derniers jours; ainsi, ce passage désigne le scellement des cent quarante-quatre mille. La prophétie de l’islam dans Apocalypse neuf fournit la clé historique qui permet d’apporter, dans l’histoire ayant culminé le 11 août 1840, lorsque l’islam fut retenu, l’illustration la plus complète de la puissance qui établit la vision. À partir de ce point, le témoignage d’Apocalypse neuf se prolongea dans le chapitre dix et dans l’histoire des premier et deuxième anges. Puis, au chapitre onze, le troisième malheur survient soudainement lors de la loi du dimanche, moment où commence le grand cri du troisième ange. Le chapitre neuf est la clé de l’islam pour ordonner l’élévation et la chute des royaumes exposées dans Daniel et l’Apocalypse. Les chapitres dix et onze désignent l’expérience des cent quarante-quatre mille vierges sages. Le chapitre neuf désigne le symbole qui établit la vision extérieure, et les chapitres dix et onze désignent la vision intérieure associée au fait de suivre l’Agneau dans le lieu très saint.</w:t>
      </w:r>
    </w:p>
    <w:p>
      <w:pPr>
        <w:pStyle w:val="ArticleBody"/>
        <w:jc w:val="left"/>
      </w:pPr>
      <w:r>
        <w:rPr>
          <w:rFonts w:ascii="Nirmala UI" w:hAnsi="Nirmala UI" w:eastAsia="Nirmala UI" w:cs="Nirmala UI"/>
        </w:rPr>
        <w:t>વિશ્વાસપ્રકાશ</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શક્તિશાળી</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નાનું</w:t>
      </w:r>
      <w:r>
        <w:rPr>
          <w:rFonts w:ascii="Times New Roman" w:hAnsi="Times New Roman" w:eastAsia="Times New Roman" w:cs="Times New Roman"/>
        </w:rPr>
        <w:t xml:space="preserve"> </w:t>
      </w:r>
      <w:r>
        <w:rPr>
          <w:rFonts w:ascii="Nirmala UI" w:hAnsi="Nirmala UI" w:eastAsia="Nirmala UI" w:cs="Nirmala UI"/>
        </w:rPr>
        <w:t>પુસ્તક</w:t>
      </w:r>
      <w:r>
        <w:rPr>
          <w:rFonts w:ascii="Times New Roman" w:hAnsi="Times New Roman" w:eastAsia="Times New Roman" w:cs="Times New Roman"/>
        </w:rPr>
        <w:t xml:space="preserve"> </w:t>
      </w:r>
      <w:r>
        <w:rPr>
          <w:rFonts w:ascii="Nirmala UI" w:hAnsi="Nirmala UI" w:eastAsia="Nirmala UI" w:cs="Nirmala UI"/>
        </w:rPr>
        <w:t>લઈને</w:t>
      </w:r>
      <w:r>
        <w:rPr>
          <w:rFonts w:ascii="Times New Roman" w:hAnsi="Times New Roman" w:eastAsia="Times New Roman" w:cs="Times New Roman"/>
        </w:rPr>
        <w:t xml:space="preserve"> </w:t>
      </w:r>
      <w:r>
        <w:rPr>
          <w:rFonts w:ascii="Nirmala UI" w:hAnsi="Nirmala UI" w:eastAsia="Nirmala UI" w:cs="Nirmala UI"/>
        </w:rPr>
        <w:t>ઉતરે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ઘટના</w:t>
      </w:r>
      <w:r>
        <w:rPr>
          <w:rFonts w:ascii="Times New Roman" w:hAnsi="Times New Roman" w:eastAsia="Times New Roman" w:cs="Times New Roman"/>
        </w:rPr>
        <w:t xml:space="preserve"> </w:t>
      </w:r>
      <w:r>
        <w:rPr>
          <w:rFonts w:ascii="Nirmala UI" w:hAnsi="Nirmala UI" w:eastAsia="Nirmala UI" w:cs="Nirmala UI"/>
        </w:rPr>
        <w:t>વિશ્વાસપ્રકાશ</w:t>
      </w:r>
      <w:r>
        <w:rPr>
          <w:rFonts w:ascii="Times New Roman" w:hAnsi="Times New Roman" w:eastAsia="Times New Roman" w:cs="Times New Roman"/>
        </w:rPr>
        <w:t xml:space="preserve"> </w:t>
      </w:r>
      <w:r>
        <w:rPr>
          <w:rFonts w:ascii="Nirmala UI" w:hAnsi="Nirmala UI" w:eastAsia="Nirmala UI" w:cs="Nirmala UI"/>
        </w:rPr>
        <w:t>નવની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ત્રણસો</w:t>
      </w:r>
      <w:r>
        <w:rPr>
          <w:rFonts w:ascii="Times New Roman" w:hAnsi="Times New Roman" w:eastAsia="Times New Roman" w:cs="Times New Roman"/>
        </w:rPr>
        <w:t xml:space="preserve"> </w:t>
      </w:r>
      <w:r>
        <w:rPr>
          <w:rFonts w:ascii="Nirmala UI" w:hAnsi="Nirmala UI" w:eastAsia="Nirmala UI" w:cs="Nirmala UI"/>
        </w:rPr>
        <w:t>એકાણું</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પંદર</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નિર્દિષ્ટ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11 </w:t>
      </w:r>
      <w:r>
        <w:rPr>
          <w:rFonts w:ascii="Nirmala UI" w:hAnsi="Nirmala UI" w:eastAsia="Nirmala UI" w:cs="Nirmala UI"/>
        </w:rPr>
        <w:t>ઑગસ્ટ</w:t>
      </w:r>
      <w:r>
        <w:rPr>
          <w:rFonts w:ascii="Times New Roman" w:hAnsi="Times New Roman" w:eastAsia="Times New Roman" w:cs="Times New Roman"/>
        </w:rPr>
        <w:t>, 1840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વિશ્વાસપ્રકાશ</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વધીને</w:t>
      </w:r>
      <w:r>
        <w:rPr>
          <w:rFonts w:ascii="Times New Roman" w:hAnsi="Times New Roman" w:eastAsia="Times New Roman" w:cs="Times New Roman"/>
        </w:rPr>
        <w:t xml:space="preserve"> 22 </w:t>
      </w:r>
      <w:r>
        <w:rPr>
          <w:rFonts w:ascii="Nirmala UI" w:hAnsi="Nirmala UI" w:eastAsia="Nirmala UI" w:cs="Nirmala UI"/>
        </w:rPr>
        <w:t>ઑક્ટોબર</w:t>
      </w:r>
      <w:r>
        <w:rPr>
          <w:rFonts w:ascii="Times New Roman" w:hAnsi="Times New Roman" w:eastAsia="Times New Roman" w:cs="Times New Roman"/>
        </w:rPr>
        <w:t>, 1844</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યોહાનના</w:t>
      </w:r>
      <w:r>
        <w:rPr>
          <w:rFonts w:ascii="Times New Roman" w:hAnsi="Times New Roman" w:eastAsia="Times New Roman" w:cs="Times New Roman"/>
        </w:rPr>
        <w:t xml:space="preserve"> </w:t>
      </w:r>
      <w:r>
        <w:rPr>
          <w:rFonts w:ascii="Nirmala UI" w:hAnsi="Nirmala UI" w:eastAsia="Nirmala UI" w:cs="Nirmala UI"/>
        </w:rPr>
        <w:t>પેટમાં</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કડવો</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પહોંચે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1840</w:t>
      </w:r>
      <w:r>
        <w:rPr>
          <w:rFonts w:ascii="Nirmala UI" w:hAnsi="Nirmala UI" w:eastAsia="Nirmala UI" w:cs="Nirmala UI"/>
        </w:rPr>
        <w:t>થી</w:t>
      </w:r>
      <w:r>
        <w:rPr>
          <w:rFonts w:ascii="Times New Roman" w:hAnsi="Times New Roman" w:eastAsia="Times New Roman" w:cs="Times New Roman"/>
        </w:rPr>
        <w:t xml:space="preserve"> 1844</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આગમનથી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આગમનથી</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11 </w:t>
      </w:r>
      <w:r>
        <w:rPr>
          <w:rFonts w:ascii="Nirmala UI" w:hAnsi="Nirmala UI" w:eastAsia="Nirmala UI" w:cs="Nirmala UI"/>
        </w:rPr>
        <w:t>ઑગસ્ટ</w:t>
      </w:r>
      <w:r>
        <w:rPr>
          <w:rFonts w:ascii="Times New Roman" w:hAnsi="Times New Roman" w:eastAsia="Times New Roman" w:cs="Times New Roman"/>
        </w:rPr>
        <w:t>, 1840</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પૂર્ણતા</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ત્રણસો</w:t>
      </w:r>
      <w:r>
        <w:rPr>
          <w:rFonts w:ascii="Times New Roman" w:hAnsi="Times New Roman" w:eastAsia="Times New Roman" w:cs="Times New Roman"/>
        </w:rPr>
        <w:t xml:space="preserve"> </w:t>
      </w:r>
      <w:r>
        <w:rPr>
          <w:rFonts w:ascii="Nirmala UI" w:hAnsi="Nirmala UI" w:eastAsia="Nirmala UI" w:cs="Nirmala UI"/>
        </w:rPr>
        <w:t>એકાણું</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પંદર</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શરૂઆતમાં</w:t>
      </w:r>
      <w:r>
        <w:rPr>
          <w:rFonts w:ascii="Times New Roman" w:hAnsi="Times New Roman" w:eastAsia="Times New Roman" w:cs="Times New Roman"/>
        </w:rPr>
        <w:t xml:space="preserve"> 27 </w:t>
      </w:r>
      <w:r>
        <w:rPr>
          <w:rFonts w:ascii="Nirmala UI" w:hAnsi="Nirmala UI" w:eastAsia="Nirmala UI" w:cs="Nirmala UI"/>
        </w:rPr>
        <w:t>જુલાઈ</w:t>
      </w:r>
      <w:r>
        <w:rPr>
          <w:rFonts w:ascii="Times New Roman" w:hAnsi="Times New Roman" w:eastAsia="Times New Roman" w:cs="Times New Roman"/>
        </w:rPr>
        <w:t>, 1449</w:t>
      </w:r>
      <w:r>
        <w:rPr>
          <w:rFonts w:ascii="Nirmala UI" w:hAnsi="Nirmala UI" w:eastAsia="Nirmala UI" w:cs="Nirmala UI"/>
        </w:rPr>
        <w:t>થી</w:t>
      </w:r>
      <w:r>
        <w:rPr>
          <w:rFonts w:ascii="Times New Roman" w:hAnsi="Times New Roman" w:eastAsia="Times New Roman" w:cs="Times New Roman"/>
        </w:rPr>
        <w:t xml:space="preserve"> 1453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વર્ષોથી</w:t>
      </w:r>
      <w:r>
        <w:rPr>
          <w:rFonts w:ascii="Times New Roman" w:hAnsi="Times New Roman" w:eastAsia="Times New Roman" w:cs="Times New Roman"/>
        </w:rPr>
        <w:t xml:space="preserve"> </w:t>
      </w:r>
      <w:r>
        <w:rPr>
          <w:rFonts w:ascii="Nirmala UI" w:hAnsi="Nirmala UI" w:eastAsia="Nirmala UI" w:cs="Nirmala UI"/>
        </w:rPr>
        <w:t>પ્રતિકરૂપે</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w:t>
      </w:r>
      <w:r>
        <w:rPr>
          <w:rFonts w:ascii="Nirmala UI" w:hAnsi="Nirmala UI" w:eastAsia="Nirmala UI" w:cs="Nirmala UI"/>
        </w:rPr>
        <w:t>વર્ષીય</w:t>
      </w:r>
      <w:r>
        <w:rPr>
          <w:rFonts w:ascii="Times New Roman" w:hAnsi="Times New Roman" w:eastAsia="Times New Roman" w:cs="Times New Roman"/>
        </w:rPr>
        <w:t xml:space="preserve"> </w:t>
      </w:r>
      <w:r>
        <w:rPr>
          <w:rFonts w:ascii="Nirmala UI" w:hAnsi="Nirmala UI" w:eastAsia="Nirmala UI" w:cs="Nirmala UI"/>
        </w:rPr>
        <w:t>અવધિઓ</w:t>
      </w:r>
      <w:r>
        <w:rPr>
          <w:rFonts w:ascii="Times New Roman" w:hAnsi="Times New Roman" w:eastAsia="Times New Roman" w:cs="Times New Roman"/>
        </w:rPr>
        <w:t xml:space="preserve"> 1333</w:t>
      </w:r>
      <w:r>
        <w:rPr>
          <w:rFonts w:ascii="Nirmala UI" w:hAnsi="Nirmala UI" w:eastAsia="Nirmala UI" w:cs="Nirmala UI"/>
        </w:rPr>
        <w:t>થી</w:t>
      </w:r>
      <w:r>
        <w:rPr>
          <w:rFonts w:ascii="Times New Roman" w:hAnsi="Times New Roman" w:eastAsia="Times New Roman" w:cs="Times New Roman"/>
        </w:rPr>
        <w:t xml:space="preserve"> 1337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નિકોમિડિયાના</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ઘેરાવ</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સુસંગત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પ્રતીકાત્મક</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પૂર્વીય</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ઇસ્લામે</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વિજય</w:t>
      </w:r>
      <w:r>
        <w:rPr>
          <w:rFonts w:ascii="Times New Roman" w:hAnsi="Times New Roman" w:eastAsia="Times New Roman" w:cs="Times New Roman"/>
        </w:rPr>
        <w:t xml:space="preserve"> </w:t>
      </w:r>
      <w:r>
        <w:rPr>
          <w:rFonts w:ascii="Nirmala UI" w:hAnsi="Nirmala UI" w:eastAsia="Nirmala UI" w:cs="Nirmala UI"/>
        </w:rPr>
        <w:t>મેળવ્યો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1331</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નિકીયાના</w:t>
      </w:r>
      <w:r>
        <w:rPr>
          <w:rFonts w:ascii="Times New Roman" w:hAnsi="Times New Roman" w:eastAsia="Times New Roman" w:cs="Times New Roman"/>
        </w:rPr>
        <w:t xml:space="preserve"> </w:t>
      </w:r>
      <w:r>
        <w:rPr>
          <w:rFonts w:ascii="Nirmala UI" w:hAnsi="Nirmala UI" w:eastAsia="Nirmala UI" w:cs="Nirmala UI"/>
        </w:rPr>
        <w:t>ઘેરાવ</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1337</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નિકોમિડિયાના</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ઘેરાવ</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1453</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કોન્સ્ટાન્ટિનોપલના</w:t>
      </w:r>
      <w:r>
        <w:rPr>
          <w:rFonts w:ascii="Times New Roman" w:hAnsi="Times New Roman" w:eastAsia="Times New Roman" w:cs="Times New Roman"/>
        </w:rPr>
        <w:t xml:space="preserve"> </w:t>
      </w:r>
      <w:r>
        <w:rPr>
          <w:rFonts w:ascii="Nirmala UI" w:hAnsi="Nirmala UI" w:eastAsia="Nirmala UI" w:cs="Nirmala UI"/>
        </w:rPr>
        <w:t>ઘેરાવ</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w:t>
      </w:r>
    </w:p>
    <w:p>
      <w:pPr>
        <w:pStyle w:val="ArticleBody"/>
        <w:jc w:val="left"/>
      </w:pPr>
      <w:r>
        <w:rPr>
          <w:rFonts w:ascii="Nirmala UI" w:hAnsi="Nirmala UI" w:eastAsia="Nirmala UI" w:cs="Nirmala UI"/>
        </w:rPr>
        <w:t>ඩයොක්ලීෂියන්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293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නීතිමය</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බස්නාහිර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කොන්ස්ටන්ටයින්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330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අනාගතවාදී</w:t>
      </w:r>
      <w:r>
        <w:rPr>
          <w:rFonts w:ascii="Times New Roman" w:hAnsi="Times New Roman" w:eastAsia="Times New Roman" w:cs="Times New Roman"/>
        </w:rPr>
        <w:t xml:space="preserve"> </w:t>
      </w:r>
      <w:r>
        <w:rPr>
          <w:rFonts w:ascii="Nirmala UI" w:hAnsi="Nirmala UI" w:eastAsia="Nirmala UI" w:cs="Nirmala UI"/>
        </w:rPr>
        <w:t>අර්ථයෙන්</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බස්නාහිර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395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අධිරාජයා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තීයෝදෝසියුස්</w:t>
      </w:r>
      <w:r>
        <w:rPr>
          <w:rFonts w:ascii="Times New Roman" w:hAnsi="Times New Roman" w:eastAsia="Times New Roman" w:cs="Times New Roman"/>
        </w:rPr>
        <w:t xml:space="preserve"> </w:t>
      </w:r>
      <w:r>
        <w:rPr>
          <w:rFonts w:ascii="Nirmala UI" w:hAnsi="Nirmala UI" w:eastAsia="Nirmala UI" w:cs="Nirmala UI"/>
        </w:rPr>
        <w:t>පළමුවනගේ</w:t>
      </w:r>
      <w:r>
        <w:rPr>
          <w:rFonts w:ascii="Times New Roman" w:hAnsi="Times New Roman" w:eastAsia="Times New Roman" w:cs="Times New Roman"/>
        </w:rPr>
        <w:t xml:space="preserve"> </w:t>
      </w:r>
      <w:r>
        <w:rPr>
          <w:rFonts w:ascii="Nirmala UI" w:hAnsi="Nirmala UI" w:eastAsia="Nirmala UI" w:cs="Nirmala UI"/>
        </w:rPr>
        <w:t>මරණයෙන්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නැගෙනහිරත්</w:t>
      </w:r>
      <w:r>
        <w:rPr>
          <w:rFonts w:ascii="Times New Roman" w:hAnsi="Times New Roman" w:eastAsia="Times New Roman" w:cs="Times New Roman"/>
        </w:rPr>
        <w:t xml:space="preserve"> </w:t>
      </w:r>
      <w:r>
        <w:rPr>
          <w:rFonts w:ascii="Nirmala UI" w:hAnsi="Nirmala UI" w:eastAsia="Nirmala UI" w:cs="Nirmala UI"/>
        </w:rPr>
        <w:t>බස්නාහිරත්</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රයන්</w:t>
      </w:r>
      <w:r>
        <w:rPr>
          <w:rFonts w:ascii="Times New Roman" w:hAnsi="Times New Roman" w:eastAsia="Times New Roman" w:cs="Times New Roman"/>
        </w:rPr>
        <w:t xml:space="preserve"> </w:t>
      </w:r>
      <w:r>
        <w:rPr>
          <w:rFonts w:ascii="Nirmala UI" w:hAnsi="Nirmala UI" w:eastAsia="Nirmala UI" w:cs="Nirmala UI"/>
        </w:rPr>
        <w:t>දෙදෙනාට</w:t>
      </w:r>
      <w:r>
        <w:rPr>
          <w:rFonts w:ascii="Times New Roman" w:hAnsi="Times New Roman" w:eastAsia="Times New Roman" w:cs="Times New Roman"/>
        </w:rPr>
        <w:t xml:space="preserve"> </w:t>
      </w:r>
      <w:r>
        <w:rPr>
          <w:rFonts w:ascii="Nirmala UI" w:hAnsi="Nirmala UI" w:eastAsia="Nirmala UI" w:cs="Nirmala UI"/>
        </w:rPr>
        <w:t>උරුම</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අධිරාජ්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විධිමත්</w:t>
      </w:r>
      <w:r>
        <w:rPr>
          <w:rFonts w:ascii="Times New Roman" w:hAnsi="Times New Roman" w:eastAsia="Times New Roman" w:cs="Times New Roman"/>
        </w:rPr>
        <w:t xml:space="preserve"> </w:t>
      </w:r>
      <w:r>
        <w:rPr>
          <w:rFonts w:ascii="Nirmala UI" w:hAnsi="Nirmala UI" w:eastAsia="Nirmala UI" w:cs="Nirmala UI"/>
        </w:rPr>
        <w:t>ලෙසත්</w:t>
      </w:r>
      <w:r>
        <w:rPr>
          <w:rFonts w:ascii="Times New Roman" w:hAnsi="Times New Roman" w:eastAsia="Times New Roman" w:cs="Times New Roman"/>
        </w:rPr>
        <w:t xml:space="preserve"> </w:t>
      </w:r>
      <w:r>
        <w:rPr>
          <w:rFonts w:ascii="Nirmala UI" w:hAnsi="Nirmala UI" w:eastAsia="Nirmala UI" w:cs="Nirmala UI"/>
        </w:rPr>
        <w:t>ස්ථිර</w:t>
      </w:r>
      <w:r>
        <w:rPr>
          <w:rFonts w:ascii="Times New Roman" w:hAnsi="Times New Roman" w:eastAsia="Times New Roman" w:cs="Times New Roman"/>
        </w:rPr>
        <w:t xml:space="preserve"> </w:t>
      </w:r>
      <w:r>
        <w:rPr>
          <w:rFonts w:ascii="Nirmala UI" w:hAnsi="Nirmala UI" w:eastAsia="Nirmala UI" w:cs="Nirmala UI"/>
        </w:rPr>
        <w:t>ලෙසත්</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1054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විභේදනය</w:t>
      </w:r>
      <w:r>
        <w:rPr>
          <w:rFonts w:ascii="Times New Roman" w:hAnsi="Times New Roman" w:eastAsia="Times New Roman" w:cs="Times New Roman"/>
        </w:rPr>
        <w:t xml:space="preserve">” </w:t>
      </w:r>
      <w:r>
        <w:rPr>
          <w:rFonts w:ascii="Nirmala UI" w:hAnsi="Nirmala UI" w:eastAsia="Nirmala UI" w:cs="Nirmala UI"/>
        </w:rPr>
        <w:t>හමුවේ</w:t>
      </w:r>
      <w:r>
        <w:rPr>
          <w:rFonts w:ascii="Times New Roman" w:hAnsi="Times New Roman" w:eastAsia="Times New Roman" w:cs="Times New Roman"/>
        </w:rPr>
        <w:t xml:space="preserve"> </w:t>
      </w:r>
      <w:r>
        <w:rPr>
          <w:rFonts w:ascii="Nirmala UI" w:hAnsi="Nirmala UI" w:eastAsia="Nirmala UI" w:cs="Nirmala UI"/>
        </w:rPr>
        <w:t>කතෝලික</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බස්නාහිර</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විභේදනය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රමික</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අනුගමනය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පතනය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විභේදනය</w:t>
      </w:r>
      <w:r>
        <w:rPr>
          <w:rFonts w:ascii="Times New Roman" w:hAnsi="Times New Roman" w:eastAsia="Times New Roman" w:cs="Times New Roman"/>
        </w:rPr>
        <w:t xml:space="preserve"> </w:t>
      </w:r>
      <w:r>
        <w:rPr>
          <w:rFonts w:ascii="Nirmala UI" w:hAnsi="Nirmala UI" w:eastAsia="Nirmala UI" w:cs="Nirmala UI"/>
        </w:rPr>
        <w:t>අද</w:t>
      </w:r>
      <w:r>
        <w:rPr>
          <w:rFonts w:ascii="Times New Roman" w:hAnsi="Times New Roman" w:eastAsia="Times New Roman" w:cs="Times New Roman"/>
        </w:rPr>
        <w:t xml:space="preserve"> </w:t>
      </w:r>
      <w:r>
        <w:rPr>
          <w:rFonts w:ascii="Nirmala UI" w:hAnsi="Nirmala UI" w:eastAsia="Nirmala UI" w:cs="Nirmala UI"/>
        </w:rPr>
        <w:t>දක්වාම</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දිනයෙන්</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පනහක්</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බස්නාහිර</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ඉස්ලාමයට</w:t>
      </w:r>
      <w:r>
        <w:rPr>
          <w:rFonts w:ascii="Times New Roman" w:hAnsi="Times New Roman" w:eastAsia="Times New Roman" w:cs="Times New Roman"/>
        </w:rPr>
        <w:t xml:space="preserve"> </w:t>
      </w:r>
      <w:r>
        <w:rPr>
          <w:rFonts w:ascii="Nirmala UI" w:hAnsi="Nirmala UI" w:eastAsia="Nirmala UI" w:cs="Nirmala UI"/>
        </w:rPr>
        <w:t>එරෙහිව</w:t>
      </w:r>
      <w:r>
        <w:rPr>
          <w:rFonts w:ascii="Times New Roman" w:hAnsi="Times New Roman" w:eastAsia="Times New Roman" w:cs="Times New Roman"/>
        </w:rPr>
        <w:t xml:space="preserve"> </w:t>
      </w:r>
      <w:r>
        <w:rPr>
          <w:rFonts w:ascii="Nirmala UI" w:hAnsi="Nirmala UI" w:eastAsia="Nirmala UI" w:cs="Nirmala UI"/>
        </w:rPr>
        <w:t>ආසන්න</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දෙසියයක්</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දිව</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කුරුස</w:t>
      </w:r>
      <w:r>
        <w:rPr>
          <w:rFonts w:ascii="Times New Roman" w:hAnsi="Times New Roman" w:eastAsia="Times New Roman" w:cs="Times New Roman"/>
        </w:rPr>
        <w:t xml:space="preserve"> </w:t>
      </w:r>
      <w:r>
        <w:rPr>
          <w:rFonts w:ascii="Nirmala UI" w:hAnsi="Nirmala UI" w:eastAsia="Nirmala UI" w:cs="Nirmala UI"/>
        </w:rPr>
        <w:t>යුද්ධ</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බස්නාහිර</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අධිරාජයා</w:t>
      </w:r>
      <w:r>
        <w:rPr>
          <w:rFonts w:ascii="Times New Roman" w:hAnsi="Times New Roman" w:eastAsia="Times New Roman" w:cs="Times New Roman"/>
        </w:rPr>
        <w:t xml:space="preserve"> </w:t>
      </w:r>
      <w:r>
        <w:rPr>
          <w:rFonts w:ascii="Nirmala UI" w:hAnsi="Nirmala UI" w:eastAsia="Nirmala UI" w:cs="Nirmala UI"/>
        </w:rPr>
        <w:t>අහිමි</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476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පතනයට</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1453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පතනයට</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පාප්වහන්සේගේ</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පතනයට</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හීදන්</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293, 330 </w:t>
      </w:r>
      <w:r>
        <w:rPr>
          <w:rFonts w:ascii="Nirmala UI" w:hAnsi="Nirmala UI" w:eastAsia="Nirmala UI" w:cs="Nirmala UI"/>
        </w:rPr>
        <w:t>සහ</w:t>
      </w:r>
      <w:r>
        <w:rPr>
          <w:rFonts w:ascii="Times New Roman" w:hAnsi="Times New Roman" w:eastAsia="Times New Roman" w:cs="Times New Roman"/>
        </w:rPr>
        <w:t xml:space="preserve"> 395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බස්නාහිර</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පාප්මය</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1054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නැගෙනහිර</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බස්නාහිර</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යයන්ගේ</w:t>
      </w:r>
      <w:r>
        <w:rPr>
          <w:rFonts w:ascii="Times New Roman" w:hAnsi="Times New Roman" w:eastAsia="Times New Roman" w:cs="Times New Roman"/>
        </w:rPr>
        <w:t xml:space="preserve"> </w:t>
      </w:r>
      <w:r>
        <w:rPr>
          <w:rFonts w:ascii="Nirmala UI" w:hAnsi="Nirmala UI" w:eastAsia="Nirmala UI" w:cs="Nirmala UI"/>
        </w:rPr>
        <w:t>උත්ථානය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පතනය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යයනය</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w:t>
      </w:r>
      <w:r>
        <w:rPr>
          <w:rFonts w:ascii="Times New Roman" w:hAnsi="Times New Roman" w:eastAsia="Times New Roman" w:cs="Times New Roman"/>
        </w:rPr>
        <w:t xml:space="preserve"> </w:t>
      </w:r>
      <w:r>
        <w:rPr>
          <w:rFonts w:ascii="Nirmala UI" w:hAnsi="Nirmala UI" w:eastAsia="Nirmala UI" w:cs="Nirmala UI"/>
        </w:rPr>
        <w:t>සන්දර්භ</w:t>
      </w:r>
      <w:r>
        <w:rPr>
          <w:rFonts w:ascii="Times New Roman" w:hAnsi="Times New Roman" w:eastAsia="Times New Roman" w:cs="Times New Roman"/>
        </w:rPr>
        <w:t>-</w:t>
      </w:r>
      <w:r>
        <w:rPr>
          <w:rFonts w:ascii="Nirmala UI" w:hAnsi="Nirmala UI" w:eastAsia="Nirmala UI" w:cs="Nirmala UI"/>
        </w:rPr>
        <w:t>බිඳුවක්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royaume qui sont amenés à la lumière de l’histoire à partir du chapitre neuf de l’Apocalypse renforcent l’argument selon lequel c’est Rome qui établit la vision. Le lien prophétique entre l’islam et les cent quarante-quatre mille constitue une preuve que le message du cri de minuit, lequel fut typifié par le Christ entrant à Jérusalem monté sur un âne, est représenté par une prophétie de temps qui commença au temps du premier malheur, se poursuivit dans la seconde partie de la prophétie au cours du second malheur, et parvint à son accomplissement dans l’histoire de quatre années où le mouvement millérite des premier et second anges commença avec l’accomplissement de cette même prophétie. La prophétie commença avec le symbole de « trente-huit et deux années » (1299 et 1301), années marquant l’ascension de l’islam, et elle s’acheva avec le symbole de « trente-huit et deux années » (1838 et 1840), marquant l’essor des millérites.</w:t>
      </w:r>
    </w:p>
    <w:p>
      <w:pPr>
        <w:pStyle w:val="ArticleBody"/>
        <w:jc w:val="left"/>
      </w:pPr>
      <w:r>
        <w:rPr>
          <w:rFonts w:ascii="Times New Roman" w:hAnsi="Times New Roman" w:eastAsia="Times New Roman" w:cs="Times New Roman"/>
        </w:rPr>
        <w:t>En 1844, à la conclusion de la période de quatre ans des millérites, qui avait été préfigurée par le siège de 1333 à 1337, et de 1449 jusqu’au siège de 1453, le temps prophétique ne devait plus être appliqué. L’élévation de l’étendard des cent quarante-quatre mille est directement liée à la prophétie dans laquelle l’islam est élevé.</w:t>
      </w:r>
    </w:p>
    <w:p>
      <w:pPr>
        <w:pStyle w:val="ArticleScripture"/>
        <w:jc w:val="left"/>
      </w:pP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शिकार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झुक</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उठाएगा</w:t>
      </w:r>
      <w:r>
        <w:rPr>
          <w:rFonts w:ascii="Times New Roman" w:hAnsi="Times New Roman" w:eastAsia="Times New Roman" w:cs="Times New Roman"/>
        </w:rPr>
        <w:t xml:space="preserve">? </w:t>
      </w:r>
      <w:r>
        <w:rPr>
          <w:rFonts w:ascii="Nirmala UI" w:hAnsi="Nirmala UI" w:eastAsia="Nirmala UI" w:cs="Nirmala UI"/>
        </w:rPr>
        <w:t>राजदण्ड</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हटेगा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शीलोह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दाखलता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दाखलता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अंगूरों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धोए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दूध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49:8–12.</w:t>
      </w:r>
    </w:p>
    <w:p>
      <w:pPr>
        <w:pStyle w:val="ArticleBody"/>
        <w:jc w:val="left"/>
      </w:pPr>
      <w:r>
        <w:rPr>
          <w:rFonts w:ascii="Times New Roman" w:hAnsi="Times New Roman" w:eastAsia="Times New Roman" w:cs="Times New Roman"/>
        </w:rPr>
        <w:t>Los ciento cuarenta y cuatro mil reflejan perfectamente el carácter de Cristo, y Cristo es, entre otras representaciones simbólicas, “la vid escogida”. Ismael es identificado como un hombre “fiero” en Génesis 16:12.</w:t>
      </w:r>
    </w:p>
    <w:p>
      <w:pPr>
        <w:pStyle w:val="ArticleScripture"/>
        <w:jc w:val="left"/>
      </w:pPr>
      <w:r>
        <w:rPr>
          <w:rFonts w:ascii="Times New Roman" w:hAnsi="Times New Roman" w:eastAsia="Times New Roman" w:cs="Times New Roman"/>
        </w:rPr>
        <w:t>Bugu nitɔndɔnyɔ lo nɛ; a kɛli bɛ kɔ ka la mɔgɔ bɛɛ kan, ani mɔgɔ bɛɛ kɛli bɛ kɔ ka la a kan; ani a bɛ sigi a dɔɔninw bɛɛ ɲɛfɛ.</w:t>
      </w:r>
    </w:p>
    <w:p>
      <w:pPr>
        <w:pStyle w:val="ArticleBody"/>
        <w:jc w:val="left"/>
      </w:pP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बिलआम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संदेशवाहकों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1840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प्रासंगिक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पचास</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1840 </w:t>
      </w:r>
      <w:r>
        <w:rPr>
          <w:rFonts w:ascii="Nirmala UI" w:hAnsi="Nirmala UI" w:eastAsia="Nirmala UI" w:cs="Nirmala UI"/>
        </w:rPr>
        <w:t>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31 </w:t>
      </w:r>
      <w:r>
        <w:rPr>
          <w:rFonts w:ascii="Nirmala UI" w:hAnsi="Nirmala UI" w:eastAsia="Nirmala UI" w:cs="Nirmala UI"/>
        </w:rPr>
        <w:t>दिसंबर</w:t>
      </w:r>
      <w:r>
        <w:rPr>
          <w:rFonts w:ascii="Times New Roman" w:hAnsi="Times New Roman" w:eastAsia="Times New Roman" w:cs="Times New Roman"/>
        </w:rPr>
        <w:t xml:space="preserve">, 2023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आघात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2024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w:t>
      </w:r>
      <w:r>
        <w:rPr>
          <w:rFonts w:ascii="Nirmala UI" w:hAnsi="Nirmala UI" w:eastAsia="Nirmala UI" w:cs="Nirmala UI"/>
        </w:rPr>
        <w:t>वक्तव्य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संबद्ध</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1840 </w:t>
      </w:r>
      <w:r>
        <w:rPr>
          <w:rFonts w:ascii="Nirmala UI" w:hAnsi="Nirmala UI" w:eastAsia="Nirmala UI" w:cs="Nirmala UI"/>
        </w:rPr>
        <w:t>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भूकंप</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Leelawadee UI" w:hAnsi="Leelawadee UI" w:eastAsia="Leelawadee UI" w:cs="Leelawadee UI"/>
        </w:rPr>
        <w:t>នៅក្នុងអេសេគាល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៣៧</w:t>
      </w:r>
      <w:r>
        <w:rPr>
          <w:rFonts w:ascii="Times New Roman" w:hAnsi="Times New Roman" w:eastAsia="Times New Roman" w:cs="Times New Roman"/>
        </w:rPr>
        <w:t xml:space="preserve"> </w:t>
      </w:r>
      <w:r>
        <w:rPr>
          <w:rFonts w:ascii="Leelawadee UI" w:hAnsi="Leelawadee UI" w:eastAsia="Leelawadee UI" w:cs="Leelawadee UI"/>
        </w:rPr>
        <w:t>ការលើកប្រជាជនរបស់ព្រះឲ្យក្លាយជាកងទ័ព</w:t>
      </w:r>
      <w:r>
        <w:rPr>
          <w:rFonts w:ascii="Times New Roman" w:hAnsi="Times New Roman" w:eastAsia="Times New Roman" w:cs="Times New Roman"/>
        </w:rPr>
        <w:t xml:space="preserve"> </w:t>
      </w:r>
      <w:r>
        <w:rPr>
          <w:rFonts w:ascii="Leelawadee UI" w:hAnsi="Leelawadee UI" w:eastAsia="Leelawadee UI" w:cs="Leelawadee UI"/>
        </w:rPr>
        <w:t>គឺជាដំណើរការពីរជំហាន</w:t>
      </w:r>
      <w:r>
        <w:rPr>
          <w:rFonts w:ascii="Times New Roman" w:hAnsi="Times New Roman" w:eastAsia="Times New Roman" w:cs="Times New Roman"/>
        </w:rPr>
        <w:t xml:space="preserve"> </w:t>
      </w:r>
      <w:r>
        <w:rPr>
          <w:rFonts w:ascii="Leelawadee UI" w:hAnsi="Leelawadee UI" w:eastAsia="Leelawadee UI" w:cs="Leelawadee UI"/>
        </w:rPr>
        <w:t>ដែលត្រូវបានតំណាងទុកជាមុនដោយការបង្កើតអាដាម។</w:t>
      </w:r>
      <w:r>
        <w:rPr>
          <w:rFonts w:ascii="Times New Roman" w:hAnsi="Times New Roman" w:eastAsia="Times New Roman" w:cs="Times New Roman"/>
        </w:rPr>
        <w:t xml:space="preserve"> </w:t>
      </w:r>
      <w:r>
        <w:rPr>
          <w:rFonts w:ascii="Leelawadee UI" w:hAnsi="Leelawadee UI" w:eastAsia="Leelawadee UI" w:cs="Leelawadee UI"/>
        </w:rPr>
        <w:t>ជំហានដំបូង</w:t>
      </w:r>
      <w:r>
        <w:rPr>
          <w:rFonts w:ascii="Times New Roman" w:hAnsi="Times New Roman" w:eastAsia="Times New Roman" w:cs="Times New Roman"/>
        </w:rPr>
        <w:t xml:space="preserve"> </w:t>
      </w:r>
      <w:r>
        <w:rPr>
          <w:rFonts w:ascii="Leelawadee UI" w:hAnsi="Leelawadee UI" w:eastAsia="Leelawadee UI" w:cs="Leelawadee UI"/>
        </w:rPr>
        <w:t>អាដាមត្រូវបានបង្កើតពីដីឥដ្ឋ</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ព្រះគ្រីស្ទបានផ្លុំខ្យល់នៃជីវិតចូលទៅក្នុងលោក។</w:t>
      </w:r>
      <w:r>
        <w:rPr>
          <w:rFonts w:ascii="Times New Roman" w:hAnsi="Times New Roman" w:eastAsia="Times New Roman" w:cs="Times New Roman"/>
        </w:rPr>
        <w:t xml:space="preserve"> </w:t>
      </w:r>
      <w:r>
        <w:rPr>
          <w:rFonts w:ascii="Leelawadee UI" w:hAnsi="Leelawadee UI" w:eastAsia="Leelawadee UI" w:cs="Leelawadee UI"/>
        </w:rPr>
        <w:t>នៅក្នុងអេសេគាល</w:t>
      </w:r>
      <w:r>
        <w:rPr>
          <w:rFonts w:ascii="Times New Roman" w:hAnsi="Times New Roman" w:eastAsia="Times New Roman" w:cs="Times New Roman"/>
        </w:rPr>
        <w:t xml:space="preserve"> </w:t>
      </w:r>
      <w:r>
        <w:rPr>
          <w:rFonts w:ascii="Leelawadee UI" w:hAnsi="Leelawadee UI" w:eastAsia="Leelawadee UI" w:cs="Leelawadee UI"/>
        </w:rPr>
        <w:t>ការព្យាករណ៍លើកទីមួយបង្កើតសាកសពទាំងឡាយ</w:t>
      </w:r>
      <w:r>
        <w:rPr>
          <w:rFonts w:ascii="Times New Roman" w:hAnsi="Times New Roman" w:eastAsia="Times New Roman" w:cs="Times New Roman"/>
        </w:rPr>
        <w:t xml:space="preserve"> </w:t>
      </w:r>
      <w:r>
        <w:rPr>
          <w:rFonts w:ascii="Leelawadee UI" w:hAnsi="Leelawadee UI" w:eastAsia="Leelawadee UI" w:cs="Leelawadee UI"/>
        </w:rPr>
        <w:t>ប៉ុន្តែពួកវានៅតែស្លាប់ដដែល។</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ខ្យល់ទាំងបួនត្រូវបានផ្លុំមកលើសាកសពទាំងនោះ</w:t>
      </w:r>
      <w:r>
        <w:rPr>
          <w:rFonts w:ascii="Times New Roman" w:hAnsi="Times New Roman" w:eastAsia="Times New Roman" w:cs="Times New Roman"/>
        </w:rPr>
        <w:t xml:space="preserve"> </w:t>
      </w:r>
      <w:r>
        <w:rPr>
          <w:rFonts w:ascii="Leelawadee UI" w:hAnsi="Leelawadee UI" w:eastAsia="Leelawadee UI" w:cs="Leelawadee UI"/>
        </w:rPr>
        <w:t>ហើយពួកវាក្រោកឈរឡើងជាកងទ័ពដ៏មហិមា។</w:t>
      </w:r>
      <w:r>
        <w:rPr>
          <w:rFonts w:ascii="Times New Roman" w:hAnsi="Times New Roman" w:eastAsia="Times New Roman" w:cs="Times New Roman"/>
        </w:rPr>
        <w:t xml:space="preserve"> </w:t>
      </w:r>
      <w:r>
        <w:rPr>
          <w:rFonts w:ascii="Leelawadee UI" w:hAnsi="Leelawadee UI" w:eastAsia="Leelawadee UI" w:cs="Leelawadee UI"/>
        </w:rPr>
        <w:t>លេខសាមសិបប្រាំបី</w:t>
      </w:r>
      <w:r>
        <w:rPr>
          <w:rFonts w:ascii="Times New Roman" w:hAnsi="Times New Roman" w:eastAsia="Times New Roman" w:cs="Times New Roman"/>
        </w:rPr>
        <w:t xml:space="preserve"> </w:t>
      </w:r>
      <w:r>
        <w:rPr>
          <w:rFonts w:ascii="Leelawadee UI" w:hAnsi="Leelawadee UI" w:eastAsia="Leelawadee UI" w:cs="Leelawadee UI"/>
        </w:rPr>
        <w:t>និងសែសិប</w:t>
      </w:r>
      <w:r>
        <w:rPr>
          <w:rFonts w:ascii="Times New Roman" w:hAnsi="Times New Roman" w:eastAsia="Times New Roman" w:cs="Times New Roman"/>
        </w:rPr>
        <w:t xml:space="preserve"> </w:t>
      </w:r>
      <w:r>
        <w:rPr>
          <w:rFonts w:ascii="Leelawadee UI" w:hAnsi="Leelawadee UI" w:eastAsia="Leelawadee UI" w:cs="Leelawadee UI"/>
        </w:rPr>
        <w:t>តំណាងឲ្យជំហានទាំងពីរនោះ។</w:t>
      </w:r>
    </w:p>
    <w:p>
      <w:pPr>
        <w:pStyle w:val="ArticleBody"/>
        <w:jc w:val="left"/>
      </w:pPr>
      <w:r>
        <w:rPr>
          <w:rFonts w:ascii="Times New Roman" w:hAnsi="Times New Roman" w:eastAsia="Times New Roman" w:cs="Times New Roman"/>
        </w:rPr>
        <w:t>Nous poursuivrons ces choses dans le prochain article.</w:t>
      </w:r>
    </w:p>
    <w:p>
      <w:pPr>
        <w:pStyle w:val="ArticleScripture"/>
        <w:jc w:val="left"/>
      </w:pP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উৎসব</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গমন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মেষদ্বারের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পুকুর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ইব্রীয়</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বেথেস্দা</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পরিচিত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পাঁচটি</w:t>
      </w:r>
      <w:r>
        <w:rPr>
          <w:rFonts w:ascii="Times New Roman" w:hAnsi="Times New Roman" w:eastAsia="Times New Roman" w:cs="Times New Roman"/>
        </w:rPr>
        <w:t xml:space="preserve"> </w:t>
      </w:r>
      <w:r>
        <w:rPr>
          <w:rFonts w:ascii="Nirmala UI" w:hAnsi="Nirmala UI" w:eastAsia="Nirmala UI" w:cs="Nirmala UI"/>
        </w:rPr>
        <w:t>বারান্দা</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বারান্দায়</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দুর্বল</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অন্ধ</w:t>
      </w:r>
      <w:r>
        <w:rPr>
          <w:rFonts w:ascii="Times New Roman" w:hAnsi="Times New Roman" w:eastAsia="Times New Roman" w:cs="Times New Roman"/>
        </w:rPr>
        <w:t xml:space="preserve">, </w:t>
      </w:r>
      <w:r>
        <w:rPr>
          <w:rFonts w:ascii="Nirmala UI" w:hAnsi="Nirmala UI" w:eastAsia="Nirmala UI" w:cs="Nirmala UI"/>
        </w:rPr>
        <w:t>খোঁড়া</w:t>
      </w:r>
      <w:r>
        <w:rPr>
          <w:rFonts w:ascii="Times New Roman" w:hAnsi="Times New Roman" w:eastAsia="Times New Roman" w:cs="Times New Roman"/>
        </w:rPr>
        <w:t xml:space="preserve">, </w:t>
      </w:r>
      <w:r>
        <w:rPr>
          <w:rFonts w:ascii="Nirmala UI" w:hAnsi="Nirmala UI" w:eastAsia="Nirmala UI" w:cs="Nirmala UI"/>
        </w:rPr>
        <w:t>শুকাইয়া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অঙ্গবিশিষ্ট</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শুইয়া</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জলের</w:t>
      </w:r>
      <w:r>
        <w:rPr>
          <w:rFonts w:ascii="Times New Roman" w:hAnsi="Times New Roman" w:eastAsia="Times New Roman" w:cs="Times New Roman"/>
        </w:rPr>
        <w:t xml:space="preserve"> </w:t>
      </w:r>
      <w:r>
        <w:rPr>
          <w:rFonts w:ascii="Nirmala UI" w:hAnsi="Nirmala UI" w:eastAsia="Nirmala UI" w:cs="Nirmala UI"/>
        </w:rPr>
        <w:t>আলোড়নের</w:t>
      </w:r>
      <w:r>
        <w:rPr>
          <w:rFonts w:ascii="Times New Roman" w:hAnsi="Times New Roman" w:eastAsia="Times New Roman" w:cs="Times New Roman"/>
        </w:rPr>
        <w:t xml:space="preserve"> </w:t>
      </w:r>
      <w:r>
        <w:rPr>
          <w:rFonts w:ascii="Nirmala UI" w:hAnsi="Nirmala UI" w:eastAsia="Nirmala UI" w:cs="Nirmala UI"/>
        </w:rPr>
        <w:t>অপেক্ষায়।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স্বর্গদূত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পুকুরে</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w:t>
      </w:r>
      <w:r>
        <w:rPr>
          <w:rFonts w:ascii="Nirmala UI" w:hAnsi="Nirmala UI" w:eastAsia="Nirmala UI" w:cs="Nirmala UI"/>
        </w:rPr>
        <w:t>আলোড়িত</w:t>
      </w:r>
      <w:r>
        <w:rPr>
          <w:rFonts w:ascii="Times New Roman" w:hAnsi="Times New Roman" w:eastAsia="Times New Roman" w:cs="Times New Roman"/>
        </w:rPr>
        <w:t xml:space="preserve"> </w:t>
      </w:r>
      <w:r>
        <w:rPr>
          <w:rFonts w:ascii="Nirmala UI" w:hAnsi="Nirmala UI" w:eastAsia="Nirmala UI" w:cs="Nirmala UI"/>
        </w:rPr>
        <w:t>করিতেন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জলের</w:t>
      </w:r>
      <w:r>
        <w:rPr>
          <w:rFonts w:ascii="Times New Roman" w:hAnsi="Times New Roman" w:eastAsia="Times New Roman" w:cs="Times New Roman"/>
        </w:rPr>
        <w:t xml:space="preserve"> </w:t>
      </w:r>
      <w:r>
        <w:rPr>
          <w:rFonts w:ascii="Nirmala UI" w:hAnsi="Nirmala UI" w:eastAsia="Nirmala UI" w:cs="Nirmala UI"/>
        </w:rPr>
        <w:t>আলোড়নের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তাহাতে</w:t>
      </w:r>
      <w:r>
        <w:rPr>
          <w:rFonts w:ascii="Times New Roman" w:hAnsi="Times New Roman" w:eastAsia="Times New Roman" w:cs="Times New Roman"/>
        </w:rPr>
        <w:t xml:space="preserve"> </w:t>
      </w:r>
      <w:r>
        <w:rPr>
          <w:rFonts w:ascii="Nirmala UI" w:hAnsi="Nirmala UI" w:eastAsia="Nirmala UI" w:cs="Nirmala UI"/>
        </w:rPr>
        <w:t>নামিত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কোনও</w:t>
      </w:r>
      <w:r>
        <w:rPr>
          <w:rFonts w:ascii="Times New Roman" w:hAnsi="Times New Roman" w:eastAsia="Times New Roman" w:cs="Times New Roman"/>
        </w:rPr>
        <w:t xml:space="preserve"> </w:t>
      </w:r>
      <w:r>
        <w:rPr>
          <w:rFonts w:ascii="Nirmala UI" w:hAnsi="Nirmala UI" w:eastAsia="Nirmala UI" w:cs="Nirmala UI"/>
        </w:rPr>
        <w:t>রোগে</w:t>
      </w:r>
      <w:r>
        <w:rPr>
          <w:rFonts w:ascii="Times New Roman" w:hAnsi="Times New Roman" w:eastAsia="Times New Roman" w:cs="Times New Roman"/>
        </w:rPr>
        <w:t xml:space="preserve"> </w:t>
      </w:r>
      <w:r>
        <w:rPr>
          <w:rFonts w:ascii="Nirmala UI" w:hAnsi="Nirmala UI" w:eastAsia="Nirmala UI" w:cs="Nirmala UI"/>
        </w:rPr>
        <w:t>পীড়িত</w:t>
      </w:r>
      <w:r>
        <w:rPr>
          <w:rFonts w:ascii="Times New Roman" w:hAnsi="Times New Roman" w:eastAsia="Times New Roman" w:cs="Times New Roman"/>
        </w:rPr>
        <w:t xml:space="preserve"> </w:t>
      </w:r>
      <w:r>
        <w:rPr>
          <w:rFonts w:ascii="Nirmala UI" w:hAnsi="Nirmala UI" w:eastAsia="Nirmala UI" w:cs="Nirmala UI"/>
        </w:rPr>
        <w:t>থাকুক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আরোগ্য</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আটত্রিশ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রোগ</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শুইয়া</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দেখিয়া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ইতিমধ্যে</w:t>
      </w:r>
      <w:r>
        <w:rPr>
          <w:rFonts w:ascii="Times New Roman" w:hAnsi="Times New Roman" w:eastAsia="Times New Roman" w:cs="Times New Roman"/>
        </w:rPr>
        <w:t xml:space="preserve"> </w:t>
      </w:r>
      <w:r>
        <w:rPr>
          <w:rFonts w:ascii="Nirmala UI" w:hAnsi="Nirmala UI" w:eastAsia="Nirmala UI" w:cs="Nirmala UI"/>
        </w:rPr>
        <w:t>দীর্ঘকাল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সুস্থ</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চাও</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অসুস্থ</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মহাশয়</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w:t>
      </w:r>
      <w:r>
        <w:rPr>
          <w:rFonts w:ascii="Nirmala UI" w:hAnsi="Nirmala UI" w:eastAsia="Nirmala UI" w:cs="Nirmala UI"/>
        </w:rPr>
        <w:t>আলোড়িত</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পুকুরে</w:t>
      </w:r>
      <w:r>
        <w:rPr>
          <w:rFonts w:ascii="Times New Roman" w:hAnsi="Times New Roman" w:eastAsia="Times New Roman" w:cs="Times New Roman"/>
        </w:rPr>
        <w:t xml:space="preserve"> </w:t>
      </w:r>
      <w:r>
        <w:rPr>
          <w:rFonts w:ascii="Nirmala UI" w:hAnsi="Nirmala UI" w:eastAsia="Nirmala UI" w:cs="Nirmala UI"/>
        </w:rPr>
        <w:t>নামাইয়া</w:t>
      </w:r>
      <w:r>
        <w:rPr>
          <w:rFonts w:ascii="Times New Roman" w:hAnsi="Times New Roman" w:eastAsia="Times New Roman" w:cs="Times New Roman"/>
        </w:rPr>
        <w:t xml:space="preserve"> </w:t>
      </w:r>
      <w:r>
        <w:rPr>
          <w:rFonts w:ascii="Nirmala UI" w:hAnsi="Nirmala UI" w:eastAsia="Nirmala UI" w:cs="Nirmala UI"/>
        </w:rPr>
        <w:t>দেওয়ার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কেহ</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যাইবার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পূর্বেই</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নামিয়া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শয্যা</w:t>
      </w:r>
      <w:r>
        <w:rPr>
          <w:rFonts w:ascii="Times New Roman" w:hAnsi="Times New Roman" w:eastAsia="Times New Roman" w:cs="Times New Roman"/>
        </w:rPr>
        <w:t xml:space="preserve"> </w:t>
      </w:r>
      <w:r>
        <w:rPr>
          <w:rFonts w:ascii="Nirmala UI" w:hAnsi="Nirmala UI" w:eastAsia="Nirmala UI" w:cs="Nirmala UI"/>
        </w:rPr>
        <w:t>তুলিয়া</w:t>
      </w:r>
      <w:r>
        <w:rPr>
          <w:rFonts w:ascii="Times New Roman" w:hAnsi="Times New Roman" w:eastAsia="Times New Roman" w:cs="Times New Roman"/>
        </w:rPr>
        <w:t xml:space="preserve"> </w:t>
      </w:r>
      <w:r>
        <w:rPr>
          <w:rFonts w:ascii="Nirmala UI" w:hAnsi="Nirmala UI" w:eastAsia="Nirmala UI" w:cs="Nirmala UI"/>
        </w:rPr>
        <w:t>লও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তৎক্ষণাৎ</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সুস্থ</w:t>
      </w:r>
      <w:r>
        <w:rPr>
          <w:rFonts w:ascii="Times New Roman" w:hAnsi="Times New Roman" w:eastAsia="Times New Roman" w:cs="Times New Roman"/>
        </w:rPr>
        <w:t xml:space="preserve"> </w:t>
      </w:r>
      <w:r>
        <w:rPr>
          <w:rFonts w:ascii="Nirmala UI" w:hAnsi="Nirmala UI" w:eastAsia="Nirmala UI" w:cs="Nirmala UI"/>
        </w:rPr>
        <w:t>হইল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শয্যা</w:t>
      </w:r>
      <w:r>
        <w:rPr>
          <w:rFonts w:ascii="Times New Roman" w:hAnsi="Times New Roman" w:eastAsia="Times New Roman" w:cs="Times New Roman"/>
        </w:rPr>
        <w:t xml:space="preserve"> </w:t>
      </w:r>
      <w:r>
        <w:rPr>
          <w:rFonts w:ascii="Nirmala UI" w:hAnsi="Nirmala UI" w:eastAsia="Nirmala UI" w:cs="Nirmala UI"/>
        </w:rPr>
        <w:t>তুলিয়া</w:t>
      </w:r>
      <w:r>
        <w:rPr>
          <w:rFonts w:ascii="Times New Roman" w:hAnsi="Times New Roman" w:eastAsia="Times New Roman" w:cs="Times New Roman"/>
        </w:rPr>
        <w:t xml:space="preserve"> </w:t>
      </w:r>
      <w:r>
        <w:rPr>
          <w:rFonts w:ascii="Nirmala UI" w:hAnsi="Nirmala UI" w:eastAsia="Nirmala UI" w:cs="Nirmala UI"/>
        </w:rPr>
        <w:t>লইয়া</w:t>
      </w:r>
      <w:r>
        <w:rPr>
          <w:rFonts w:ascii="Times New Roman" w:hAnsi="Times New Roman" w:eastAsia="Times New Roman" w:cs="Times New Roman"/>
        </w:rPr>
        <w:t xml:space="preserve"> </w:t>
      </w:r>
      <w:r>
        <w:rPr>
          <w:rFonts w:ascii="Nirmala UI" w:hAnsi="Nirmala UI" w:eastAsia="Nirmala UI" w:cs="Nirmala UI"/>
        </w:rPr>
        <w:t>চলিতে</w:t>
      </w:r>
      <w:r>
        <w:rPr>
          <w:rFonts w:ascii="Times New Roman" w:hAnsi="Times New Roman" w:eastAsia="Times New Roman" w:cs="Times New Roman"/>
        </w:rPr>
        <w:t xml:space="preserve"> </w:t>
      </w:r>
      <w:r>
        <w:rPr>
          <w:rFonts w:ascii="Nirmala UI" w:hAnsi="Nirmala UI" w:eastAsia="Nirmala UI" w:cs="Nirmala UI"/>
        </w:rPr>
        <w:t>লাগিল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বিশ্রামবার।</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৫</w:t>
      </w:r>
      <w:r>
        <w:rPr>
          <w:rFonts w:ascii="Times New Roman" w:hAnsi="Times New Roman" w:eastAsia="Times New Roman" w:cs="Times New Roman"/>
        </w:rPr>
        <w:t>:</w:t>
      </w:r>
      <w:r>
        <w:rPr>
          <w:rFonts w:ascii="Nirmala UI" w:hAnsi="Nirmala UI" w:eastAsia="Nirmala UI" w:cs="Nirmala UI"/>
        </w:rPr>
        <w:t>১</w:t>
      </w:r>
      <w:r>
        <w:rPr>
          <w:rFonts w:ascii="Times New Roman" w:hAnsi="Times New Roman" w:eastAsia="Times New Roman" w:cs="Times New Roman"/>
        </w:rPr>
        <w:t>–</w:t>
      </w:r>
      <w:r>
        <w:rPr>
          <w:rFonts w:ascii="Nirmala UI" w:hAnsi="Nirmala UI" w:eastAsia="Nirmala UI" w:cs="Nirmala UI"/>
        </w:rPr>
        <w:t>৯।</w:t>
      </w:r>
    </w:p>
    <w:p>
      <w:pPr>
        <w:pStyle w:val="ArticleScripture"/>
        <w:jc w:val="left"/>
      </w:pPr>
      <w:r>
        <w:rPr>
          <w:rFonts w:ascii="Times New Roman" w:hAnsi="Times New Roman" w:eastAsia="Times New Roman" w:cs="Times New Roman"/>
        </w:rPr>
        <w:t>Sekarang bangunlah, kataku, dan menyeberanglah kamu ke sungai Zered. Maka kami pun menyeberangi sungai Zered itu. Adapun lamanya perjalanan kami dari Kadeshbarnea sampai kami menyeberangi sungai Zered ialah tiga puluh delapan tahun, sampai seluruh angkatan orang-orang perang itu lenyap dari tengah-tengah perkemahan, seperti yang telah disumpahkan Tuhan kepada mereka. Ulangan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dix-neuf</dc:title>
  <dc:subject>The Second Woe - Part Six</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