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vingt</w:t>
      </w:r>
    </w:p>
    <w:p>
      <w:pPr>
        <w:pStyle w:val="ArticleSubtitle"/>
        <w:jc w:val="left"/>
      </w:pPr>
      <w:r>
        <w:rPr>
          <w:rFonts w:ascii="Arial" w:hAnsi="Arial" w:eastAsia="Arial" w:cs="Arial"/>
        </w:rPr>
        <w:t>Le Second Malheur – Septième Partie – Ézéchiel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Ezékiel próféta nyitóverseiben biblikusan elfogadható értelmezés őt harmincévesnek tekinteni.</w:t>
      </w:r>
    </w:p>
    <w:p>
      <w:pPr>
        <w:pStyle w:val="ArticleScripture"/>
        <w:jc w:val="left"/>
      </w:pPr>
      <w:r>
        <w:rPr>
          <w:rFonts w:ascii="Times New Roman" w:hAnsi="Times New Roman" w:eastAsia="Times New Roman" w:cs="Times New Roman"/>
        </w:rPr>
        <w:t>ꞌAmekyi ade ano aduasa no mu, ɔsram a ɛtɔ so anan no da a ɛtɔ so anum no, bere a mewɔ nnommumfo no mu wɔ Asubɔnten Kebar ho no, ɔsoro buebuee, na mihuu Onyankopɔn anisoadehu. Ɔsram no da a ɛtɔ so anum no—na ɛyɛ Ɔhene Yehoiakin nnommumfa afe a ɛtɔ so anum no mu—AWURADE asɛm baa ɔsɔfo Hesekiel, Buzi ba no, nkyerɛkyerɛ so, Kaldeafo asase so wɔ Asubɔnten Kebar ho; na AWURADE nsa wɔ hɔ guu ne so. Hesekiel 1:1–3.</w:t>
      </w:r>
    </w:p>
    <w:p>
      <w:pPr>
        <w:pStyle w:val="ArticleBody"/>
        <w:jc w:val="left"/>
      </w:pPr>
      <w:r>
        <w:rPr>
          <w:rFonts w:ascii="Times New Roman" w:hAnsi="Times New Roman" w:eastAsia="Times New Roman" w:cs="Times New Roman"/>
        </w:rPr>
        <w:t>Bamwe bizera ko “umwaka wa mirongo itatu” ushingiye ku muzingo wihariye wa yubile, watangiriye ku mwami Yosiya ugasozwa n’umurongo wa mbere w’igice cya mirongo ine.</w:t>
      </w:r>
    </w:p>
    <w:p>
      <w:pPr>
        <w:pStyle w:val="ArticleScripture"/>
        <w:jc w:val="left"/>
      </w:pPr>
      <w:r>
        <w:rPr>
          <w:rFonts w:ascii="Times New Roman" w:hAnsi="Times New Roman" w:eastAsia="Times New Roman" w:cs="Times New Roman"/>
        </w:rPr>
        <w:t>Je nyɔŋ gbii i kaptiivitɛɛ kɛ nɩ nɛ, lɛ nyɛ mli gbiɔ lɛ niŋtsɔɔ kɛ ji, ogbeli kɛ ji, ni je ji afɔ kɛ nɛ kɛ lɛ ekoŋ lɛ ba, gbiɔ lɛ kɛ mli lɛ, Aƒetɔɔ lɛ bo nɛ mi he, ke ekplɔ mi yaa he. Ezekiel 40:1.</w:t>
      </w:r>
    </w:p>
    <w:p>
      <w:pPr>
        <w:pStyle w:val="ArticleBody"/>
        <w:jc w:val="left"/>
      </w:pPr>
      <w:r>
        <w:rPr>
          <w:rFonts w:ascii="Times New Roman" w:hAnsi="Times New Roman" w:eastAsia="Times New Roman" w:cs="Times New Roman"/>
        </w:rPr>
        <w:t>Abakronoloji ba Biblia bati molongo ya liboso ya mokapo ya ntuku minei ezalaki to mokolo mwa 28 ya sanza ya minei to 22 ya sanza ya zomi na mobu 573 liboso ya Klisto. Baprofeta nyonso bazali kolakisa mikolo ya nsuka; bongo mokolo ya kokweya, 22 ya sanza ya zomi na mobu 573 liboso ya Klisto, ezali dati ya omega ya molongo moko oyo ebandaki mibu ntuku mitano liboso na oyo babengaka “Elekeli Monene ya Yosia” na mokolo mwa 5 ya sanza ya mitano na mobu 622 liboso ya Klisto.</w:t>
      </w:r>
    </w:p>
    <w:p>
      <w:pPr>
        <w:pStyle w:val="ArticleBody"/>
        <w:jc w:val="left"/>
      </w:pPr>
      <w:r>
        <w:rPr>
          <w:rFonts w:ascii="Times New Roman" w:hAnsi="Times New Roman" w:eastAsia="Times New Roman" w:cs="Times New Roman"/>
        </w:rPr>
        <w:t>Le nombre trente est un symbole des prêtres, qui devaient avoir trente ans lorsqu’ils commençaient à servir. Que les versets un à trois d’Ézéchiel un indiquent qu’Ézéchiel avait trente ans, ou simplement qu’il soit ainsi présenté comme symbole d’un prêtre, il serait de même représenté comme âgé de trente ans. Si les trente années du verset un représentent, comme d’autres le pensent, la trentième année depuis la grande Pâque de Josias en 622 av. J.-C., les implications prophétiques demeurent néanmoins les mêmes.</w:t>
      </w:r>
    </w:p>
    <w:p>
      <w:pPr>
        <w:pStyle w:val="ArticleBody"/>
        <w:jc w:val="left"/>
      </w:pPr>
      <w:r>
        <w:rPr>
          <w:rFonts w:ascii="Times New Roman" w:hAnsi="Times New Roman" w:eastAsia="Times New Roman" w:cs="Times New Roman"/>
        </w:rPr>
        <w:t>יאָשִׁיָּהוּ מיינט „גרינדונג“, און זײַן גרויסער פּסח האָט אָנגעהויבן אַ יובל־תקופה וואָס האָט זיך געענדיקט דעם 22סטן אָקטאָבער, אום יום־הכיפּורים, 573 פֿאַר דער ציווילער רעכענונג. די „יובל־ליניע“ פֿון יאָשִׁיָּהוּ ביז דעם 22סטן אָקטאָבער שטימט זיך אָפּ מיט דער געשיכטע פֿון 1840 ביז 1844. די גרינדונגען פֿון 1840 זײַנען פֿאָרגעשטעלט געוואָרן דורך מלך יאָשִׁיָּהוּ און אויך דורך יאָשִׁיָּה ליטש. דער 22סטער אָקטאָבער איז פֿאָרגעשטעלט געוואָרן דורך דעם האָרן פֿון דער יובל־שופר וואָס איז געבלאָזן געוואָרן צוזאַמען מיט דעם האָרן פֿון יום־הכיפּורים.</w:t>
      </w:r>
    </w:p>
    <w:p>
      <w:pPr>
        <w:pStyle w:val="ArticleScripture"/>
        <w:jc w:val="left"/>
      </w:pP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වාරයක්</w:t>
      </w:r>
      <w:r>
        <w:rPr>
          <w:rFonts w:ascii="Times New Roman" w:hAnsi="Times New Roman" w:eastAsia="Times New Roman" w:cs="Times New Roman"/>
        </w:rPr>
        <w:t xml:space="preserve"> </w:t>
      </w:r>
      <w:r>
        <w:rPr>
          <w:rFonts w:ascii="Nirmala UI" w:hAnsi="Nirmala UI" w:eastAsia="Nirmala UI" w:cs="Nirmala UI"/>
        </w:rPr>
        <w:t>ගණන්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හත</w:t>
      </w:r>
      <w:r>
        <w:rPr>
          <w:rFonts w:ascii="Times New Roman" w:hAnsi="Times New Roman" w:eastAsia="Times New Roman" w:cs="Times New Roman"/>
        </w:rPr>
        <w:t xml:space="preserve"> </w:t>
      </w:r>
      <w:r>
        <w:rPr>
          <w:rFonts w:ascii="Nirmala UI" w:hAnsi="Nirmala UI" w:eastAsia="Nirmala UI" w:cs="Nirmala UI"/>
        </w:rPr>
        <w:t>බැගින්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වාරයක්</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වාරයේ</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නවයක්</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සත්වන</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දසවැනි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සමාව</w:t>
      </w:r>
      <w:r>
        <w:rPr>
          <w:rFonts w:ascii="Times New Roman" w:hAnsi="Times New Roman" w:eastAsia="Times New Roman" w:cs="Times New Roman"/>
        </w:rPr>
        <w:t xml:space="preserve"> </w:t>
      </w:r>
      <w:r>
        <w:rPr>
          <w:rFonts w:ascii="Nirmala UI" w:hAnsi="Nirmala UI" w:eastAsia="Nirmala UI" w:cs="Nirmala UI"/>
        </w:rPr>
        <w:t>ලබාදීමේ</w:t>
      </w:r>
      <w:r>
        <w:rPr>
          <w:rFonts w:ascii="Times New Roman" w:hAnsi="Times New Roman" w:eastAsia="Times New Roman" w:cs="Times New Roman"/>
        </w:rPr>
        <w:t xml:space="preserve"> </w:t>
      </w:r>
      <w:r>
        <w:rPr>
          <w:rFonts w:ascii="Nirmala UI" w:hAnsi="Nirmala UI" w:eastAsia="Nirmala UI" w:cs="Nirmala UI"/>
        </w:rPr>
        <w:t>දවසේ</w:t>
      </w:r>
      <w:r>
        <w:rPr>
          <w:rFonts w:ascii="Times New Roman" w:hAnsi="Times New Roman" w:eastAsia="Times New Roman" w:cs="Times New Roman"/>
        </w:rPr>
        <w:t xml:space="preserve">, </w:t>
      </w:r>
      <w:r>
        <w:rPr>
          <w:rFonts w:ascii="Nirmala UI" w:hAnsi="Nirmala UI" w:eastAsia="Nirmala UI" w:cs="Nirmala UI"/>
        </w:rPr>
        <w:t>යෝබිලේ</w:t>
      </w:r>
      <w:r>
        <w:rPr>
          <w:rFonts w:ascii="Times New Roman" w:hAnsi="Times New Roman" w:eastAsia="Times New Roman" w:cs="Times New Roman"/>
        </w:rPr>
        <w:t xml:space="preserve"> </w:t>
      </w:r>
      <w:r>
        <w:rPr>
          <w:rFonts w:ascii="Nirmala UI" w:hAnsi="Nirmala UI" w:eastAsia="Nirmala UI" w:cs="Nirmala UI"/>
        </w:rPr>
        <w:t>හොරණෑව</w:t>
      </w:r>
      <w:r>
        <w:rPr>
          <w:rFonts w:ascii="Times New Roman" w:hAnsi="Times New Roman" w:eastAsia="Times New Roman" w:cs="Times New Roman"/>
        </w:rPr>
        <w:t xml:space="preserve"> </w:t>
      </w:r>
      <w:r>
        <w:rPr>
          <w:rFonts w:ascii="Nirmala UI" w:hAnsi="Nirmala UI" w:eastAsia="Nirmala UI" w:cs="Nirmala UI"/>
        </w:rPr>
        <w:t>නාද</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මුළු</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පුරාම</w:t>
      </w:r>
      <w:r>
        <w:rPr>
          <w:rFonts w:ascii="Times New Roman" w:hAnsi="Times New Roman" w:eastAsia="Times New Roman" w:cs="Times New Roman"/>
        </w:rPr>
        <w:t xml:space="preserve"> </w:t>
      </w:r>
      <w:r>
        <w:rPr>
          <w:rFonts w:ascii="Nirmala UI" w:hAnsi="Nirmala UI" w:eastAsia="Nirmala UI" w:cs="Nirmala UI"/>
        </w:rPr>
        <w:t>හොරණෑව</w:t>
      </w:r>
      <w:r>
        <w:rPr>
          <w:rFonts w:ascii="Times New Roman" w:hAnsi="Times New Roman" w:eastAsia="Times New Roman" w:cs="Times New Roman"/>
        </w:rPr>
        <w:t xml:space="preserve"> </w:t>
      </w:r>
      <w:r>
        <w:rPr>
          <w:rFonts w:ascii="Nirmala UI" w:hAnsi="Nirmala UI" w:eastAsia="Nirmala UI" w:cs="Nirmala UI"/>
        </w:rPr>
        <w:t>නාද</w:t>
      </w:r>
      <w:r>
        <w:rPr>
          <w:rFonts w:ascii="Times New Roman" w:hAnsi="Times New Roman" w:eastAsia="Times New Roman" w:cs="Times New Roman"/>
        </w:rPr>
        <w:t xml:space="preserve"> </w:t>
      </w:r>
      <w:r>
        <w:rPr>
          <w:rFonts w:ascii="Nirmala UI" w:hAnsi="Nirmala UI" w:eastAsia="Nirmala UI" w:cs="Nirmala UI"/>
        </w:rPr>
        <w:t>කරවිය</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ලෙවී</w:t>
      </w:r>
      <w:r>
        <w:rPr>
          <w:rFonts w:ascii="Times New Roman" w:hAnsi="Times New Roman" w:eastAsia="Times New Roman" w:cs="Times New Roman"/>
        </w:rPr>
        <w:t xml:space="preserve"> </w:t>
      </w:r>
      <w:r>
        <w:rPr>
          <w:rFonts w:ascii="Nirmala UI" w:hAnsi="Nirmala UI" w:eastAsia="Nirmala UI" w:cs="Nirmala UI"/>
        </w:rPr>
        <w:t>කථාව</w:t>
      </w:r>
      <w:r>
        <w:rPr>
          <w:rFonts w:ascii="Times New Roman" w:hAnsi="Times New Roman" w:eastAsia="Times New Roman" w:cs="Times New Roman"/>
        </w:rPr>
        <w:t xml:space="preserve"> 25:8, 9.</w:t>
      </w:r>
    </w:p>
    <w:p>
      <w:pPr>
        <w:pStyle w:val="ArticleBody"/>
        <w:jc w:val="left"/>
      </w:pPr>
      <w:r>
        <w:rPr>
          <w:rFonts w:ascii="Times New Roman" w:hAnsi="Times New Roman" w:eastAsia="Times New Roman" w:cs="Times New Roman"/>
        </w:rPr>
        <w:t>Ézéchiel s’inscrit dans la ligne du Jubilé allant du roi Josias au 22 octobre, ligne qui représente les premier et deuxième anges d’Apocalypse 10, de 1840 à 1844. Ézéchiel représente les millérites des premier et deuxième anges, ainsi que les cent quarante-quatre mille du troisième ange. Ézéchiel représente le sacerdoce des cent quarante-quatre mille, mais son attribut prophétique principal est qu’il est un prophète.</w:t>
      </w:r>
    </w:p>
    <w:p>
      <w:pPr>
        <w:pStyle w:val="ArticleHeading"/>
        <w:jc w:val="left"/>
      </w:pPr>
      <w:r>
        <w:rPr>
          <w:rFonts w:ascii="Arial" w:hAnsi="Arial" w:eastAsia="Arial" w:cs="Arial"/>
        </w:rPr>
        <w:t>Nabii, Kohenii fi Mooticha</w:t>
      </w:r>
    </w:p>
    <w:p>
      <w:pPr>
        <w:pStyle w:val="ArticleBody"/>
        <w:jc w:val="left"/>
      </w:pPr>
      <w:r>
        <w:rPr>
          <w:rFonts w:ascii="Times New Roman" w:hAnsi="Times New Roman" w:eastAsia="Times New Roman" w:cs="Times New Roman"/>
        </w:rPr>
        <w:t>Il y a trois personnages bibliques qui commencèrent à exercer leur ministère à l’âge de trente ans. Avec Ézéchiel, il y avait David et Joseph. Parce qu’ils commencèrent tous à servir à l’âge de trente ans, ils sont tous prêtres. David est le symbole du roi, Joseph est le prêtre, et Ézéchiel est le prophète dans le royaume triple de gloire, composé d’un prophète, d’un prêtre et d’un roi.</w:t>
      </w:r>
    </w:p>
    <w:p>
      <w:pPr>
        <w:pStyle w:val="ArticleBody"/>
        <w:jc w:val="left"/>
      </w:pPr>
      <w:r>
        <w:rPr>
          <w:rFonts w:ascii="Times New Roman" w:hAnsi="Times New Roman" w:eastAsia="Times New Roman" w:cs="Times New Roman"/>
        </w:rPr>
        <w:t>Cependant, quelle que soit la manière dont nous pourrions appliquer le prophète Ézéchiel comme symbole, il est un prêtre; et, lorsqu’il est appliqué dans la ligne du jubilé allant de Josias au 22 octobre, Ézéchiel est un prêtre qui représenterait un prêtre au temps du scellement des cent quarante-quatre mille, tel que préfiguré par l’histoire de 1840 à 1844 et par celle du roi Josias jusqu’au 22 octobre 573 av. J.-C.</w:t>
      </w:r>
    </w:p>
    <w:p>
      <w:pPr>
        <w:pStyle w:val="ArticleHeading"/>
        <w:jc w:val="left"/>
      </w:pPr>
      <w:r>
        <w:rPr>
          <w:rFonts w:ascii="Arial" w:hAnsi="Arial" w:eastAsia="Arial" w:cs="Arial"/>
        </w:rPr>
        <w:t>Vinte e dois</w:t>
      </w:r>
    </w:p>
    <w:p>
      <w:pPr>
        <w:pStyle w:val="ArticleBody"/>
        <w:jc w:val="left"/>
      </w:pPr>
      <w:r>
        <w:rPr>
          <w:rFonts w:ascii="Times New Roman" w:hAnsi="Times New Roman" w:eastAsia="Times New Roman" w:cs="Times New Roman"/>
        </w:rPr>
        <w:t>Bib la klerman se Ezekiel ti minis pou venn-de-z-an. “Venn-de” i en senbol sa san karann-kat mil la, ki i drapo Divinite ini avek limanite. Dan listwar reprezante par Lapak Josias ziska selebrasyon Zibile le 22 Oktob dan sapit karant, Lapak Josias ti tipifye travay Josiah Litch an 1838 ek 1840. Sa travay ti pe met an avan profesi letan premie ek dezyenm maler. Aprezan i kapab ganny vwar ki profesi premie ek dezyenm maler i bokou pli gran ki bann pionye ti rekonnet.</w:t>
      </w:r>
    </w:p>
    <w:p>
      <w:pPr>
        <w:pStyle w:val="ArticleBody"/>
        <w:jc w:val="left"/>
      </w:pPr>
      <w:r>
        <w:rPr>
          <w:rFonts w:ascii="Times New Roman" w:hAnsi="Times New Roman" w:eastAsia="Times New Roman" w:cs="Times New Roman"/>
        </w:rPr>
        <w:t>Ҳизқиёл, ҳамчун пайғамбари Китоби Муқаддас, дар навиштаҳои худ нисбат ба ҳар муаллифи дигари Китоби Муқаддас санаҳои мушаххастари бештарро зикр мекунад.</w:t>
      </w:r>
    </w:p>
    <w:p>
      <w:pPr>
        <w:pStyle w:val="ArticleBody"/>
        <w:jc w:val="left"/>
      </w:pPr>
      <w:r>
        <w:rPr>
          <w:rFonts w:ascii="Times New Roman" w:hAnsi="Times New Roman" w:eastAsia="Times New Roman" w:cs="Times New Roman"/>
        </w:rPr>
        <w:t>ئەزەقیێل لە پێشگۆییەکانی کتێبی پیرۆزدا ئۆمەگای ئەو بنەمایەیە کە ڕۆژێک بە یەک ساڵ یەکسان دەکرێت. لە پەرتوکی ژمارەدا، یەکەمین، یان ئەلفای، ئاماژە بە بنەمای ڕۆژ-ساڵ لە یەکەم یاخیبوونەوەدا لە قادێش نیشان دەدرێت، کە چڵ ساڵ سوڕانەوە لە چۆڵەوانی لێ کەوتەوە. ئەو یاخیبوونەوەیەی دوایی، یان ئۆمەگا، لەلایەن ئەزەقیێل لە بەشی چواردا نیشان دەدرێت، کاتێک ئۆرشەلیم وێران دەکرێت.</w:t>
      </w:r>
    </w:p>
    <w:p>
      <w:pPr>
        <w:pStyle w:val="ArticleHeading"/>
        <w:jc w:val="left"/>
      </w:pPr>
      <w:r>
        <w:rPr>
          <w:rFonts w:ascii="Arial" w:hAnsi="Arial" w:eastAsia="Arial" w:cs="Arial"/>
        </w:rPr>
        <w:t>الفا</w:t>
      </w:r>
    </w:p>
    <w:p>
      <w:pPr>
        <w:pStyle w:val="ArticleScripture"/>
        <w:jc w:val="left"/>
      </w:pPr>
      <w:r>
        <w:rPr>
          <w:rFonts w:ascii="Times New Roman" w:hAnsi="Times New Roman" w:eastAsia="Times New Roman" w:cs="Times New Roman"/>
        </w:rPr>
        <w:t>Selon le nombre des jours pendant lesquels vous avez exploré le pays, soit quarante jours, vous porterez vos iniquités quarante années, une année pour chaque jour, et vous connaîtrez la révocation de ma promesse. Moi, l’Éternel, j’ai parlé; c’est ainsi que j’agirai envers toute cette mauvaise assemblée qui s’est liguée contre moi: ils seront consumés dans ce désert, et ils y mourront. Nombres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Et toi, couche-toi sur ton côté gauche, et mets-y l’iniquité de la maison d’Israël; selon le nombre des jours pendant lesquels tu seras couché sur ce côté, tu porteras leur iniquité. Car je t’impose les années de leur iniquité selon le nombre des jours, soit trois cent quatre-vingt-dix jours: ainsi tu porteras l’iniquité de la maison d’Israël. Et quand tu les auras accomplis, tu te coucheras de nouveau sur ton côté droit, et tu porteras l’iniquité de la maison de Juda pendant quarante jours: je t’impose un jour pour chaque année. Tu tourneras donc ta face vers le siège de Jérusalem; ton bras sera découvert, et tu prophétiseras contre elle. Ézéchiel 4:4–7.</w:t>
      </w:r>
    </w:p>
    <w:p>
      <w:pPr>
        <w:pStyle w:val="ArticleBody"/>
        <w:jc w:val="left"/>
      </w:pPr>
      <w:r>
        <w:rPr>
          <w:rFonts w:ascii="Times New Roman" w:hAnsi="Times New Roman" w:eastAsia="Times New Roman" w:cs="Times New Roman"/>
        </w:rPr>
        <w:t>Kadesh na libebi ya Yerusaleme ezali komonisa botomboki ya alfa mpe omega, oyo ezali komonisa mobeko ya mokolo moko mpo na mobu moko. “Mobeko ya mokolo moko mpo na mobu moko” ezalaki mobeko ya motuya koleka epai ya ba-Millerite, mpe na lisolo ya 1840 kino 1844, ndenge emonisami na ndakisa na molongo ya Jubile ya mokonzi Yosiya kino na mokolo ya 22 Octobre. Ezekiele azali kotia liboso mikolo mingi koleka mosakoli mosusu nyonso. Na kati ya botangi-mikolo ya Ezekiele, molongo ya Jubile emonisami, mpe yango ekangisi litatoli ya Ezekiele mbala moko na lisolo ya anzelu ya liboso mpe ya mibale, mpe na nsima lisolo ya anzelu ya misato.</w:t>
      </w:r>
    </w:p>
    <w:p>
      <w:pPr>
        <w:pStyle w:val="ArticleBody"/>
        <w:jc w:val="left"/>
      </w:pPr>
      <w:r>
        <w:rPr>
          <w:rFonts w:ascii="Leelawadee UI" w:hAnsi="Leelawadee UI" w:eastAsia="Leelawadee UI" w:cs="Leelawadee UI"/>
        </w:rPr>
        <w:t>ພ້ອມກັບ</w:t>
      </w:r>
      <w:r>
        <w:rPr>
          <w:rFonts w:ascii="Times New Roman" w:hAnsi="Times New Roman" w:eastAsia="Times New Roman" w:cs="Times New Roman"/>
        </w:rPr>
        <w:t xml:space="preserve"> “</w:t>
      </w:r>
      <w:r>
        <w:rPr>
          <w:rFonts w:ascii="Leelawadee UI" w:hAnsi="Leelawadee UI" w:eastAsia="Leelawadee UI" w:cs="Leelawadee UI"/>
        </w:rPr>
        <w:t>ເສັ້ນຢູໂບລີ</w:t>
      </w:r>
      <w:r>
        <w:rPr>
          <w:rFonts w:ascii="Times New Roman" w:hAnsi="Times New Roman" w:eastAsia="Times New Roman" w:cs="Times New Roman"/>
        </w:rPr>
        <w:t xml:space="preserve">” </w:t>
      </w:r>
      <w:r>
        <w:rPr>
          <w:rFonts w:ascii="Leelawadee UI" w:hAnsi="Leelawadee UI" w:eastAsia="Leelawadee UI" w:cs="Leelawadee UI"/>
        </w:rPr>
        <w:t>ເອເຊກຽນນອນຕະແຄງຂ້າງໜຶ່ງຂອງຕົນເປັນເວລາສາມຮ້ອຍເກົ້າສິບວັນ</w:t>
      </w:r>
      <w:r>
        <w:rPr>
          <w:rFonts w:ascii="Times New Roman" w:hAnsi="Times New Roman" w:eastAsia="Times New Roman" w:cs="Times New Roman"/>
        </w:rPr>
        <w:t xml:space="preserve">, </w:t>
      </w:r>
      <w:r>
        <w:rPr>
          <w:rFonts w:ascii="Leelawadee UI" w:hAnsi="Leelawadee UI" w:eastAsia="Leelawadee UI" w:cs="Leelawadee UI"/>
        </w:rPr>
        <w:t>ແລ້ວຈຶ່ງນອນອີກຂ້າງໜຶ່ງເປັນເວລາສີ່ສິບວັນ</w:t>
      </w:r>
      <w:r>
        <w:rPr>
          <w:rFonts w:ascii="Times New Roman" w:hAnsi="Times New Roman" w:eastAsia="Times New Roman" w:cs="Times New Roman"/>
        </w:rPr>
        <w:t>. “</w:t>
      </w:r>
      <w:r>
        <w:rPr>
          <w:rFonts w:ascii="Leelawadee UI" w:hAnsi="Leelawadee UI" w:eastAsia="Leelawadee UI" w:cs="Leelawadee UI"/>
        </w:rPr>
        <w:t>ສີ່ຮ້ອຍສາມສິບ</w:t>
      </w:r>
      <w:r>
        <w:rPr>
          <w:rFonts w:ascii="Times New Roman" w:hAnsi="Times New Roman" w:eastAsia="Times New Roman" w:cs="Times New Roman"/>
        </w:rPr>
        <w:t xml:space="preserve">” </w:t>
      </w:r>
      <w:r>
        <w:rPr>
          <w:rFonts w:ascii="Leelawadee UI" w:hAnsi="Leelawadee UI" w:eastAsia="Leelawadee UI" w:cs="Leelawadee UI"/>
        </w:rPr>
        <w:t>ເປັນສັນຍາລັກຂອງພັນທະສັນຍາເກົ່າແລະໃໝ່</w:t>
      </w:r>
      <w:r>
        <w:rPr>
          <w:rFonts w:ascii="Times New Roman" w:hAnsi="Times New Roman" w:eastAsia="Times New Roman" w:cs="Times New Roman"/>
        </w:rPr>
        <w:t xml:space="preserve">, </w:t>
      </w:r>
      <w:r>
        <w:rPr>
          <w:rFonts w:ascii="Leelawadee UI" w:hAnsi="Leelawadee UI" w:eastAsia="Leelawadee UI" w:cs="Leelawadee UI"/>
        </w:rPr>
        <w:t>ເພາະຄໍາສັນຍາແຫ່ງພັນທະສັນຍາທີ່ປະທານແກ່ອັບຣາມວ່າຈະຖືກເປັນຊະເລີຍໃນອີຢິບເປັນເວລາສີ່ຮ້ອຍປີ</w:t>
      </w:r>
      <w:r>
        <w:rPr>
          <w:rFonts w:ascii="Times New Roman" w:hAnsi="Times New Roman" w:eastAsia="Times New Roman" w:cs="Times New Roman"/>
        </w:rPr>
        <w:t xml:space="preserve"> </w:t>
      </w:r>
      <w:r>
        <w:rPr>
          <w:rFonts w:ascii="Leelawadee UI" w:hAnsi="Leelawadee UI" w:eastAsia="Leelawadee UI" w:cs="Leelawadee UI"/>
        </w:rPr>
        <w:t>ໄດ້ຮັບພະຍານຄົນທີສອງເປັນສາມສິບປີຈາກອັກຄະສາວົກໂປໂລ</w:t>
      </w:r>
      <w:r>
        <w:rPr>
          <w:rFonts w:ascii="Times New Roman" w:hAnsi="Times New Roman" w:eastAsia="Times New Roman" w:cs="Times New Roman"/>
        </w:rPr>
        <w:t xml:space="preserve">. </w:t>
      </w:r>
      <w:r>
        <w:rPr>
          <w:rFonts w:ascii="Leelawadee UI" w:hAnsi="Leelawadee UI" w:eastAsia="Leelawadee UI" w:cs="Leelawadee UI"/>
        </w:rPr>
        <w:t>ອັບຣາມ</w:t>
      </w:r>
      <w:r>
        <w:rPr>
          <w:rFonts w:ascii="Times New Roman" w:hAnsi="Times New Roman" w:eastAsia="Times New Roman" w:cs="Times New Roman"/>
        </w:rPr>
        <w:t>, (</w:t>
      </w:r>
      <w:r>
        <w:rPr>
          <w:rFonts w:ascii="Leelawadee UI" w:hAnsi="Leelawadee UI" w:eastAsia="Leelawadee UI" w:cs="Leelawadee UI"/>
        </w:rPr>
        <w:t>ຕໍ່ມາແມ່ນ</w:t>
      </w:r>
      <w:r>
        <w:rPr>
          <w:rFonts w:ascii="Times New Roman" w:hAnsi="Times New Roman" w:eastAsia="Times New Roman" w:cs="Times New Roman"/>
        </w:rPr>
        <w:t xml:space="preserve"> </w:t>
      </w:r>
      <w:r>
        <w:rPr>
          <w:rFonts w:ascii="Leelawadee UI" w:hAnsi="Leelawadee UI" w:eastAsia="Leelawadee UI" w:cs="Leelawadee UI"/>
        </w:rPr>
        <w:t>ອັບຣາຮາມ</w:t>
      </w:r>
      <w:r>
        <w:rPr>
          <w:rFonts w:ascii="Times New Roman" w:hAnsi="Times New Roman" w:eastAsia="Times New Roman" w:cs="Times New Roman"/>
        </w:rPr>
        <w:t xml:space="preserve">) </w:t>
      </w:r>
      <w:r>
        <w:rPr>
          <w:rFonts w:ascii="Leelawadee UI" w:hAnsi="Leelawadee UI" w:eastAsia="Leelawadee UI" w:cs="Leelawadee UI"/>
        </w:rPr>
        <w:t>ແຫ່ງ</w:t>
      </w:r>
      <w:r>
        <w:rPr>
          <w:rFonts w:ascii="Times New Roman" w:hAnsi="Times New Roman" w:eastAsia="Times New Roman" w:cs="Times New Roman"/>
        </w:rPr>
        <w:t xml:space="preserve"> ‘</w:t>
      </w:r>
      <w:r>
        <w:rPr>
          <w:rFonts w:ascii="Leelawadee UI" w:hAnsi="Leelawadee UI" w:eastAsia="Leelawadee UI" w:cs="Leelawadee UI"/>
        </w:rPr>
        <w:t>ຝ່າຍເກົ່າ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ຊາອູນ</w:t>
      </w:r>
      <w:r>
        <w:rPr>
          <w:rFonts w:ascii="Times New Roman" w:hAnsi="Times New Roman" w:eastAsia="Times New Roman" w:cs="Times New Roman"/>
        </w:rPr>
        <w:t>, (</w:t>
      </w:r>
      <w:r>
        <w:rPr>
          <w:rFonts w:ascii="Leelawadee UI" w:hAnsi="Leelawadee UI" w:eastAsia="Leelawadee UI" w:cs="Leelawadee UI"/>
        </w:rPr>
        <w:t>ຕໍ່ມາແມ່ນ</w:t>
      </w:r>
      <w:r>
        <w:rPr>
          <w:rFonts w:ascii="Times New Roman" w:hAnsi="Times New Roman" w:eastAsia="Times New Roman" w:cs="Times New Roman"/>
        </w:rPr>
        <w:t xml:space="preserve"> </w:t>
      </w:r>
      <w:r>
        <w:rPr>
          <w:rFonts w:ascii="Leelawadee UI" w:hAnsi="Leelawadee UI" w:eastAsia="Leelawadee UI" w:cs="Leelawadee UI"/>
        </w:rPr>
        <w:t>ໂປໂລ</w:t>
      </w:r>
      <w:r>
        <w:rPr>
          <w:rFonts w:ascii="Times New Roman" w:hAnsi="Times New Roman" w:eastAsia="Times New Roman" w:cs="Times New Roman"/>
        </w:rPr>
        <w:t xml:space="preserve">) </w:t>
      </w:r>
      <w:r>
        <w:rPr>
          <w:rFonts w:ascii="Leelawadee UI" w:hAnsi="Leelawadee UI" w:eastAsia="Leelawadee UI" w:cs="Leelawadee UI"/>
        </w:rPr>
        <w:t>ແຫ່ງ</w:t>
      </w:r>
      <w:r>
        <w:rPr>
          <w:rFonts w:ascii="Times New Roman" w:hAnsi="Times New Roman" w:eastAsia="Times New Roman" w:cs="Times New Roman"/>
        </w:rPr>
        <w:t xml:space="preserve"> ‘</w:t>
      </w:r>
      <w:r>
        <w:rPr>
          <w:rFonts w:ascii="Leelawadee UI" w:hAnsi="Leelawadee UI" w:eastAsia="Leelawadee UI" w:cs="Leelawadee UI"/>
        </w:rPr>
        <w:t>ຝ່າຍໃໝ່</w:t>
      </w:r>
      <w:r>
        <w:rPr>
          <w:rFonts w:ascii="Times New Roman" w:hAnsi="Times New Roman" w:eastAsia="Times New Roman" w:cs="Times New Roman"/>
        </w:rPr>
        <w:t xml:space="preserve">’ </w:t>
      </w:r>
      <w:r>
        <w:rPr>
          <w:rFonts w:ascii="Leelawadee UI" w:hAnsi="Leelawadee UI" w:eastAsia="Leelawadee UI" w:cs="Leelawadee UI"/>
        </w:rPr>
        <w:t>ໄດ້ຮວມຄໍາພະຍານຂອງພວກເຂົາເຂົ້າດ້ວຍກັນ</w:t>
      </w:r>
      <w:r>
        <w:rPr>
          <w:rFonts w:ascii="Times New Roman" w:hAnsi="Times New Roman" w:eastAsia="Times New Roman" w:cs="Times New Roman"/>
        </w:rPr>
        <w:t xml:space="preserve"> </w:t>
      </w:r>
      <w:r>
        <w:rPr>
          <w:rFonts w:ascii="Leelawadee UI" w:hAnsi="Leelawadee UI" w:eastAsia="Leelawadee UI" w:cs="Leelawadee UI"/>
        </w:rPr>
        <w:t>ເພື່ອສະຖາປະນາສີ່ຮ້ອຍສາມສິບປີໃຫ້ເປັນສັນຍາລັກຂອງພັນທະສັນຍານິລັນດອນ</w:t>
      </w:r>
      <w:r>
        <w:rPr>
          <w:rFonts w:ascii="Times New Roman" w:hAnsi="Times New Roman" w:eastAsia="Times New Roman" w:cs="Times New Roman"/>
        </w:rPr>
        <w:t>. “</w:t>
      </w:r>
      <w:r>
        <w:rPr>
          <w:rFonts w:ascii="Leelawadee UI" w:hAnsi="Leelawadee UI" w:eastAsia="Leelawadee UI" w:cs="Leelawadee UI"/>
        </w:rPr>
        <w:t>ສາມຮ້ອຍເກົ້າສິບວັນ</w:t>
      </w:r>
      <w:r>
        <w:rPr>
          <w:rFonts w:ascii="Times New Roman" w:hAnsi="Times New Roman" w:eastAsia="Times New Roman" w:cs="Times New Roman"/>
        </w:rPr>
        <w:t>” “</w:t>
      </w:r>
      <w:r>
        <w:rPr>
          <w:rFonts w:ascii="Leelawadee UI" w:hAnsi="Leelawadee UI" w:eastAsia="Leelawadee UI" w:cs="Leelawadee UI"/>
        </w:rPr>
        <w:t>ເຈົ້າຈະຮັບແບກຄວາມຊົ່ວຊ້າຂອງວົງວານອິດສະຣາເອນ</w:t>
      </w:r>
      <w:r>
        <w:rPr>
          <w:rFonts w:ascii="Times New Roman" w:hAnsi="Times New Roman" w:eastAsia="Times New Roman" w:cs="Times New Roman"/>
        </w:rPr>
        <w:t>.” “</w:t>
      </w:r>
      <w:r>
        <w:rPr>
          <w:rFonts w:ascii="Leelawadee UI" w:hAnsi="Leelawadee UI" w:eastAsia="Leelawadee UI" w:cs="Leelawadee UI"/>
        </w:rPr>
        <w:t>ແລະ</w:t>
      </w:r>
      <w:r>
        <w:rPr>
          <w:rFonts w:ascii="Times New Roman" w:hAnsi="Times New Roman" w:eastAsia="Times New Roman" w:cs="Times New Roman"/>
        </w:rPr>
        <w:t>” “</w:t>
      </w:r>
      <w:r>
        <w:rPr>
          <w:rFonts w:ascii="Leelawadee UI" w:hAnsi="Leelawadee UI" w:eastAsia="Leelawadee UI" w:cs="Leelawadee UI"/>
        </w:rPr>
        <w:t>ເຈົ້າຈະຮັບແບກຄວາມຊົ່ວຊ້າຂອງວົງວານຢູດາສີ່ສິບວັນ</w:t>
      </w:r>
      <w:r>
        <w:rPr>
          <w:rFonts w:ascii="Times New Roman" w:hAnsi="Times New Roman" w:eastAsia="Times New Roman" w:cs="Times New Roman"/>
        </w:rPr>
        <w:t xml:space="preserve">.” </w:t>
      </w:r>
      <w:r>
        <w:rPr>
          <w:rFonts w:ascii="Leelawadee UI" w:hAnsi="Leelawadee UI" w:eastAsia="Leelawadee UI" w:cs="Leelawadee UI"/>
        </w:rPr>
        <w:t>ເມື່ອຮວມກັນແລ້ວ</w:t>
      </w:r>
      <w:r>
        <w:rPr>
          <w:rFonts w:ascii="Times New Roman" w:hAnsi="Times New Roman" w:eastAsia="Times New Roman" w:cs="Times New Roman"/>
        </w:rPr>
        <w:t xml:space="preserve"> </w:t>
      </w:r>
      <w:r>
        <w:rPr>
          <w:rFonts w:ascii="Leelawadee UI" w:hAnsi="Leelawadee UI" w:eastAsia="Leelawadee UI" w:cs="Leelawadee UI"/>
        </w:rPr>
        <w:t>ຂ້າງຂວາແລະຂ້າງຊ້າຍຍ່ອມເທົ່າກັບອັບຣາມແລະໂປໂລ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 le feagaiga sa faavae pea i luga o le usiusitai po o le lē usiusitai—ola po o le oti. O le mataupu silisili o le aso ma le tausaga i le talaʻaga o le ʻau Millerite sa avea ma mataupu o le ola po o le oti, ma sa folafolaina lea talaʻaga e le agelu muamua o le talalelei e faavavau. O le “talalelei” o se mataupu o le ola po o le oti, ma o le mataupu tofotofo o le ola po o le oti i le talaʻaga o le ʻau Millerite sa faatulagaina i totonu o le siʻosiʻomaga o le mataupu silisili e tutusa ai le aso ma le tausaga. O le valoaga na faamalosia ai le feʻau a le agelu muamua o le valoaga lea o tausaga e tolu selau iva sefulu tasi ma aso e sefululima o le mala lona lua. I totonu o aso e tolu selau iva sefulu na taoto ai Esekielu i lona itu tauagavale o loo iai se ata o tausaga e tolu selau iva sefulu tasi ma aso e sefululima o le valoaga o taimi o le mala lona lua. E manaʻomia le faautaga loloto faaperofeta ina ia vaevaeina saʻo ai le valoaga, ae e leai se isi mea e itiiti ifo ai nai lo le galuega faifai pea a le Leona o le ituaiga o Iuta o loo tatalaina faamaufaailoga o le feʻau o le alaga i le vaeluaga o le pō.</w:t>
      </w:r>
    </w:p>
    <w:p>
      <w:pPr>
        <w:pStyle w:val="ArticleBody"/>
        <w:jc w:val="left"/>
      </w:pPr>
      <w:r>
        <w:rPr>
          <w:rFonts w:ascii="Times New Roman" w:hAnsi="Times New Roman" w:eastAsia="Times New Roman" w:cs="Times New Roman"/>
        </w:rPr>
        <w:t>Ninashikilia kwamba Ezekieli ni lazima atazamwe kama ishara ya wale mia moja arobaini na nne elfu, lakini kimsingi kama ishara ya karama ya Roho ya Unabii, iwe ikiwakilishwa kama udhihirisho wa nabii wa siku za mwisho, au kama udhihirisho wa watu wa agano wanaoelewa kanuni ya mbinu ya amri juu ya amri.</w:t>
      </w:r>
    </w:p>
    <w:p>
      <w:pPr>
        <w:pStyle w:val="ArticleBody"/>
        <w:jc w:val="left"/>
      </w:pPr>
      <w:r>
        <w:rPr>
          <w:rFonts w:ascii="Microsoft YaHei" w:hAnsi="Microsoft YaHei" w:eastAsia="Microsoft YaHei" w:cs="Microsoft YaHei"/>
        </w:rPr>
        <w:t>我主张</w:t>
      </w:r>
      <w:r>
        <w:rPr>
          <w:rFonts w:ascii="Times New Roman" w:hAnsi="Times New Roman" w:eastAsia="Times New Roman" w:cs="Times New Roman"/>
        </w:rPr>
        <w:t>,</w:t>
      </w:r>
      <w:r>
        <w:rPr>
          <w:rFonts w:ascii="Microsoft YaHei" w:hAnsi="Microsoft YaHei" w:eastAsia="Microsoft YaHei" w:cs="Microsoft YaHei"/>
        </w:rPr>
        <w:t>以西结关于那三百九十一年又十五日之预言所发出的亮光</w:t>
      </w:r>
      <w:r>
        <w:rPr>
          <w:rFonts w:ascii="Times New Roman" w:hAnsi="Times New Roman" w:eastAsia="Times New Roman" w:cs="Times New Roman"/>
        </w:rPr>
        <w:t>,</w:t>
      </w:r>
      <w:r>
        <w:rPr>
          <w:rFonts w:ascii="Microsoft YaHei" w:hAnsi="Microsoft YaHei" w:eastAsia="Microsoft YaHei" w:cs="Microsoft YaHei"/>
        </w:rPr>
        <w:t>与那清扫尘土的人将珠宝投入较大匣中的举动相互吻合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 mwen soutni ke limyè ki soti nan Ezekyèl la se yon eleman esansyèl nan mesaj pyè tèt kwen an, lè tanp lan fini.</w:t>
      </w:r>
    </w:p>
    <w:p>
      <w:pPr>
        <w:pStyle w:val="ArticleBody"/>
        <w:jc w:val="left"/>
      </w:pPr>
      <w:r>
        <w:rPr>
          <w:rFonts w:ascii="Ebrima" w:hAnsi="Ebrima" w:eastAsia="Ebrima" w:cs="Ebrima"/>
        </w:rPr>
        <w:t>ዝቕአል</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ጥቅምቲ</w:t>
      </w:r>
      <w:r>
        <w:rPr>
          <w:rFonts w:ascii="Times New Roman" w:hAnsi="Times New Roman" w:eastAsia="Times New Roman" w:cs="Times New Roman"/>
        </w:rPr>
        <w:t xml:space="preserve"> 22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ኣርብዓ</w:t>
      </w:r>
      <w:r>
        <w:rPr>
          <w:rFonts w:ascii="Times New Roman" w:hAnsi="Times New Roman" w:eastAsia="Times New Roman" w:cs="Times New Roman"/>
        </w:rPr>
        <w:t xml:space="preserve"> </w:t>
      </w:r>
      <w:r>
        <w:rPr>
          <w:rFonts w:ascii="Ebrima" w:hAnsi="Ebrima" w:eastAsia="Ebrima" w:cs="Ebrima"/>
        </w:rPr>
        <w:t>ይርከብ፣</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መጻኢ</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ንዝቕአል</w:t>
      </w:r>
      <w:r>
        <w:rPr>
          <w:rFonts w:ascii="Times New Roman" w:hAnsi="Times New Roman" w:eastAsia="Times New Roman" w:cs="Times New Roman"/>
        </w:rPr>
        <w:t xml:space="preserve"> </w:t>
      </w:r>
      <w:r>
        <w:rPr>
          <w:rFonts w:ascii="Ebrima" w:hAnsi="Ebrima" w:eastAsia="Ebrima" w:cs="Ebrima"/>
        </w:rPr>
        <w:t>ተዋሂቡ።</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ናይቶም</w:t>
      </w:r>
      <w:r>
        <w:rPr>
          <w:rFonts w:ascii="Times New Roman" w:hAnsi="Times New Roman" w:eastAsia="Times New Roman" w:cs="Times New Roman"/>
        </w:rPr>
        <w:t xml:space="preserve"> </w:t>
      </w:r>
      <w:r>
        <w:rPr>
          <w:rFonts w:ascii="Ebrima" w:hAnsi="Ebrima" w:eastAsia="Ebrima" w:cs="Ebrima"/>
        </w:rPr>
        <w:t>ሚእቲ</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ሽሕ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ዝቕአል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ጉጅለ</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ሳልሳይን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ሊትመስ</w:t>
      </w:r>
      <w:r>
        <w:rPr>
          <w:rFonts w:ascii="Times New Roman" w:hAnsi="Times New Roman" w:eastAsia="Times New Roman" w:cs="Times New Roman"/>
        </w:rPr>
        <w:t xml:space="preserve"> </w:t>
      </w:r>
      <w:r>
        <w:rPr>
          <w:rFonts w:ascii="Ebrima" w:hAnsi="Ebrima" w:eastAsia="Ebrima" w:cs="Ebrima"/>
        </w:rPr>
        <w:t>ፈተናን</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ምብጻሕኣ</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ፈተናታት</w:t>
      </w:r>
      <w:r>
        <w:rPr>
          <w:rFonts w:ascii="Times New Roman" w:hAnsi="Times New Roman" w:eastAsia="Times New Roman" w:cs="Times New Roman"/>
        </w:rPr>
        <w:t xml:space="preserve"> </w:t>
      </w:r>
      <w:r>
        <w:rPr>
          <w:rFonts w:ascii="Ebrima" w:hAnsi="Ebrima" w:eastAsia="Ebrima" w:cs="Ebrima"/>
        </w:rPr>
        <w:t>ሓሊፋ</w:t>
      </w:r>
      <w:r>
        <w:rPr>
          <w:rFonts w:ascii="Times New Roman" w:hAnsi="Times New Roman" w:eastAsia="Times New Roman" w:cs="Times New Roman"/>
        </w:rPr>
        <w:t xml:space="preserve"> </w:t>
      </w:r>
      <w:r>
        <w:rPr>
          <w:rFonts w:ascii="Ebrima" w:hAnsi="Ebrima" w:eastAsia="Ebrima" w:cs="Ebrima"/>
        </w:rPr>
        <w:t>ትህሉ።</w:t>
      </w:r>
      <w:r>
        <w:rPr>
          <w:rFonts w:ascii="Times New Roman" w:hAnsi="Times New Roman" w:eastAsia="Times New Roman" w:cs="Times New Roman"/>
        </w:rPr>
        <w:t xml:space="preserve"> </w:t>
      </w:r>
      <w:r>
        <w:rPr>
          <w:rFonts w:ascii="Ebrima" w:hAnsi="Ebrima" w:eastAsia="Ebrima" w:cs="Ebrima"/>
        </w:rPr>
        <w:t>ዝቕአል</w:t>
      </w:r>
      <w:r>
        <w:rPr>
          <w:rFonts w:ascii="Times New Roman" w:hAnsi="Times New Roman" w:eastAsia="Times New Roman" w:cs="Times New Roman"/>
        </w:rPr>
        <w:t xml:space="preserve"> </w:t>
      </w:r>
      <w:r>
        <w:rPr>
          <w:rFonts w:ascii="Ebrima" w:hAnsi="Ebrima" w:eastAsia="Ebrima" w:cs="Ebrima"/>
        </w:rPr>
        <w:t>ብርሃኑ</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ዝቕበል</w:t>
      </w:r>
      <w:r>
        <w:rPr>
          <w:rFonts w:ascii="Times New Roman" w:hAnsi="Times New Roman" w:eastAsia="Times New Roman" w:cs="Times New Roman"/>
        </w:rPr>
        <w:t xml:space="preserve"> </w:t>
      </w:r>
      <w:r>
        <w:rPr>
          <w:rFonts w:ascii="Ebrima" w:hAnsi="Ebrima" w:eastAsia="Ebrima" w:cs="Ebrima"/>
        </w:rPr>
        <w:t>ተሰኢሉ</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ዝፈርዮ</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ብመሰረት</w:t>
      </w:r>
      <w:r>
        <w:rPr>
          <w:rFonts w:ascii="Times New Roman" w:hAnsi="Times New Roman" w:eastAsia="Times New Roman" w:cs="Times New Roman"/>
        </w:rPr>
        <w:t xml:space="preserve"> Daniel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ኣስር</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ቅድስቲ</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ኣተዉ</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ይውክል።</w:t>
      </w:r>
    </w:p>
    <w:p>
      <w:pPr>
        <w:pStyle w:val="ArticleBody"/>
        <w:jc w:val="left"/>
      </w:pPr>
      <w:r>
        <w:rPr>
          <w:rFonts w:ascii="Times New Roman" w:hAnsi="Times New Roman" w:eastAsia="Times New Roman" w:cs="Times New Roman"/>
        </w:rPr>
        <w:t>نور وحيِ عیسی مسیح که گشوده شده است، درست اندکی پیش از بسته شدنِ درِ فیض گشوده می‌شود.</w:t>
      </w:r>
    </w:p>
    <w:p>
      <w:pPr>
        <w:pStyle w:val="ArticleScripture"/>
        <w:jc w:val="left"/>
      </w:pPr>
      <w:r>
        <w:rPr>
          <w:rFonts w:ascii="Times New Roman" w:hAnsi="Times New Roman" w:eastAsia="Times New Roman" w:cs="Times New Roman"/>
        </w:rPr>
        <w:t>Ac el îmi zice: „Să nu pecetluiești cuvintele prorociei din cartea aceasta, căci vremea este aproape. Cine este nedrept să fie nedrept și mai departe; cine este întinat să se întineze și mai departe; cine este neprihănit să trăiască în neprihănire și mai departe; și cine este sfânt să se sfințească și mai departe.” Apocalipsa 22:10, 11.</w:t>
      </w:r>
    </w:p>
    <w:p>
      <w:pPr>
        <w:pStyle w:val="ArticleBody"/>
        <w:jc w:val="left"/>
      </w:pPr>
      <w:r>
        <w:rPr>
          <w:rFonts w:ascii="Times New Roman" w:hAnsi="Times New Roman" w:eastAsia="Times New Roman" w:cs="Times New Roman"/>
        </w:rPr>
        <w:t>« Le temps est proche » juste avant la fin du temps de grâce au verset onze, et la Révélation de Jésus-Christ est donc descellée à ce moment-là, car « le temps est proche ».</w:t>
      </w:r>
    </w:p>
    <w:p>
      <w:pPr>
        <w:pStyle w:val="ArticleScripture"/>
        <w:jc w:val="left"/>
      </w:pPr>
      <w:r>
        <w:rPr>
          <w:rFonts w:ascii="Times New Roman" w:hAnsi="Times New Roman" w:eastAsia="Times New Roman" w:cs="Times New Roman"/>
        </w:rPr>
        <w:t>Ifunrevele ya Yesu Kristo, iyo Imana yamuhaye, kugira ngo yereke abagaragu bayo ibyenda kubaho vuba; maze ayimwohereza kandi ayimenyekanishiriza ku ntumwa yayo umugaragu wayo Yohana: we wahamije ijambo ry’Imana, n’ubuhamya bwa Yesu Kristo, n’ibyo byose yabonye. Hahirwa usoma, kandi hahirwa abumva amagambo y’ubu buhanuzi, bakitondera ibyanditswemo: kuko igihe kiri bugufi. Ibyahishuwe 1:1–3.</w:t>
      </w:r>
    </w:p>
    <w:p>
      <w:pPr>
        <w:pStyle w:val="ArticleBody"/>
        <w:jc w:val="left"/>
      </w:pPr>
      <w:r>
        <w:rPr>
          <w:rFonts w:ascii="Times New Roman" w:hAnsi="Times New Roman" w:eastAsia="Times New Roman" w:cs="Times New Roman"/>
        </w:rPr>
        <w:t>Laodikia Seventh-day Adventism’ngani probation qapiladi Sunday law paytida, hamda Adventism Hizqiyolning to‘qqizinchi bobida Quddus sifatida tasvirlanadi. U yerda mamlakatda va jamoatda qilinayotgan jirkanch ishlar uchun oh urib, faryod qiluvchilar muhrni qabul qiladilar. Muhrlash Islomning sharq shamollari xalqlarni g‘azablantirayotgan paytda, probation yopilishidan sal oldin sodir bo‘ladi. Hizqiyolning sakkizinchi bobida Adventismning to‘rt avlodi yakun topadi; to‘rtinchi avlod quyoshga sajda qilayotgan yigirma besh rahbar bilan ramziy ifodalanadi.</w:t>
      </w:r>
    </w:p>
    <w:p>
      <w:pPr>
        <w:pStyle w:val="ArticleBody"/>
        <w:jc w:val="left"/>
      </w:pPr>
      <w:r>
        <w:rPr>
          <w:rFonts w:ascii="Times New Roman" w:hAnsi="Times New Roman" w:eastAsia="Times New Roman" w:cs="Times New Roman"/>
        </w:rPr>
        <w:t>Cette vision fut donnée symboliquement un jour avant la loi du dimanche, ou juste avant la fin du temps de grâce, représentée par six, six, six.</w:t>
      </w:r>
    </w:p>
    <w:p>
      <w:pPr>
        <w:pStyle w:val="ArticleScripture"/>
        <w:jc w:val="left"/>
      </w:pPr>
      <w:r>
        <w:rPr>
          <w:rFonts w:ascii="Times New Roman" w:hAnsi="Times New Roman" w:eastAsia="Times New Roman" w:cs="Times New Roman"/>
        </w:rPr>
        <w:t>Siitä tapahtui kuudentena vuonna, kuudentena kuukautena, kuukauden viidentenä päivänä, minun istuessani huoneessani ja Juudan vanhinten istuessa edessäni, että Herran, Herran, käsi lankesi siellä minun päälleni. Ja minä näin, ja katso: hahmo, tulen näköinen; hänen kupeittensa näöstä alaspäin tulta, ja hänen kupeistaan ylöspäin kirkkauden näköä, kuin meripihkan hohdetta. Ja hän ojensi kädenkaltaisen muodon ja tarttui minua hiussuortuvasta päässäni; ja henki nosti minut maan ja taivaan välille ja vei minut Jumalan näyissä Jerusalemiin, sisemmän portin ovelle, joka on pohjoiseen päin; siellä, missä oli sen kiivauteen yllyttävän kateudenkuvan istuin. Ja katso, Israelin Jumalan kirkkaus oli siellä, sen näyn mukaisesti, jonka minä olin nähnyt tasangolla. Hesekiel 8:1–4.</w:t>
      </w:r>
    </w:p>
    <w:p>
      <w:pPr>
        <w:pStyle w:val="ArticleBody"/>
        <w:jc w:val="left"/>
      </w:pPr>
      <w:r>
        <w:rPr>
          <w:rFonts w:ascii="Times New Roman" w:hAnsi="Times New Roman" w:eastAsia="Times New Roman" w:cs="Times New Roman"/>
        </w:rPr>
        <w:t>Leffon du sixième année, du sixième mois et du cinquième jour vint juste avant « 666 », symbole de la loi du dimanche, lorsque la probation prend fin pour l’adventisme laodicéen. Cette vision était « selon la vision » qu’Ézéchiel « avait vue dans la plaine ». La vision qu’il avait vue dans la plaine se trouve plus tôt, au chapitre trois.</w:t>
      </w:r>
    </w:p>
    <w:p>
      <w:pPr>
        <w:pStyle w:val="ArticleScripture"/>
        <w:jc w:val="left"/>
      </w:pPr>
      <w:r>
        <w:rPr>
          <w:rFonts w:ascii="Times New Roman" w:hAnsi="Times New Roman" w:eastAsia="Times New Roman" w:cs="Times New Roman"/>
        </w:rPr>
        <w:t>Puis je me levai, et j’allai dans la plaine ; et voici, la gloire de l’Éternel s’y tenait, telle la gloire que j’avais vue près du fleuve du Kebar ; et je tombai sur ma face. Ézéchiel 3:23.</w:t>
      </w:r>
    </w:p>
    <w:p>
      <w:pPr>
        <w:pStyle w:val="ArticleBody"/>
        <w:jc w:val="left"/>
      </w:pPr>
      <w:r>
        <w:rPr>
          <w:rFonts w:ascii="Times New Roman" w:hAnsi="Times New Roman" w:eastAsia="Times New Roman" w:cs="Times New Roman"/>
        </w:rPr>
        <w:t>La vision de la « plaine », qui fut la vision de la sixième année, du sixième mois et du cinquième jour, était la vision qu’Ézéchiel avait vue auparavant au bord du fleuve Kebar.</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между пленниците при реката Ховар, че небесата се отвориха и видях Божии видения. Езекиил 1:1.</w:t>
      </w:r>
    </w:p>
    <w:p>
      <w:pPr>
        <w:pStyle w:val="ArticleBody"/>
        <w:jc w:val="left"/>
      </w:pPr>
      <w:r>
        <w:rPr>
          <w:rFonts w:ascii="Times New Roman" w:hAnsi="Times New Roman" w:eastAsia="Times New Roman" w:cs="Times New Roman"/>
        </w:rPr>
        <w:t>«Лелипоно тѐ Молимо» зе Езекило «а бѐлѐхиле», ка лѐно бя Кеваре, бе лѐполипоно тѐ мпапанга, йе ео кахало лѐполипоно тѐ Езекило, кхаптеле я бонѐ ка nngwe го ya lesome le motso o mongwe. Лѐдиполипоно цѐо ди а неѐлва ка контексте я хоре Езекило а талила ка харе хо сѐйцѐнг, мо хѐна мо «мара» лѐполипоно ла сѐипоне са хо кхаоло я lesome ле тламахала. Езекило о эмела бао бака кабо тѐсмо ка леседи ла ботрофета ле цазанг хо тсва ка Сейцѐнг се Паписо, ханг Хенолло я Иисусе Кристо е тлѐсва ка пеле хо хвалва ха накхо я кетсахало.</w:t>
      </w:r>
    </w:p>
    <w:p>
      <w:pPr>
        <w:pStyle w:val="ArticleBody"/>
        <w:jc w:val="left"/>
      </w:pPr>
      <w:r>
        <w:rPr>
          <w:rFonts w:ascii="Times New Roman" w:hAnsi="Times New Roman" w:eastAsia="Times New Roman" w:cs="Times New Roman"/>
        </w:rPr>
        <w:t>Lorsque nous identifions la ligne du Jubilé du roi Josias, qui commence à la Pâque et s’achève le 22 octobre, nous identifions le symbole des fêtes du printemps et des fêtes de l’automne telles qu’elles sont exposées dans Lévitique vingt-trois. Là, les fêtes du printemps et de l’automne sont présentées en vingt-deux versets chacune, tout comme le ministère d’Ézéchiel s’étendit sur vingt-deux années. Le fait d’aligner Ézéchiel sur la trentième année de la ligne du Jubilé permet de faire coïncider la naissance d’Ézéchiel avec le réveil de Josias. S’il avait trente ans dans la trentième année du cycle du Jubilé, alors Ézéchiel serait né au temps de la réforme de Josias.</w:t>
      </w:r>
    </w:p>
    <w:p>
      <w:pPr>
        <w:pStyle w:val="ArticleBody"/>
        <w:jc w:val="left"/>
      </w:pPr>
      <w:r>
        <w:rPr>
          <w:rFonts w:ascii="Sylfaen" w:hAnsi="Sylfaen" w:eastAsia="Sylfaen" w:cs="Sylfaen"/>
        </w:rPr>
        <w:t>ეზეკიელი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ვინც</w:t>
      </w:r>
      <w:r>
        <w:rPr>
          <w:rFonts w:ascii="Times New Roman" w:hAnsi="Times New Roman" w:eastAsia="Times New Roman" w:cs="Times New Roman"/>
        </w:rPr>
        <w:t xml:space="preserve"> </w:t>
      </w:r>
      <w:r>
        <w:rPr>
          <w:rFonts w:ascii="Sylfaen" w:hAnsi="Sylfaen" w:eastAsia="Sylfaen" w:cs="Sylfaen"/>
        </w:rPr>
        <w:t>რწმენით</w:t>
      </w:r>
      <w:r>
        <w:rPr>
          <w:rFonts w:ascii="Times New Roman" w:hAnsi="Times New Roman" w:eastAsia="Times New Roman" w:cs="Times New Roman"/>
        </w:rPr>
        <w:t xml:space="preserve"> </w:t>
      </w:r>
      <w:r>
        <w:rPr>
          <w:rFonts w:ascii="Sylfaen" w:hAnsi="Sylfaen" w:eastAsia="Sylfaen" w:cs="Sylfaen"/>
        </w:rPr>
        <w:t>შედის</w:t>
      </w:r>
      <w:r>
        <w:rPr>
          <w:rFonts w:ascii="Times New Roman" w:hAnsi="Times New Roman" w:eastAsia="Times New Roman" w:cs="Times New Roman"/>
        </w:rPr>
        <w:t xml:space="preserve"> </w:t>
      </w:r>
      <w:r>
        <w:rPr>
          <w:rFonts w:ascii="Sylfaen" w:hAnsi="Sylfaen" w:eastAsia="Sylfaen" w:cs="Sylfaen"/>
        </w:rPr>
        <w:t>უწმინდესში</w:t>
      </w:r>
      <w:r>
        <w:rPr>
          <w:rFonts w:ascii="Times New Roman" w:hAnsi="Times New Roman" w:eastAsia="Times New Roman" w:cs="Times New Roman"/>
        </w:rPr>
        <w:t xml:space="preserve">. </w:t>
      </w:r>
      <w:r>
        <w:rPr>
          <w:rFonts w:ascii="Sylfaen" w:hAnsi="Sylfaen" w:eastAsia="Sylfaen" w:cs="Sylfaen"/>
        </w:rPr>
        <w:t>იქ</w:t>
      </w:r>
      <w:r>
        <w:rPr>
          <w:rFonts w:ascii="Times New Roman" w:hAnsi="Times New Roman" w:eastAsia="Times New Roman" w:cs="Times New Roman"/>
        </w:rPr>
        <w:t xml:space="preserve"> </w:t>
      </w:r>
      <w:r>
        <w:rPr>
          <w:rFonts w:ascii="Sylfaen" w:hAnsi="Sylfaen" w:eastAsia="Sylfaen" w:cs="Sylfaen"/>
        </w:rPr>
        <w:t>შესვლის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ხედავენ</w:t>
      </w:r>
      <w:r>
        <w:rPr>
          <w:rFonts w:ascii="Times New Roman" w:hAnsi="Times New Roman" w:eastAsia="Times New Roman" w:cs="Times New Roman"/>
        </w:rPr>
        <w:t xml:space="preserve"> </w:t>
      </w:r>
      <w:r>
        <w:rPr>
          <w:rFonts w:ascii="Sylfaen" w:hAnsi="Sylfaen" w:eastAsia="Sylfaen" w:cs="Sylfaen"/>
        </w:rPr>
        <w:t>ბორბლებს</w:t>
      </w:r>
      <w:r>
        <w:rPr>
          <w:rFonts w:ascii="Times New Roman" w:hAnsi="Times New Roman" w:eastAsia="Times New Roman" w:cs="Times New Roman"/>
        </w:rPr>
        <w:t xml:space="preserve"> </w:t>
      </w:r>
      <w:r>
        <w:rPr>
          <w:rFonts w:ascii="Sylfaen" w:hAnsi="Sylfaen" w:eastAsia="Sylfaen" w:cs="Sylfaen"/>
        </w:rPr>
        <w:t>ბორბლებში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ადამიანურ</w:t>
      </w:r>
      <w:r>
        <w:rPr>
          <w:rFonts w:ascii="Times New Roman" w:hAnsi="Times New Roman" w:eastAsia="Times New Roman" w:cs="Times New Roman"/>
        </w:rPr>
        <w:t xml:space="preserve"> </w:t>
      </w:r>
      <w:r>
        <w:rPr>
          <w:rFonts w:ascii="Sylfaen" w:hAnsi="Sylfaen" w:eastAsia="Sylfaen" w:cs="Sylfaen"/>
        </w:rPr>
        <w:t>ურთიერთქმედებათა</w:t>
      </w:r>
      <w:r>
        <w:rPr>
          <w:rFonts w:ascii="Times New Roman" w:hAnsi="Times New Roman" w:eastAsia="Times New Roman" w:cs="Times New Roman"/>
        </w:rPr>
        <w:t xml:space="preserve"> </w:t>
      </w:r>
      <w:r>
        <w:rPr>
          <w:rFonts w:ascii="Sylfaen" w:hAnsi="Sylfaen" w:eastAsia="Sylfaen" w:cs="Sylfaen"/>
        </w:rPr>
        <w:t>რთულ</w:t>
      </w:r>
      <w:r>
        <w:rPr>
          <w:rFonts w:ascii="Times New Roman" w:hAnsi="Times New Roman" w:eastAsia="Times New Roman" w:cs="Times New Roman"/>
        </w:rPr>
        <w:t xml:space="preserve"> </w:t>
      </w:r>
      <w:r>
        <w:rPr>
          <w:rFonts w:ascii="Sylfaen" w:hAnsi="Sylfaen" w:eastAsia="Sylfaen" w:cs="Sylfaen"/>
        </w:rPr>
        <w:t>დინამიკას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იოანეს</w:t>
      </w:r>
      <w:r>
        <w:rPr>
          <w:rFonts w:ascii="Times New Roman" w:hAnsi="Times New Roman" w:eastAsia="Times New Roman" w:cs="Times New Roman"/>
        </w:rPr>
        <w:t xml:space="preserve"> </w:t>
      </w:r>
      <w:r>
        <w:rPr>
          <w:rFonts w:ascii="Sylfaen" w:hAnsi="Sylfaen" w:eastAsia="Sylfaen" w:cs="Sylfaen"/>
        </w:rPr>
        <w:t>შემთხვევაში</w:t>
      </w:r>
      <w:r>
        <w:rPr>
          <w:rFonts w:ascii="Times New Roman" w:hAnsi="Times New Roman" w:eastAsia="Times New Roman" w:cs="Times New Roman"/>
        </w:rPr>
        <w:t xml:space="preserve"> </w:t>
      </w:r>
      <w:r>
        <w:rPr>
          <w:rFonts w:ascii="Sylfaen" w:hAnsi="Sylfaen" w:eastAsia="Sylfaen" w:cs="Sylfaen"/>
        </w:rPr>
        <w:t>გამოცხადების</w:t>
      </w:r>
      <w:r>
        <w:rPr>
          <w:rFonts w:ascii="Times New Roman" w:hAnsi="Times New Roman" w:eastAsia="Times New Roman" w:cs="Times New Roman"/>
        </w:rPr>
        <w:t xml:space="preserve"> </w:t>
      </w:r>
      <w:r>
        <w:rPr>
          <w:rFonts w:ascii="Sylfaen" w:hAnsi="Sylfaen" w:eastAsia="Sylfaen" w:cs="Sylfaen"/>
        </w:rPr>
        <w:t>წიგნის</w:t>
      </w:r>
      <w:r>
        <w:rPr>
          <w:rFonts w:ascii="Times New Roman" w:hAnsi="Times New Roman" w:eastAsia="Times New Roman" w:cs="Times New Roman"/>
        </w:rPr>
        <w:t xml:space="preserve"> </w:t>
      </w:r>
      <w:r>
        <w:rPr>
          <w:rFonts w:ascii="Sylfaen" w:hAnsi="Sylfaen" w:eastAsia="Sylfaen" w:cs="Sylfaen"/>
        </w:rPr>
        <w:t>მეათე</w:t>
      </w:r>
      <w:r>
        <w:rPr>
          <w:rFonts w:ascii="Times New Roman" w:hAnsi="Times New Roman" w:eastAsia="Times New Roman" w:cs="Times New Roman"/>
        </w:rPr>
        <w:t xml:space="preserve"> </w:t>
      </w:r>
      <w:r>
        <w:rPr>
          <w:rFonts w:ascii="Sylfaen" w:hAnsi="Sylfaen" w:eastAsia="Sylfaen" w:cs="Sylfaen"/>
        </w:rPr>
        <w:t>თავში</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ეზეკიელი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მილერიტებს</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უფრო</w:t>
      </w:r>
      <w:r>
        <w:rPr>
          <w:rFonts w:ascii="Times New Roman" w:hAnsi="Times New Roman" w:eastAsia="Times New Roman" w:cs="Times New Roman"/>
        </w:rPr>
        <w:t xml:space="preserve"> </w:t>
      </w:r>
      <w:r>
        <w:rPr>
          <w:rFonts w:ascii="Sylfaen" w:hAnsi="Sylfaen" w:eastAsia="Sylfaen" w:cs="Sylfaen"/>
        </w:rPr>
        <w:t>უშუალოდ</w:t>
      </w:r>
      <w:r>
        <w:rPr>
          <w:rFonts w:ascii="Times New Roman" w:hAnsi="Times New Roman" w:eastAsia="Times New Roman" w:cs="Times New Roman"/>
        </w:rPr>
        <w:t xml:space="preserve"> —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w:t>
      </w:r>
      <w:r>
        <w:rPr>
          <w:rFonts w:ascii="Times New Roman" w:hAnsi="Times New Roman" w:eastAsia="Times New Roman" w:cs="Times New Roman"/>
        </w:rPr>
        <w:t xml:space="preserve"> </w:t>
      </w:r>
      <w:r>
        <w:rPr>
          <w:rFonts w:ascii="Sylfaen" w:hAnsi="Sylfaen" w:eastAsia="Sylfaen" w:cs="Sylfaen"/>
        </w:rPr>
        <w:t>ათასს</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პარალელური</w:t>
      </w:r>
      <w:r>
        <w:rPr>
          <w:rFonts w:ascii="Times New Roman" w:hAnsi="Times New Roman" w:eastAsia="Times New Roman" w:cs="Times New Roman"/>
        </w:rPr>
        <w:t xml:space="preserve"> </w:t>
      </w:r>
      <w:r>
        <w:rPr>
          <w:rFonts w:ascii="Sylfaen" w:hAnsi="Sylfaen" w:eastAsia="Sylfaen" w:cs="Sylfaen"/>
        </w:rPr>
        <w:t>დროის</w:t>
      </w:r>
      <w:r>
        <w:rPr>
          <w:rFonts w:ascii="Times New Roman" w:hAnsi="Times New Roman" w:eastAsia="Times New Roman" w:cs="Times New Roman"/>
        </w:rPr>
        <w:t xml:space="preserve"> </w:t>
      </w:r>
      <w:r>
        <w:rPr>
          <w:rFonts w:ascii="Sylfaen" w:hAnsi="Sylfaen" w:eastAsia="Sylfaen" w:cs="Sylfaen"/>
        </w:rPr>
        <w:t>წინასწარმეტყველება</w:t>
      </w:r>
      <w:r>
        <w:rPr>
          <w:rFonts w:ascii="Times New Roman" w:hAnsi="Times New Roman" w:eastAsia="Times New Roman" w:cs="Times New Roman"/>
        </w:rPr>
        <w:t xml:space="preserve"> — </w:t>
      </w:r>
      <w:r>
        <w:rPr>
          <w:rFonts w:ascii="Sylfaen" w:hAnsi="Sylfaen" w:eastAsia="Sylfaen" w:cs="Sylfaen"/>
        </w:rPr>
        <w:t>სამას</w:t>
      </w:r>
      <w:r>
        <w:rPr>
          <w:rFonts w:ascii="Times New Roman" w:hAnsi="Times New Roman" w:eastAsia="Times New Roman" w:cs="Times New Roman"/>
        </w:rPr>
        <w:t xml:space="preserve"> </w:t>
      </w:r>
      <w:r>
        <w:rPr>
          <w:rFonts w:ascii="Sylfaen" w:hAnsi="Sylfaen" w:eastAsia="Sylfaen" w:cs="Sylfaen"/>
        </w:rPr>
        <w:t>ოთხმოცდათერთმეტი</w:t>
      </w:r>
      <w:r>
        <w:rPr>
          <w:rFonts w:ascii="Times New Roman" w:hAnsi="Times New Roman" w:eastAsia="Times New Roman" w:cs="Times New Roman"/>
        </w:rPr>
        <w:t xml:space="preserve"> </w:t>
      </w:r>
      <w:r>
        <w:rPr>
          <w:rFonts w:ascii="Sylfaen" w:hAnsi="Sylfaen" w:eastAsia="Sylfaen" w:cs="Sylfaen"/>
        </w:rPr>
        <w:t>წელი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თხუთმეტი</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 </w:t>
      </w:r>
      <w:r>
        <w:rPr>
          <w:rFonts w:ascii="Sylfaen" w:hAnsi="Sylfaen" w:eastAsia="Sylfaen" w:cs="Sylfaen"/>
        </w:rPr>
        <w:t>ასახავს</w:t>
      </w:r>
      <w:r>
        <w:rPr>
          <w:rFonts w:ascii="Times New Roman" w:hAnsi="Times New Roman" w:eastAsia="Times New Roman" w:cs="Times New Roman"/>
        </w:rPr>
        <w:t xml:space="preserve"> </w:t>
      </w:r>
      <w:r>
        <w:rPr>
          <w:rFonts w:ascii="Sylfaen" w:hAnsi="Sylfaen" w:eastAsia="Sylfaen" w:cs="Sylfaen"/>
        </w:rPr>
        <w:t>ლაოდიკეური</w:t>
      </w:r>
      <w:r>
        <w:rPr>
          <w:rFonts w:ascii="Times New Roman" w:hAnsi="Times New Roman" w:eastAsia="Times New Roman" w:cs="Times New Roman"/>
        </w:rPr>
        <w:t xml:space="preserve"> </w:t>
      </w:r>
      <w:r>
        <w:rPr>
          <w:rFonts w:ascii="Sylfaen" w:hAnsi="Sylfaen" w:eastAsia="Sylfaen" w:cs="Sylfaen"/>
        </w:rPr>
        <w:t>ადვენტიზმის</w:t>
      </w:r>
      <w:r>
        <w:rPr>
          <w:rFonts w:ascii="Times New Roman" w:hAnsi="Times New Roman" w:eastAsia="Times New Roman" w:cs="Times New Roman"/>
        </w:rPr>
        <w:t xml:space="preserve"> </w:t>
      </w:r>
      <w:r>
        <w:rPr>
          <w:rFonts w:ascii="Sylfaen" w:hAnsi="Sylfaen" w:eastAsia="Sylfaen" w:cs="Sylfaen"/>
        </w:rPr>
        <w:t>საბოლოო</w:t>
      </w:r>
      <w:r>
        <w:rPr>
          <w:rFonts w:ascii="Times New Roman" w:hAnsi="Times New Roman" w:eastAsia="Times New Roman" w:cs="Times New Roman"/>
        </w:rPr>
        <w:t xml:space="preserve"> </w:t>
      </w:r>
      <w:r>
        <w:rPr>
          <w:rFonts w:ascii="Sylfaen" w:hAnsi="Sylfaen" w:eastAsia="Sylfaen" w:cs="Sylfaen"/>
        </w:rPr>
        <w:t>სამსჯავროს</w:t>
      </w:r>
      <w:r>
        <w:rPr>
          <w:rFonts w:ascii="Times New Roman" w:hAnsi="Times New Roman" w:eastAsia="Times New Roman" w:cs="Times New Roman"/>
        </w:rPr>
        <w:t xml:space="preserve"> </w:t>
      </w:r>
      <w:r>
        <w:rPr>
          <w:rFonts w:ascii="Sylfaen" w:hAnsi="Sylfaen" w:eastAsia="Sylfaen" w:cs="Sylfaen"/>
        </w:rPr>
        <w:t>იერუსალიმის</w:t>
      </w:r>
      <w:r>
        <w:rPr>
          <w:rFonts w:ascii="Times New Roman" w:hAnsi="Times New Roman" w:eastAsia="Times New Roman" w:cs="Times New Roman"/>
        </w:rPr>
        <w:t xml:space="preserve"> </w:t>
      </w:r>
      <w:r>
        <w:rPr>
          <w:rFonts w:ascii="Sylfaen" w:hAnsi="Sylfaen" w:eastAsia="Sylfaen" w:cs="Sylfaen"/>
        </w:rPr>
        <w:t>განადგურებით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მოიცავს</w:t>
      </w:r>
      <w:r>
        <w:rPr>
          <w:rFonts w:ascii="Times New Roman" w:hAnsi="Times New Roman" w:eastAsia="Times New Roman" w:cs="Times New Roman"/>
        </w:rPr>
        <w:t xml:space="preserve"> </w:t>
      </w:r>
      <w:r>
        <w:rPr>
          <w:rFonts w:ascii="Sylfaen" w:hAnsi="Sylfaen" w:eastAsia="Sylfaen" w:cs="Sylfaen"/>
        </w:rPr>
        <w:t>ოცდათვრამეტისა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ორმოცის</w:t>
      </w:r>
      <w:r>
        <w:rPr>
          <w:rFonts w:ascii="Times New Roman" w:hAnsi="Times New Roman" w:eastAsia="Times New Roman" w:cs="Times New Roman"/>
        </w:rPr>
        <w:t xml:space="preserve"> </w:t>
      </w:r>
      <w:r>
        <w:rPr>
          <w:rFonts w:ascii="Sylfaen" w:hAnsi="Sylfaen" w:eastAsia="Sylfaen" w:cs="Sylfaen"/>
        </w:rPr>
        <w:t>იგავსაც</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Elle inclut le symbolisme de quatre cent trente ans.</w:t>
      </w:r>
    </w:p>
    <w:p>
      <w:pPr>
        <w:pStyle w:val="ArticleBody"/>
        <w:jc w:val="left"/>
      </w:pPr>
      <w:r>
        <w:rPr>
          <w:rFonts w:ascii="Nirmala UI" w:hAnsi="Nirmala UI" w:eastAsia="Nirmala UI" w:cs="Nirmala UI"/>
        </w:rPr>
        <w:t>එය</w:t>
      </w:r>
      <w:r>
        <w:rPr>
          <w:rFonts w:ascii="Times New Roman" w:hAnsi="Times New Roman" w:eastAsia="Times New Roman" w:cs="Times New Roman"/>
        </w:rPr>
        <w:t xml:space="preserve"> 1333 </w:t>
      </w:r>
      <w:r>
        <w:rPr>
          <w:rFonts w:ascii="Nirmala UI" w:hAnsi="Nirmala UI" w:eastAsia="Nirmala UI" w:cs="Nirmala UI"/>
        </w:rPr>
        <w:t>සිට</w:t>
      </w:r>
      <w:r>
        <w:rPr>
          <w:rFonts w:ascii="Times New Roman" w:hAnsi="Times New Roman" w:eastAsia="Times New Roman" w:cs="Times New Roman"/>
        </w:rPr>
        <w:t xml:space="preserve"> 1337 </w:t>
      </w:r>
      <w:r>
        <w:rPr>
          <w:rFonts w:ascii="Nirmala UI" w:hAnsi="Nirmala UI" w:eastAsia="Nirmala UI" w:cs="Nirmala UI"/>
        </w:rPr>
        <w:t>දක්වා</w:t>
      </w:r>
      <w:r>
        <w:rPr>
          <w:rFonts w:ascii="Times New Roman" w:hAnsi="Times New Roman" w:eastAsia="Times New Roman" w:cs="Times New Roman"/>
        </w:rPr>
        <w:t xml:space="preserve">, 1449 </w:t>
      </w:r>
      <w:r>
        <w:rPr>
          <w:rFonts w:ascii="Nirmala UI" w:hAnsi="Nirmala UI" w:eastAsia="Nirmala UI" w:cs="Nirmala UI"/>
        </w:rPr>
        <w:t>සිට</w:t>
      </w:r>
      <w:r>
        <w:rPr>
          <w:rFonts w:ascii="Times New Roman" w:hAnsi="Times New Roman" w:eastAsia="Times New Roman" w:cs="Times New Roman"/>
        </w:rPr>
        <w:t xml:space="preserve"> 1453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1840 </w:t>
      </w:r>
      <w:r>
        <w:rPr>
          <w:rFonts w:ascii="Nirmala UI" w:hAnsi="Nirmala UI" w:eastAsia="Nirmala UI" w:cs="Nirmala UI"/>
        </w:rPr>
        <w:t>සිට</w:t>
      </w:r>
      <w:r>
        <w:rPr>
          <w:rFonts w:ascii="Times New Roman" w:hAnsi="Times New Roman" w:eastAsia="Times New Roman" w:cs="Times New Roman"/>
        </w:rPr>
        <w:t xml:space="preserve"> 1844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හතරක</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commencerons l’examen de ce sujet de la plus haute importance dans le prochain article.</w:t>
      </w:r>
    </w:p>
    <w:p>
      <w:pPr>
        <w:pStyle w:val="ArticleScripture"/>
        <w:jc w:val="left"/>
      </w:pPr>
      <w:r>
        <w:rPr>
          <w:rFonts w:ascii="Times New Roman" w:hAnsi="Times New Roman" w:eastAsia="Times New Roman" w:cs="Times New Roman"/>
        </w:rPr>
        <w:t>“Na veivakaraici sa soli vei Aisea, vei Isikeli, kei Joni, eda raica kina na volekati ni lomalagi ki na veika sa yaco tiko e vuravura, kei na levu ni veinanumi ni Kalou vei ira era yalodina vua.” Testimonies, volume 5, 753.</w:t>
      </w:r>
    </w:p>
    <w:p>
      <w:pPr>
        <w:pStyle w:val="ArticleScripture"/>
        <w:jc w:val="left"/>
      </w:pPr>
      <w:r>
        <w:rPr>
          <w:rFonts w:ascii="Times New Roman" w:hAnsi="Times New Roman" w:eastAsia="Times New Roman" w:cs="Times New Roman"/>
        </w:rPr>
        <w:t>«Христос Сам был Господом храма. Когда Ему надлежало оставить его, слава его должна была отойти, — та слава, некогда видимая во Святом святых над престолом милости, куда первосвященник входил лишь однажды в год, в великий день искупления, с кровью закланной жертвы (прообразом крови Сына Божия, пролитой за грехи мира), и кропил ею жертвенник. Это была Шекина, зримый покров Иеговы.</w:t>
      </w:r>
    </w:p>
    <w:p>
      <w:pPr>
        <w:pStyle w:val="ArticleScripture"/>
        <w:jc w:val="left"/>
      </w:pPr>
      <w:r>
        <w:rPr>
          <w:rFonts w:ascii="Times New Roman" w:hAnsi="Times New Roman" w:eastAsia="Times New Roman" w:cs="Times New Roman"/>
        </w:rPr>
        <w:t>“Ta a ri yaworar nan ce aka bayyana wa Ishaya, sa’ad da ya ce, ‘A shekarar mutuwar sarki Uziya na kuma ga Ubangiji yana zaune a kan kursiyi, mai ɗaukaka kuma maɗaukaki, kuma gindin rigarsa ya cika haikali’ [an kawo Ishaya 6:1–8].” The Seventh-day Adventist Bible Commentary, juzu’i na 4, 1139.</w:t>
      </w:r>
    </w:p>
    <w:p>
      <w:pPr>
        <w:pStyle w:val="ArticleScripture"/>
        <w:jc w:val="left"/>
      </w:pP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दर्शनले</w:t>
      </w:r>
      <w:r>
        <w:rPr>
          <w:rFonts w:ascii="Times New Roman" w:hAnsi="Times New Roman" w:eastAsia="Times New Roman" w:cs="Times New Roman"/>
        </w:rPr>
        <w:t xml:space="preserve"> </w:t>
      </w:r>
      <w:r>
        <w:rPr>
          <w:rFonts w:ascii="Nirmala UI" w:hAnsi="Nirmala UI" w:eastAsia="Nirmala UI" w:cs="Nirmala UI"/>
        </w:rPr>
        <w:t>यशैयालाई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अवस्थाको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पवित्रस्थानमा</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बढिरहेको</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विश्वासद्वारा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विशेषाधिकार</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स्वर्गमा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खोलियो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स्थानभित्र</w:t>
      </w:r>
      <w:r>
        <w:rPr>
          <w:rFonts w:ascii="Times New Roman" w:hAnsi="Times New Roman" w:eastAsia="Times New Roman" w:cs="Times New Roman"/>
        </w:rPr>
        <w:t xml:space="preserve"> </w:t>
      </w:r>
      <w:r>
        <w:rPr>
          <w:rFonts w:ascii="Nirmala UI" w:hAnsi="Nirmala UI" w:eastAsia="Nirmala UI" w:cs="Nirmala UI"/>
        </w:rPr>
        <w:t>विश्वासद्वारा</w:t>
      </w:r>
      <w:r>
        <w:rPr>
          <w:rFonts w:ascii="Times New Roman" w:hAnsi="Times New Roman" w:eastAsia="Times New Roman" w:cs="Times New Roman"/>
        </w:rPr>
        <w:t xml:space="preserve"> </w:t>
      </w:r>
      <w:r>
        <w:rPr>
          <w:rFonts w:ascii="Nirmala UI" w:hAnsi="Nirmala UI" w:eastAsia="Nirmala UI" w:cs="Nirmala UI"/>
        </w:rPr>
        <w:t>हेर्छन्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देख्छन्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बुझ्छन्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ओठ</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ओठहरूले</w:t>
      </w:r>
      <w:r>
        <w:rPr>
          <w:rFonts w:ascii="Times New Roman" w:hAnsi="Times New Roman" w:eastAsia="Times New Roman" w:cs="Times New Roman"/>
        </w:rPr>
        <w:t xml:space="preserve"> </w:t>
      </w:r>
      <w:r>
        <w:rPr>
          <w:rFonts w:ascii="Nirmala UI" w:hAnsi="Nirmala UI" w:eastAsia="Nirmala UI" w:cs="Nirmala UI"/>
        </w:rPr>
        <w:t>धेरैपटक</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प्रतिभाहरू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तुल्याइएका</w:t>
      </w:r>
      <w:r>
        <w:rPr>
          <w:rFonts w:ascii="Times New Roman" w:hAnsi="Times New Roman" w:eastAsia="Times New Roman" w:cs="Times New Roman"/>
        </w:rPr>
        <w:t xml:space="preserve"> </w:t>
      </w:r>
      <w:r>
        <w:rPr>
          <w:rFonts w:ascii="Nirmala UI" w:hAnsi="Nirmala UI" w:eastAsia="Nirmala UI" w:cs="Nirmala UI"/>
        </w:rPr>
        <w:t>छैनन्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दुर्बलता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अयोग्यतालाई</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चरित्रको</w:t>
      </w:r>
      <w:r>
        <w:rPr>
          <w:rFonts w:ascii="Times New Roman" w:hAnsi="Times New Roman" w:eastAsia="Times New Roman" w:cs="Times New Roman"/>
        </w:rPr>
        <w:t xml:space="preserve"> </w:t>
      </w:r>
      <w:r>
        <w:rPr>
          <w:rFonts w:ascii="Nirmala UI" w:hAnsi="Nirmala UI" w:eastAsia="Nirmala UI" w:cs="Nirmala UI"/>
        </w:rPr>
        <w:t>पवित्रता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मनोहरतासँग</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स्वाभाविकै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हृदयमा</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चाहनुभएको</w:t>
      </w:r>
      <w:r>
        <w:rPr>
          <w:rFonts w:ascii="Times New Roman" w:hAnsi="Times New Roman" w:eastAsia="Times New Roman" w:cs="Times New Roman"/>
        </w:rPr>
        <w:t xml:space="preserve"> </w:t>
      </w:r>
      <w:r>
        <w:rPr>
          <w:rFonts w:ascii="Nirmala UI" w:hAnsi="Nirmala UI" w:eastAsia="Nirmala UI" w:cs="Nirmala UI"/>
        </w:rPr>
        <w:t>प्रभावलाई</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प्राणलाई</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तुल्याउनेछन्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प्रतिज्ञाको</w:t>
      </w:r>
      <w:r>
        <w:rPr>
          <w:rFonts w:ascii="Times New Roman" w:hAnsi="Times New Roman" w:eastAsia="Times New Roman" w:cs="Times New Roman"/>
        </w:rPr>
        <w:t xml:space="preserve"> </w:t>
      </w:r>
      <w:r>
        <w:rPr>
          <w:rFonts w:ascii="Nirmala UI" w:hAnsi="Nirmala UI" w:eastAsia="Nirmala UI" w:cs="Nirmala UI"/>
        </w:rPr>
        <w:t>धनुष</w:t>
      </w:r>
      <w:r>
        <w:rPr>
          <w:rFonts w:ascii="Times New Roman" w:hAnsi="Times New Roman" w:eastAsia="Times New Roman" w:cs="Times New Roman"/>
        </w:rPr>
        <w:t xml:space="preserve"> </w:t>
      </w:r>
      <w:r>
        <w:rPr>
          <w:rFonts w:ascii="Nirmala UI" w:hAnsi="Nirmala UI" w:eastAsia="Nirmala UI" w:cs="Nirmala UI"/>
        </w:rPr>
        <w:t>सिंहासनमाथि</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यशैयाको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तिनीहरूभित्र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खेदित</w:t>
      </w:r>
      <w:r>
        <w:rPr>
          <w:rFonts w:ascii="Times New Roman" w:hAnsi="Times New Roman" w:eastAsia="Times New Roman" w:cs="Times New Roman"/>
        </w:rPr>
        <w:t xml:space="preserve"> </w:t>
      </w:r>
      <w:r>
        <w:rPr>
          <w:rFonts w:ascii="Nirmala UI" w:hAnsi="Nirmala UI" w:eastAsia="Nirmala UI" w:cs="Nirmala UI"/>
        </w:rPr>
        <w:t>हृदयबाट</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विन्तीहरूको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दिनुहुनेछ।</w:t>
      </w:r>
    </w:p>
    <w:p>
      <w:pPr>
        <w:pStyle w:val="ArticleScripture"/>
        <w:jc w:val="left"/>
      </w:pPr>
      <w:r>
        <w:rPr>
          <w:rFonts w:ascii="Times New Roman" w:hAnsi="Times New Roman" w:eastAsia="Times New Roman" w:cs="Times New Roman"/>
        </w:rPr>
        <w:t>“L’objectiu d’aquesta gran i solemne obra de Déu és aplegar les garbes per al graner celestial; perquè la terra ha de ser omplerta de la glòria del Senyor. Per tant, que ningú no es descoratgi en veure la maldat que preval i en sentir el llenguatge que surt de llavis impurs. Quan les potències de les tenebres es disposin en ordre de batalla contra el poble de Déu; quan Satanàs reuneixi les seves forces per al darrer gran conflicte, i el seu poder sembli gran i gairebé aclaparador, la visió clara de la glòria divina, del tron alt i elevat, envoltat per l’arc de la promesa, donarà consol, seguretat i pau.” Review and Herald, 22 de desembre de 1896.</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치발</w:t>
      </w:r>
      <w:r>
        <w:rPr>
          <w:rFonts w:ascii="Times New Roman" w:hAnsi="Times New Roman" w:eastAsia="Times New Roman" w:cs="Times New Roman"/>
        </w:rPr>
        <w:t xml:space="preserve"> </w:t>
      </w:r>
      <w:r>
        <w:rPr>
          <w:rFonts w:ascii="Malgun Gothic" w:hAnsi="Malgun Gothic" w:eastAsia="Malgun Gothic" w:cs="Malgun Gothic"/>
        </w:rPr>
        <w:t>강</w:t>
      </w:r>
      <w:r>
        <w:rPr>
          <w:rFonts w:ascii="Times New Roman" w:hAnsi="Times New Roman" w:eastAsia="Times New Roman" w:cs="Times New Roman"/>
        </w:rPr>
        <w:t xml:space="preserve"> </w:t>
      </w:r>
      <w:r>
        <w:rPr>
          <w:rFonts w:ascii="Malgun Gothic" w:hAnsi="Malgun Gothic" w:eastAsia="Malgun Gothic" w:cs="Malgun Gothic"/>
        </w:rPr>
        <w:t>가에서</w:t>
      </w:r>
      <w:r>
        <w:rPr>
          <w:rFonts w:ascii="Times New Roman" w:hAnsi="Times New Roman" w:eastAsia="Times New Roman" w:cs="Times New Roman"/>
        </w:rPr>
        <w:t xml:space="preserve"> </w:t>
      </w:r>
      <w:r>
        <w:rPr>
          <w:rFonts w:ascii="Malgun Gothic" w:hAnsi="Malgun Gothic" w:eastAsia="Malgun Gothic" w:cs="Malgun Gothic"/>
        </w:rPr>
        <w:t>에스겔은</w:t>
      </w:r>
      <w:r>
        <w:rPr>
          <w:rFonts w:ascii="Times New Roman" w:hAnsi="Times New Roman" w:eastAsia="Times New Roman" w:cs="Times New Roman"/>
        </w:rPr>
        <w:t xml:space="preserve"> </w:t>
      </w:r>
      <w:r>
        <w:rPr>
          <w:rFonts w:ascii="Malgun Gothic" w:hAnsi="Malgun Gothic" w:eastAsia="Malgun Gothic" w:cs="Malgun Gothic"/>
        </w:rPr>
        <w:t>북쪽에서</w:t>
      </w:r>
      <w:r>
        <w:rPr>
          <w:rFonts w:ascii="Times New Roman" w:hAnsi="Times New Roman" w:eastAsia="Times New Roman" w:cs="Times New Roman"/>
        </w:rPr>
        <w:t xml:space="preserve"> </w:t>
      </w:r>
      <w:r>
        <w:rPr>
          <w:rFonts w:ascii="Malgun Gothic" w:hAnsi="Malgun Gothic" w:eastAsia="Malgun Gothic" w:cs="Malgun Gothic"/>
        </w:rPr>
        <w:t>오는</w:t>
      </w:r>
      <w:r>
        <w:rPr>
          <w:rFonts w:ascii="Times New Roman" w:hAnsi="Times New Roman" w:eastAsia="Times New Roman" w:cs="Times New Roman"/>
        </w:rPr>
        <w:t xml:space="preserve"> </w:t>
      </w:r>
      <w:r>
        <w:rPr>
          <w:rFonts w:ascii="Malgun Gothic" w:hAnsi="Malgun Gothic" w:eastAsia="Malgun Gothic" w:cs="Malgun Gothic"/>
        </w:rPr>
        <w:t>듯한</w:t>
      </w:r>
      <w:r>
        <w:rPr>
          <w:rFonts w:ascii="Times New Roman" w:hAnsi="Times New Roman" w:eastAsia="Times New Roman" w:cs="Times New Roman"/>
        </w:rPr>
        <w:t xml:space="preserve"> </w:t>
      </w:r>
      <w:r>
        <w:rPr>
          <w:rFonts w:ascii="Malgun Gothic" w:hAnsi="Malgun Gothic" w:eastAsia="Malgun Gothic" w:cs="Malgun Gothic"/>
        </w:rPr>
        <w:t>회오리바람을</w:t>
      </w:r>
      <w:r>
        <w:rPr>
          <w:rFonts w:ascii="Times New Roman" w:hAnsi="Times New Roman" w:eastAsia="Times New Roman" w:cs="Times New Roman"/>
        </w:rPr>
        <w:t xml:space="preserve"> </w:t>
      </w:r>
      <w:r>
        <w:rPr>
          <w:rFonts w:ascii="Malgun Gothic" w:hAnsi="Malgun Gothic" w:eastAsia="Malgun Gothic" w:cs="Malgun Gothic"/>
        </w:rPr>
        <w:t>보았는데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구름과</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감기는</w:t>
      </w:r>
      <w:r>
        <w:rPr>
          <w:rFonts w:ascii="Times New Roman" w:hAnsi="Times New Roman" w:eastAsia="Times New Roman" w:cs="Times New Roman"/>
        </w:rPr>
        <w:t xml:space="preserve"> </w:t>
      </w:r>
      <w:r>
        <w:rPr>
          <w:rFonts w:ascii="Malgun Gothic" w:hAnsi="Malgun Gothic" w:eastAsia="Malgun Gothic" w:cs="Malgun Gothic"/>
        </w:rPr>
        <w:t>불이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사면에는</w:t>
      </w:r>
      <w:r>
        <w:rPr>
          <w:rFonts w:ascii="Times New Roman" w:hAnsi="Times New Roman" w:eastAsia="Times New Roman" w:cs="Times New Roman"/>
        </w:rPr>
        <w:t xml:space="preserve"> </w:t>
      </w:r>
      <w:r>
        <w:rPr>
          <w:rFonts w:ascii="Malgun Gothic" w:hAnsi="Malgun Gothic" w:eastAsia="Malgun Gothic" w:cs="Malgun Gothic"/>
        </w:rPr>
        <w:t>광채가</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가운데에서는</w:t>
      </w:r>
      <w:r>
        <w:rPr>
          <w:rFonts w:ascii="Times New Roman" w:hAnsi="Times New Roman" w:eastAsia="Times New Roman" w:cs="Times New Roman"/>
        </w:rPr>
        <w:t xml:space="preserve"> </w:t>
      </w:r>
      <w:r>
        <w:rPr>
          <w:rFonts w:ascii="Malgun Gothic" w:hAnsi="Malgun Gothic" w:eastAsia="Malgun Gothic" w:cs="Malgun Gothic"/>
        </w:rPr>
        <w:t>호박</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교차하는</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바퀴가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생물에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움직이고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위</w:t>
      </w:r>
      <w:r>
        <w:rPr>
          <w:rFonts w:ascii="Times New Roman" w:hAnsi="Times New Roman" w:eastAsia="Times New Roman" w:cs="Times New Roman"/>
        </w:rPr>
        <w:t xml:space="preserve"> </w:t>
      </w:r>
      <w:r>
        <w:rPr>
          <w:rFonts w:ascii="Malgun Gothic" w:hAnsi="Malgun Gothic" w:eastAsia="Malgun Gothic" w:cs="Malgun Gothic"/>
        </w:rPr>
        <w:t>높이에는</w:t>
      </w:r>
      <w:r>
        <w:rPr>
          <w:rFonts w:ascii="Times New Roman" w:hAnsi="Times New Roman" w:eastAsia="Times New Roman" w:cs="Times New Roman"/>
        </w:rPr>
        <w:t xml:space="preserve"> “‘</w:t>
      </w:r>
      <w:r>
        <w:rPr>
          <w:rFonts w:ascii="Malgun Gothic" w:hAnsi="Malgun Gothic" w:eastAsia="Malgun Gothic" w:cs="Malgun Gothic"/>
        </w:rPr>
        <w:t>보좌의</w:t>
      </w:r>
      <w:r>
        <w:rPr>
          <w:rFonts w:ascii="Times New Roman" w:hAnsi="Times New Roman" w:eastAsia="Times New Roman" w:cs="Times New Roman"/>
        </w:rPr>
        <w:t xml:space="preserve"> </w:t>
      </w:r>
      <w:r>
        <w:rPr>
          <w:rFonts w:ascii="Malgun Gothic" w:hAnsi="Malgun Gothic" w:eastAsia="Malgun Gothic" w:cs="Malgun Gothic"/>
        </w:rPr>
        <w:t>형상이</w:t>
      </w:r>
      <w:r>
        <w:rPr>
          <w:rFonts w:ascii="Times New Roman" w:hAnsi="Times New Roman" w:eastAsia="Times New Roman" w:cs="Times New Roman"/>
        </w:rPr>
        <w:t xml:space="preserve"> </w:t>
      </w:r>
      <w:r>
        <w:rPr>
          <w:rFonts w:ascii="Malgun Gothic" w:hAnsi="Malgun Gothic" w:eastAsia="Malgun Gothic" w:cs="Malgun Gothic"/>
        </w:rPr>
        <w:t>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모양이</w:t>
      </w:r>
      <w:r>
        <w:rPr>
          <w:rFonts w:ascii="Times New Roman" w:hAnsi="Times New Roman" w:eastAsia="Times New Roman" w:cs="Times New Roman"/>
        </w:rPr>
        <w:t xml:space="preserve"> </w:t>
      </w:r>
      <w:r>
        <w:rPr>
          <w:rFonts w:ascii="Malgun Gothic" w:hAnsi="Malgun Gothic" w:eastAsia="Malgun Gothic" w:cs="Malgun Gothic"/>
        </w:rPr>
        <w:t>남보석</w:t>
      </w:r>
      <w:r>
        <w:rPr>
          <w:rFonts w:ascii="Times New Roman" w:hAnsi="Times New Roman" w:eastAsia="Times New Roman" w:cs="Times New Roman"/>
        </w:rPr>
        <w:t xml:space="preserve"> </w:t>
      </w:r>
      <w:r>
        <w:rPr>
          <w:rFonts w:ascii="Malgun Gothic" w:hAnsi="Malgun Gothic" w:eastAsia="Malgun Gothic" w:cs="Malgun Gothic"/>
        </w:rPr>
        <w:t>같고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보좌</w:t>
      </w:r>
      <w:r>
        <w:rPr>
          <w:rFonts w:ascii="Times New Roman" w:hAnsi="Times New Roman" w:eastAsia="Times New Roman" w:cs="Times New Roman"/>
        </w:rPr>
        <w:t xml:space="preserve"> </w:t>
      </w:r>
      <w:r>
        <w:rPr>
          <w:rFonts w:ascii="Malgun Gothic" w:hAnsi="Malgun Gothic" w:eastAsia="Malgun Gothic" w:cs="Malgun Gothic"/>
        </w:rPr>
        <w:t>형상</w:t>
      </w:r>
      <w:r>
        <w:rPr>
          <w:rFonts w:ascii="Times New Roman" w:hAnsi="Times New Roman" w:eastAsia="Times New Roman" w:cs="Times New Roman"/>
        </w:rPr>
        <w:t xml:space="preserve"> </w:t>
      </w:r>
      <w:r>
        <w:rPr>
          <w:rFonts w:ascii="Malgun Gothic" w:hAnsi="Malgun Gothic" w:eastAsia="Malgun Gothic" w:cs="Malgun Gothic"/>
        </w:rPr>
        <w:t>위에는</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모양</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형상이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그룹들</w:t>
      </w:r>
      <w:r>
        <w:rPr>
          <w:rFonts w:ascii="Times New Roman" w:hAnsi="Times New Roman" w:eastAsia="Times New Roman" w:cs="Times New Roman"/>
        </w:rPr>
        <w:t xml:space="preserve"> </w:t>
      </w:r>
      <w:r>
        <w:rPr>
          <w:rFonts w:ascii="Malgun Gothic" w:hAnsi="Malgun Gothic" w:eastAsia="Malgun Gothic" w:cs="Malgun Gothic"/>
        </w:rPr>
        <w:t>가운데에는</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손</w:t>
      </w:r>
      <w:r>
        <w:rPr>
          <w:rFonts w:ascii="Times New Roman" w:hAnsi="Times New Roman" w:eastAsia="Times New Roman" w:cs="Times New Roman"/>
        </w:rPr>
        <w:t xml:space="preserve"> </w:t>
      </w:r>
      <w:r>
        <w:rPr>
          <w:rFonts w:ascii="Malgun Gothic" w:hAnsi="Malgun Gothic" w:eastAsia="Malgun Gothic" w:cs="Malgun Gothic"/>
        </w:rPr>
        <w:t>형상이</w:t>
      </w:r>
      <w:r>
        <w:rPr>
          <w:rFonts w:ascii="Times New Roman" w:hAnsi="Times New Roman" w:eastAsia="Times New Roman" w:cs="Times New Roman"/>
        </w:rPr>
        <w:t xml:space="preserve"> </w:t>
      </w:r>
      <w:r>
        <w:rPr>
          <w:rFonts w:ascii="Malgun Gothic" w:hAnsi="Malgun Gothic" w:eastAsia="Malgun Gothic" w:cs="Malgun Gothic"/>
        </w:rPr>
        <w:t>날개</w:t>
      </w:r>
      <w:r>
        <w:rPr>
          <w:rFonts w:ascii="Times New Roman" w:hAnsi="Times New Roman" w:eastAsia="Times New Roman" w:cs="Times New Roman"/>
        </w:rPr>
        <w:t xml:space="preserve"> </w:t>
      </w:r>
      <w:r>
        <w:rPr>
          <w:rFonts w:ascii="Malgun Gothic" w:hAnsi="Malgun Gothic" w:eastAsia="Malgun Gothic" w:cs="Malgun Gothic"/>
        </w:rPr>
        <w:t>아래에</w:t>
      </w:r>
      <w:r>
        <w:rPr>
          <w:rFonts w:ascii="Times New Roman" w:hAnsi="Times New Roman" w:eastAsia="Times New Roman" w:cs="Times New Roman"/>
        </w:rPr>
        <w:t xml:space="preserve">’ </w:t>
      </w:r>
      <w:r>
        <w:rPr>
          <w:rFonts w:ascii="Malgun Gothic" w:hAnsi="Malgun Gothic" w:eastAsia="Malgun Gothic" w:cs="Malgun Gothic"/>
        </w:rPr>
        <w:t>나타났다</w:t>
      </w:r>
      <w:r>
        <w:rPr>
          <w:rFonts w:ascii="Times New Roman" w:hAnsi="Times New Roman" w:eastAsia="Times New Roman" w:cs="Times New Roman"/>
        </w:rPr>
        <w:t xml:space="preserve">.” </w:t>
      </w:r>
      <w:r>
        <w:rPr>
          <w:rFonts w:ascii="Malgun Gothic" w:hAnsi="Malgun Gothic" w:eastAsia="Malgun Gothic" w:cs="Malgun Gothic"/>
        </w:rPr>
        <w:t>에스겔</w:t>
      </w:r>
      <w:r>
        <w:rPr>
          <w:rFonts w:ascii="Times New Roman" w:hAnsi="Times New Roman" w:eastAsia="Times New Roman" w:cs="Times New Roman"/>
        </w:rPr>
        <w:t xml:space="preserve"> 1:4, 26; 10:8.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바퀴들의</w:t>
      </w:r>
      <w:r>
        <w:rPr>
          <w:rFonts w:ascii="Times New Roman" w:hAnsi="Times New Roman" w:eastAsia="Times New Roman" w:cs="Times New Roman"/>
        </w:rPr>
        <w:t xml:space="preserve"> </w:t>
      </w:r>
      <w:r>
        <w:rPr>
          <w:rFonts w:ascii="Malgun Gothic" w:hAnsi="Malgun Gothic" w:eastAsia="Malgun Gothic" w:cs="Malgun Gothic"/>
        </w:rPr>
        <w:t>구조는</w:t>
      </w:r>
      <w:r>
        <w:rPr>
          <w:rFonts w:ascii="Times New Roman" w:hAnsi="Times New Roman" w:eastAsia="Times New Roman" w:cs="Times New Roman"/>
        </w:rPr>
        <w:t xml:space="preserve"> </w:t>
      </w:r>
      <w:r>
        <w:rPr>
          <w:rFonts w:ascii="Malgun Gothic" w:hAnsi="Malgun Gothic" w:eastAsia="Malgun Gothic" w:cs="Malgun Gothic"/>
        </w:rPr>
        <w:t>너무도</w:t>
      </w:r>
      <w:r>
        <w:rPr>
          <w:rFonts w:ascii="Times New Roman" w:hAnsi="Times New Roman" w:eastAsia="Times New Roman" w:cs="Times New Roman"/>
        </w:rPr>
        <w:t xml:space="preserve"> </w:t>
      </w:r>
      <w:r>
        <w:rPr>
          <w:rFonts w:ascii="Malgun Gothic" w:hAnsi="Malgun Gothic" w:eastAsia="Malgun Gothic" w:cs="Malgun Gothic"/>
        </w:rPr>
        <w:t>복잡하여</w:t>
      </w:r>
      <w:r>
        <w:rPr>
          <w:rFonts w:ascii="Times New Roman" w:hAnsi="Times New Roman" w:eastAsia="Times New Roman" w:cs="Times New Roman"/>
        </w:rPr>
        <w:t xml:space="preserve"> </w:t>
      </w:r>
      <w:r>
        <w:rPr>
          <w:rFonts w:ascii="Malgun Gothic" w:hAnsi="Malgun Gothic" w:eastAsia="Malgun Gothic" w:cs="Malgun Gothic"/>
        </w:rPr>
        <w:t>언뜻</w:t>
      </w:r>
      <w:r>
        <w:rPr>
          <w:rFonts w:ascii="Times New Roman" w:hAnsi="Times New Roman" w:eastAsia="Times New Roman" w:cs="Times New Roman"/>
        </w:rPr>
        <w:t xml:space="preserve"> </w:t>
      </w:r>
      <w:r>
        <w:rPr>
          <w:rFonts w:ascii="Malgun Gothic" w:hAnsi="Malgun Gothic" w:eastAsia="Malgun Gothic" w:cs="Malgun Gothic"/>
        </w:rPr>
        <w:t>보기에는</w:t>
      </w:r>
      <w:r>
        <w:rPr>
          <w:rFonts w:ascii="Times New Roman" w:hAnsi="Times New Roman" w:eastAsia="Times New Roman" w:cs="Times New Roman"/>
        </w:rPr>
        <w:t xml:space="preserve"> </w:t>
      </w:r>
      <w:r>
        <w:rPr>
          <w:rFonts w:ascii="Malgun Gothic" w:hAnsi="Malgun Gothic" w:eastAsia="Malgun Gothic" w:cs="Malgun Gothic"/>
        </w:rPr>
        <w:t>혼란스러워</w:t>
      </w:r>
      <w:r>
        <w:rPr>
          <w:rFonts w:ascii="Times New Roman" w:hAnsi="Times New Roman" w:eastAsia="Times New Roman" w:cs="Times New Roman"/>
        </w:rPr>
        <w:t xml:space="preserve"> </w:t>
      </w:r>
      <w:r>
        <w:rPr>
          <w:rFonts w:ascii="Malgun Gothic" w:hAnsi="Malgun Gothic" w:eastAsia="Malgun Gothic" w:cs="Malgun Gothic"/>
        </w:rPr>
        <w:t>보였으나</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조화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움직였다</w:t>
      </w:r>
      <w:r>
        <w:rPr>
          <w:rFonts w:ascii="Times New Roman" w:hAnsi="Times New Roman" w:eastAsia="Times New Roman" w:cs="Times New Roman"/>
        </w:rPr>
        <w:t xml:space="preserve">. </w:t>
      </w:r>
      <w:r>
        <w:rPr>
          <w:rFonts w:ascii="Malgun Gothic" w:hAnsi="Malgun Gothic" w:eastAsia="Malgun Gothic" w:cs="Malgun Gothic"/>
        </w:rPr>
        <w:t>그룹들의</w:t>
      </w:r>
      <w:r>
        <w:rPr>
          <w:rFonts w:ascii="Times New Roman" w:hAnsi="Times New Roman" w:eastAsia="Times New Roman" w:cs="Times New Roman"/>
        </w:rPr>
        <w:t xml:space="preserve"> </w:t>
      </w:r>
      <w:r>
        <w:rPr>
          <w:rFonts w:ascii="Malgun Gothic" w:hAnsi="Malgun Gothic" w:eastAsia="Malgun Gothic" w:cs="Malgun Gothic"/>
        </w:rPr>
        <w:t>날개</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붙들리고</w:t>
      </w:r>
      <w:r>
        <w:rPr>
          <w:rFonts w:ascii="Times New Roman" w:hAnsi="Times New Roman" w:eastAsia="Times New Roman" w:cs="Times New Roman"/>
        </w:rPr>
        <w:t xml:space="preserve"> </w:t>
      </w:r>
      <w:r>
        <w:rPr>
          <w:rFonts w:ascii="Malgun Gothic" w:hAnsi="Malgun Gothic" w:eastAsia="Malgun Gothic" w:cs="Malgun Gothic"/>
        </w:rPr>
        <w:t>인도되는</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존재들이</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바퀴들을</w:t>
      </w:r>
      <w:r>
        <w:rPr>
          <w:rFonts w:ascii="Times New Roman" w:hAnsi="Times New Roman" w:eastAsia="Times New Roman" w:cs="Times New Roman"/>
        </w:rPr>
        <w:t xml:space="preserve"> </w:t>
      </w:r>
      <w:r>
        <w:rPr>
          <w:rFonts w:ascii="Malgun Gothic" w:hAnsi="Malgun Gothic" w:eastAsia="Malgun Gothic" w:cs="Malgun Gothic"/>
        </w:rPr>
        <w:t>움직이고</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위</w:t>
      </w:r>
      <w:r>
        <w:rPr>
          <w:rFonts w:ascii="Times New Roman" w:hAnsi="Times New Roman" w:eastAsia="Times New Roman" w:cs="Times New Roman"/>
        </w:rPr>
        <w:t xml:space="preserve"> </w:t>
      </w:r>
      <w:r>
        <w:rPr>
          <w:rFonts w:ascii="Malgun Gothic" w:hAnsi="Malgun Gothic" w:eastAsia="Malgun Gothic" w:cs="Malgun Gothic"/>
        </w:rPr>
        <w:t>남보석</w:t>
      </w:r>
      <w:r>
        <w:rPr>
          <w:rFonts w:ascii="Times New Roman" w:hAnsi="Times New Roman" w:eastAsia="Times New Roman" w:cs="Times New Roman"/>
        </w:rPr>
        <w:t xml:space="preserve"> </w:t>
      </w:r>
      <w:r>
        <w:rPr>
          <w:rFonts w:ascii="Malgun Gothic" w:hAnsi="Malgun Gothic" w:eastAsia="Malgun Gothic" w:cs="Malgun Gothic"/>
        </w:rPr>
        <w:t>보좌</w:t>
      </w:r>
      <w:r>
        <w:rPr>
          <w:rFonts w:ascii="Times New Roman" w:hAnsi="Times New Roman" w:eastAsia="Times New Roman" w:cs="Times New Roman"/>
        </w:rPr>
        <w:t xml:space="preserve"> </w:t>
      </w:r>
      <w:r>
        <w:rPr>
          <w:rFonts w:ascii="Malgun Gothic" w:hAnsi="Malgun Gothic" w:eastAsia="Malgun Gothic" w:cs="Malgun Gothic"/>
        </w:rPr>
        <w:t>위에는</w:t>
      </w:r>
      <w:r>
        <w:rPr>
          <w:rFonts w:ascii="Times New Roman" w:hAnsi="Times New Roman" w:eastAsia="Times New Roman" w:cs="Times New Roman"/>
        </w:rPr>
        <w:t xml:space="preserve"> </w:t>
      </w:r>
      <w:r>
        <w:rPr>
          <w:rFonts w:ascii="Malgun Gothic" w:hAnsi="Malgun Gothic" w:eastAsia="Malgun Gothic" w:cs="Malgun Gothic"/>
        </w:rPr>
        <w:t>영원하신</w:t>
      </w:r>
      <w:r>
        <w:rPr>
          <w:rFonts w:ascii="Times New Roman" w:hAnsi="Times New Roman" w:eastAsia="Times New Roman" w:cs="Times New Roman"/>
        </w:rPr>
        <w:t xml:space="preserve"> </w:t>
      </w:r>
      <w:r>
        <w:rPr>
          <w:rFonts w:ascii="Malgun Gothic" w:hAnsi="Malgun Gothic" w:eastAsia="Malgun Gothic" w:cs="Malgun Gothic"/>
        </w:rPr>
        <w:t>이가</w:t>
      </w:r>
      <w:r>
        <w:rPr>
          <w:rFonts w:ascii="Times New Roman" w:hAnsi="Times New Roman" w:eastAsia="Times New Roman" w:cs="Times New Roman"/>
        </w:rPr>
        <w:t xml:space="preserve"> </w:t>
      </w:r>
      <w:r>
        <w:rPr>
          <w:rFonts w:ascii="Malgun Gothic" w:hAnsi="Malgun Gothic" w:eastAsia="Malgun Gothic" w:cs="Malgun Gothic"/>
        </w:rPr>
        <w:t>계셨고</w:t>
      </w:r>
      <w:r>
        <w:rPr>
          <w:rFonts w:ascii="Times New Roman" w:hAnsi="Times New Roman" w:eastAsia="Times New Roman" w:cs="Times New Roman"/>
        </w:rPr>
        <w:t xml:space="preserve">, </w:t>
      </w:r>
      <w:r>
        <w:rPr>
          <w:rFonts w:ascii="Malgun Gothic" w:hAnsi="Malgun Gothic" w:eastAsia="Malgun Gothic" w:cs="Malgun Gothic"/>
        </w:rPr>
        <w:t>보좌</w:t>
      </w:r>
      <w:r>
        <w:rPr>
          <w:rFonts w:ascii="Times New Roman" w:hAnsi="Times New Roman" w:eastAsia="Times New Roman" w:cs="Times New Roman"/>
        </w:rPr>
        <w:t xml:space="preserve"> </w:t>
      </w:r>
      <w:r>
        <w:rPr>
          <w:rFonts w:ascii="Malgun Gothic" w:hAnsi="Malgun Gothic" w:eastAsia="Malgun Gothic" w:cs="Malgun Gothic"/>
        </w:rPr>
        <w:t>둘레에는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자비의</w:t>
      </w:r>
      <w:r>
        <w:rPr>
          <w:rFonts w:ascii="Times New Roman" w:hAnsi="Times New Roman" w:eastAsia="Times New Roman" w:cs="Times New Roman"/>
        </w:rPr>
        <w:t xml:space="preserve"> </w:t>
      </w:r>
      <w:r>
        <w:rPr>
          <w:rFonts w:ascii="Malgun Gothic" w:hAnsi="Malgun Gothic" w:eastAsia="Malgun Gothic" w:cs="Malgun Gothic"/>
        </w:rPr>
        <w:t>상징인</w:t>
      </w:r>
      <w:r>
        <w:rPr>
          <w:rFonts w:ascii="Times New Roman" w:hAnsi="Times New Roman" w:eastAsia="Times New Roman" w:cs="Times New Roman"/>
        </w:rPr>
        <w:t xml:space="preserve"> </w:t>
      </w:r>
      <w:r>
        <w:rPr>
          <w:rFonts w:ascii="Malgun Gothic" w:hAnsi="Malgun Gothic" w:eastAsia="Malgun Gothic" w:cs="Malgun Gothic"/>
        </w:rPr>
        <w:t>무지개가</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“Comme les complications semblables à des roues étaient sous la conduite de la main qui se trouvait sous les ailes des chérubins, ainsi le jeu compliqué des événements humains est sous le contrôle divin. Au milieu de la lutte et du tumulte des nations, Celui qui siège au-dessus des chérubins dirige encore les affaires de la terre.”</w:t>
      </w:r>
    </w:p>
    <w:p>
      <w:pPr>
        <w:pStyle w:val="ArticleScripture"/>
        <w:jc w:val="left"/>
      </w:pPr>
      <w:r>
        <w:rPr>
          <w:rFonts w:ascii="Times New Roman" w:hAnsi="Times New Roman" w:eastAsia="Times New Roman" w:cs="Times New Roman"/>
        </w:rPr>
        <w:t>«Histoire des nations qui, l’une après l’autre, ont occupé le temps et la place qui leur étaient assignés, rendant sans le savoir témoignage à la vérité dont elles ne comprenaient pas elles-mêmes le sens, nous parle. À chaque nation et à chaque individu d’aujourd’hui, Dieu a assigné une place dans son grand dessein. Aujourd’hui, les hommes et les nations sont mesurés au fil à plomb dans la main de Celui qui ne se trompe jamais. Tous décident, par leur propre choix, de leur destinée, et Dieu dirige souverainement toutes choses pour l’accomplissement de ses desseins.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ប្រវត្តិសាស្ត្រ</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ព្រះអង្គដ៏ធំ</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ខ្ញុំជាអ្នកមាន</w:t>
      </w:r>
      <w:r>
        <w:rPr>
          <w:rFonts w:ascii="Times New Roman" w:hAnsi="Times New Roman" w:eastAsia="Times New Roman" w:cs="Times New Roman"/>
        </w:rPr>
        <w:t xml:space="preserve">” </w:t>
      </w:r>
      <w:r>
        <w:rPr>
          <w:rFonts w:ascii="Leelawadee UI" w:hAnsi="Leelawadee UI" w:eastAsia="Leelawadee UI" w:cs="Leelawadee UI"/>
        </w:rPr>
        <w:t>បានកំណត់ទុកក្នុងព្រះបន្ទូលរបស់ទ្រង់</w:t>
      </w:r>
      <w:r>
        <w:rPr>
          <w:rFonts w:ascii="Times New Roman" w:hAnsi="Times New Roman" w:eastAsia="Times New Roman" w:cs="Times New Roman"/>
        </w:rPr>
        <w:t xml:space="preserve"> </w:t>
      </w:r>
      <w:r>
        <w:rPr>
          <w:rFonts w:ascii="Leelawadee UI" w:hAnsi="Leelawadee UI" w:eastAsia="Leelawadee UI" w:cs="Leelawadee UI"/>
        </w:rPr>
        <w:t>ដោយភ្ជាប់តំណមួយបន្ទាប់ពីតំណមួយក្នុងខ្សែសង្វាក់នៃការព្យាករណ៍</w:t>
      </w:r>
      <w:r>
        <w:rPr>
          <w:rFonts w:ascii="Times New Roman" w:hAnsi="Times New Roman" w:eastAsia="Times New Roman" w:cs="Times New Roman"/>
        </w:rPr>
        <w:t xml:space="preserve"> </w:t>
      </w:r>
      <w:r>
        <w:rPr>
          <w:rFonts w:ascii="Leelawadee UI" w:hAnsi="Leelawadee UI" w:eastAsia="Leelawadee UI" w:cs="Leelawadee UI"/>
        </w:rPr>
        <w:t>ចាប់ពីអស់កល្បជានិច្ចក្នុងអតីតកាល</w:t>
      </w:r>
      <w:r>
        <w:rPr>
          <w:rFonts w:ascii="Times New Roman" w:hAnsi="Times New Roman" w:eastAsia="Times New Roman" w:cs="Times New Roman"/>
        </w:rPr>
        <w:t xml:space="preserve"> </w:t>
      </w:r>
      <w:r>
        <w:rPr>
          <w:rFonts w:ascii="Leelawadee UI" w:hAnsi="Leelawadee UI" w:eastAsia="Leelawadee UI" w:cs="Leelawadee UI"/>
        </w:rPr>
        <w:t>ដល់អស់កល្បជានិច្ចក្នុងអនាគត</w:t>
      </w:r>
      <w:r>
        <w:rPr>
          <w:rFonts w:ascii="Times New Roman" w:hAnsi="Times New Roman" w:eastAsia="Times New Roman" w:cs="Times New Roman"/>
        </w:rPr>
        <w:t xml:space="preserve"> </w:t>
      </w:r>
      <w:r>
        <w:rPr>
          <w:rFonts w:ascii="Leelawadee UI" w:hAnsi="Leelawadee UI" w:eastAsia="Leelawadee UI" w:cs="Leelawadee UI"/>
        </w:rPr>
        <w:t>ប្រាប់យើងថា</w:t>
      </w:r>
      <w:r>
        <w:rPr>
          <w:rFonts w:ascii="Times New Roman" w:hAnsi="Times New Roman" w:eastAsia="Times New Roman" w:cs="Times New Roman"/>
        </w:rPr>
        <w:t xml:space="preserve"> </w:t>
      </w:r>
      <w:r>
        <w:rPr>
          <w:rFonts w:ascii="Leelawadee UI" w:hAnsi="Leelawadee UI" w:eastAsia="Leelawadee UI" w:cs="Leelawadee UI"/>
        </w:rPr>
        <w:t>សព្វថ្ងៃនេះ</w:t>
      </w:r>
      <w:r>
        <w:rPr>
          <w:rFonts w:ascii="Times New Roman" w:hAnsi="Times New Roman" w:eastAsia="Times New Roman" w:cs="Times New Roman"/>
        </w:rPr>
        <w:t xml:space="preserve"> </w:t>
      </w:r>
      <w:r>
        <w:rPr>
          <w:rFonts w:ascii="Leelawadee UI" w:hAnsi="Leelawadee UI" w:eastAsia="Leelawadee UI" w:cs="Leelawadee UI"/>
        </w:rPr>
        <w:t>យើងស្ថិតនៅទីណាក្នុងដំណើរនៃយុគសម័យទាំងឡាយ</w:t>
      </w:r>
      <w:r>
        <w:rPr>
          <w:rFonts w:ascii="Times New Roman" w:hAnsi="Times New Roman" w:eastAsia="Times New Roman" w:cs="Times New Roman"/>
        </w:rPr>
        <w:t xml:space="preserve"> </w:t>
      </w:r>
      <w:r>
        <w:rPr>
          <w:rFonts w:ascii="Leelawadee UI" w:hAnsi="Leelawadee UI" w:eastAsia="Leelawadee UI" w:cs="Leelawadee UI"/>
        </w:rPr>
        <w:t>ហើយអ្វីដែលអាចរំពឹងទុកបាននៅក្នុងពេលវេលាខាងមុខ។</w:t>
      </w:r>
      <w:r>
        <w:rPr>
          <w:rFonts w:ascii="Times New Roman" w:hAnsi="Times New Roman" w:eastAsia="Times New Roman" w:cs="Times New Roman"/>
        </w:rPr>
        <w:t xml:space="preserve"> </w:t>
      </w:r>
      <w:r>
        <w:rPr>
          <w:rFonts w:ascii="Leelawadee UI" w:hAnsi="Leelawadee UI" w:eastAsia="Leelawadee UI" w:cs="Leelawadee UI"/>
        </w:rPr>
        <w:t>អ្វីៗទាំងអស់ដែលការព្យាករណ៍បានទាយទុកថានឹងកើតឡើង</w:t>
      </w:r>
      <w:r>
        <w:rPr>
          <w:rFonts w:ascii="Times New Roman" w:hAnsi="Times New Roman" w:eastAsia="Times New Roman" w:cs="Times New Roman"/>
        </w:rPr>
        <w:t xml:space="preserve"> </w:t>
      </w:r>
      <w:r>
        <w:rPr>
          <w:rFonts w:ascii="Leelawadee UI" w:hAnsi="Leelawadee UI" w:eastAsia="Leelawadee UI" w:cs="Leelawadee UI"/>
        </w:rPr>
        <w:t>រហូតមកដល់ពេលបច្ចុប្បន្ននេះ</w:t>
      </w:r>
      <w:r>
        <w:rPr>
          <w:rFonts w:ascii="Times New Roman" w:hAnsi="Times New Roman" w:eastAsia="Times New Roman" w:cs="Times New Roman"/>
        </w:rPr>
        <w:t xml:space="preserve"> </w:t>
      </w:r>
      <w:r>
        <w:rPr>
          <w:rFonts w:ascii="Leelawadee UI" w:hAnsi="Leelawadee UI" w:eastAsia="Leelawadee UI" w:cs="Leelawadee UI"/>
        </w:rPr>
        <w:t>ត្រូវបានតាមដានឃើញនៅលើទំព័រនៃប្រវត្តិសាស្ត្រ</w:t>
      </w:r>
      <w:r>
        <w:rPr>
          <w:rFonts w:ascii="Times New Roman" w:hAnsi="Times New Roman" w:eastAsia="Times New Roman" w:cs="Times New Roman"/>
        </w:rPr>
        <w:t xml:space="preserve"> </w:t>
      </w:r>
      <w:r>
        <w:rPr>
          <w:rFonts w:ascii="Leelawadee UI" w:hAnsi="Leelawadee UI" w:eastAsia="Leelawadee UI" w:cs="Leelawadee UI"/>
        </w:rPr>
        <w:t>ហើយយើងអាចមានសេចក្តីប្រាកដថា</w:t>
      </w:r>
      <w:r>
        <w:rPr>
          <w:rFonts w:ascii="Times New Roman" w:hAnsi="Times New Roman" w:eastAsia="Times New Roman" w:cs="Times New Roman"/>
        </w:rPr>
        <w:t xml:space="preserve"> </w:t>
      </w:r>
      <w:r>
        <w:rPr>
          <w:rFonts w:ascii="Leelawadee UI" w:hAnsi="Leelawadee UI" w:eastAsia="Leelawadee UI" w:cs="Leelawadee UI"/>
        </w:rPr>
        <w:t>អ្វីៗទាំងអស់ដែលនៅមិនទាន់មកដល់</w:t>
      </w:r>
      <w:r>
        <w:rPr>
          <w:rFonts w:ascii="Times New Roman" w:hAnsi="Times New Roman" w:eastAsia="Times New Roman" w:cs="Times New Roman"/>
        </w:rPr>
        <w:t xml:space="preserve"> </w:t>
      </w:r>
      <w:r>
        <w:rPr>
          <w:rFonts w:ascii="Leelawadee UI" w:hAnsi="Leelawadee UI" w:eastAsia="Leelawadee UI" w:cs="Leelawadee UI"/>
        </w:rPr>
        <w:t>នឹងត្រូវបានសម្រេចតាមលំដាប់របស់វា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vingt</dc:title>
  <dc:subject>Le Second Malheur – Septième Partie – Ézéchiel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