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Twenty-One</w:t>
      </w:r>
    </w:p>
    <w:p>
      <w:pPr>
        <w:pStyle w:val="ArticleSubtitle"/>
        <w:jc w:val="left"/>
      </w:pPr>
      <w:r>
        <w:rPr>
          <w:rFonts w:ascii="Arial" w:hAnsi="Arial" w:eastAsia="Arial" w:cs="Arial"/>
        </w:rPr>
        <w:t>Le deuxième malheur — huitième partie — Ézéchiel numéro deux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Ézéchiel représente ceux pour qui une œuvre d’instruction a été accomplie par le Lion de la tribu de Juda, et son enseignement fondamental est « précepte sur précepte ».</w:t>
      </w:r>
    </w:p>
    <w:p>
      <w:pPr>
        <w:pStyle w:val="ArticleScripture"/>
        <w:jc w:val="left"/>
      </w:pPr>
      <w:r>
        <w:rPr>
          <w:rFonts w:ascii="Times New Roman" w:hAnsi="Times New Roman" w:eastAsia="Times New Roman" w:cs="Times New Roman"/>
        </w:rPr>
        <w:t>Rehegua he’i: Kóva hína pe pytu’u, peme’ẽ hag̃ua pytu’u pe kane’õvape; ha kóva hína pe ñembopy’aguapy. Upéicharamo jepe, ndaipotáikuri ohendu. Ha Ñandejára ñe’ẽ oiko hag̃ua chupekuéra mbo’epy ári mbo’epy, mbo’epy ári mbo’epy; línea ári línea, línea ári línea; ko’ápe michĩmi, ha upépe michĩmi; hag̃ua hag̃uáicha oho, ha ho’a hag̃ua hapykuépe, ha oñembyaipa, ha oñeñuhã, ha ojepokuaa. Isaías 28:12, 13.</w:t>
      </w:r>
    </w:p>
    <w:p>
      <w:pPr>
        <w:pStyle w:val="ArticleBody"/>
        <w:jc w:val="left"/>
      </w:pPr>
      <w:r>
        <w:rPr>
          <w:rFonts w:ascii="Times New Roman" w:hAnsi="Times New Roman" w:eastAsia="Times New Roman" w:cs="Times New Roman"/>
        </w:rPr>
        <w:t>Tẹ́lẹ̀lọ́wọ́ báyìí, Kìnnìún ti ẹ̀yà Júdà ń ṣí ìwé Ẹsekíẹli sílẹ̀. A jẹ́ kí a mọ̀ pé Ẹsekíẹli jẹ́ àlùfáà ní ọdún ọgbọ̀n, bóyá “ọgbọ̀n” ń ṣàpẹẹrẹ ọjọ́-ori àmì-ìtumọ̀ rẹ̀ gẹ́gẹ́ bí àlùfáà, tàbí ọdún kẹtàlélọ́gbọ̀n nínú ìlà àsọtẹ́lẹ̀ tí ó bẹ̀rẹ̀ ní Ìrékọjá Ńlá Josiah. Ìjọ àlùfáà ìkẹyìn ti àwọn ọjọ́ ìkẹyìn ni ẹgbẹ̀rún ọgọ́rùn-ún méjìlélógójì, àwọn ìtàn gidi ìgbàanì sì ń ṣàpẹẹrẹ ìtàn àmì-ìtumọ̀ kan ní àwọn ọjọ́ ìkẹyìn.</w:t>
      </w:r>
    </w:p>
    <w:p>
      <w:pPr>
        <w:pStyle w:val="ArticleScripture"/>
        <w:jc w:val="left"/>
      </w:pPr>
      <w:r>
        <w:rPr>
          <w:rFonts w:ascii="Times New Roman" w:hAnsi="Times New Roman" w:eastAsia="Times New Roman" w:cs="Times New Roman"/>
        </w:rPr>
        <w:t>Lakini ninyi mtaitwa Makuhani wa Bwana; watu watawaita Wahudumu wa Mungu wetu; mtakula mali za Mataifa, na katika utukufu wao mtajisifu. Isaya 61:6.</w:t>
      </w:r>
    </w:p>
    <w:p>
      <w:pPr>
        <w:pStyle w:val="ArticleBody"/>
        <w:jc w:val="left"/>
      </w:pPr>
      <w:r>
        <w:rPr>
          <w:rFonts w:ascii="Times New Roman" w:hAnsi="Times New Roman" w:eastAsia="Times New Roman" w:cs="Times New Roman"/>
        </w:rPr>
        <w:t>Ezekiel dia tandindon’ny vahoakan’Andriamanitra amin’ny andro farany—dia ilay tantara masina izay amantarin’ny fijoroana vavolombelona ara-paminaniana rehetra. Izany tantara masina izany no fihetsik’ilay anjely fahatelo, izay naseho manokana mialoha tamin’ny alalan’ny fihetsik’ilay anjely voalohany tamin’ny 1840. Ny fihetsik’ilay anjely voalohany no anjely alfa amin’ireo anjely telo, ary ny fahatelo no anjely omega. Koa noho izany Ezekiel dia ampifandraisina amin’i Petera amin’ny fotoanan’ny fanisiana tombo-kase ny iray hetsy sy efatra alina. Ilay tantara an’ohatra izay i Petera sy Ezekiel no misy azy roa tonta dia aseho ho tantaran’i Panium.</w:t>
      </w:r>
    </w:p>
    <w:p>
      <w:pPr>
        <w:pStyle w:val="ArticleHeading"/>
        <w:jc w:val="left"/>
      </w:pPr>
      <w:r>
        <w:rPr>
          <w:rFonts w:ascii="Arial" w:hAnsi="Arial" w:eastAsia="Arial" w:cs="Arial"/>
        </w:rPr>
        <w:t>Le Petit Livre</w:t>
      </w:r>
    </w:p>
    <w:p>
      <w:pPr>
        <w:pStyle w:val="ArticleBody"/>
        <w:jc w:val="left"/>
      </w:pPr>
      <w:r>
        <w:rPr>
          <w:rFonts w:ascii="Times New Roman" w:hAnsi="Times New Roman" w:eastAsia="Times New Roman" w:cs="Times New Roman"/>
        </w:rPr>
        <w:t>Ezekiel prend le petit livre, comme le fit Jean dans Apocalypse dix.</w:t>
      </w:r>
    </w:p>
    <w:p>
      <w:pPr>
        <w:pStyle w:val="ArticleScripture"/>
        <w:jc w:val="left"/>
      </w:pPr>
      <w:r>
        <w:rPr>
          <w:rFonts w:ascii="Times New Roman" w:hAnsi="Times New Roman" w:eastAsia="Times New Roman" w:cs="Times New Roman"/>
        </w:rPr>
        <w:t>لكِنْ أَنْتَ يَا ابْنَ آدَمَ، اسْمَعْ مَا أُكَلِّمُكَ بِهِ. لاَ تَكُنْ مُتَمَرِّدًا كَالْبَيْتِ الْمُتَمَرِّدِ. افْتَحْ فَمَكَ وَكُلْ مَا أَنَا مُعْطِيكَ. فَنَظَرْتُ وَإِذَا بِيَدٍ مَمْدُودَةٍ إِلَيَّ، وَإِذَا بِدَرْجِ سِفْرٍ فِيهَا. فَنَشَرَهُ أَمَامِي، وَهُوَ مَكْتُوبٌ مِنْ دَاخِلٍ وَمِنْ خَارِجٍ، وَكُتِبَ فِيهِ مَرَاثٍ وَنَحِيبٌ وَوَيْلٌ. وَقَالَ لِي: يَا ابْنَ آدَمَ، كُلْ مَا تَجِدُهُ. كُلْ هذَا الدَّرْجَ، وَاذْهَبْ كَلِّمْ بَيْتَ إِسْرَائِيلَ. فَفَتَحْتُ فَمِي، فَأَطْعَمَنِي ذلِكَ الدَّرْجَ. وَقَالَ لِي: يَا ابْنَ آدَمَ، أَطْعِمْ بَطْنَكَ وَامْلأْ جَوْفَكَ مِنْ هذَا الدَّرْجِ الَّذِي أَنَا مُعْطِيكَ. فَأَكَلْتُهُ، فَكَانَ فِي فَمِي كَالْعَسَلِ حَلاَوَةً. حزقيال 2: 8–10، 3: 1–3.</w:t>
      </w:r>
    </w:p>
    <w:p>
      <w:pPr>
        <w:pStyle w:val="ArticleBody"/>
        <w:jc w:val="left"/>
      </w:pPr>
      <w:r>
        <w:rPr>
          <w:rFonts w:ascii="Times New Roman" w:hAnsi="Times New Roman" w:eastAsia="Times New Roman" w:cs="Times New Roman"/>
        </w:rPr>
        <w:t>Dans l’Apocalypse 10, Jean mange le petit livre, et tout le chapitre représente la manifestation de la puissance de Dieu du 11 août 1840 au 22 octobre 1844.</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អង្គទូតដែលរួមគ្នាក្នុងការប្រកាសសាររបស់អង្គទូតទីបី</w:t>
      </w:r>
      <w:r>
        <w:rPr>
          <w:rFonts w:ascii="Times New Roman" w:hAnsi="Times New Roman" w:eastAsia="Times New Roman" w:cs="Times New Roman"/>
        </w:rPr>
        <w:t xml:space="preserve"> </w:t>
      </w:r>
      <w:r>
        <w:rPr>
          <w:rFonts w:ascii="Leelawadee UI" w:hAnsi="Leelawadee UI" w:eastAsia="Leelawadee UI" w:cs="Leelawadee UI"/>
        </w:rPr>
        <w:t>នឹងបំភ្លឺផែនដីទាំងមូលដោយសិរីរុងរឿងរបស់គាត់។</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ត្រូវបានទាយទុកជាមុនអំពីកិច្ចការមួយដែលមានវិសាលភាពទូទាំងពិភពលោក</w:t>
      </w:r>
      <w:r>
        <w:rPr>
          <w:rFonts w:ascii="Times New Roman" w:hAnsi="Times New Roman" w:eastAsia="Times New Roman" w:cs="Times New Roman"/>
        </w:rPr>
        <w:t xml:space="preserve"> </w:t>
      </w:r>
      <w:r>
        <w:rPr>
          <w:rFonts w:ascii="Leelawadee UI" w:hAnsi="Leelawadee UI" w:eastAsia="Leelawadee UI" w:cs="Leelawadee UI"/>
        </w:rPr>
        <w:t>និងមានអំណាចដ៏អស្ចារ្យមិនធ្លាប់មាន។</w:t>
      </w:r>
      <w:r>
        <w:rPr>
          <w:rFonts w:ascii="Times New Roman" w:hAnsi="Times New Roman" w:eastAsia="Times New Roman" w:cs="Times New Roman"/>
        </w:rPr>
        <w:t xml:space="preserve"> </w:t>
      </w:r>
      <w:r>
        <w:rPr>
          <w:rFonts w:ascii="Leelawadee UI" w:hAnsi="Leelawadee UI" w:eastAsia="Leelawadee UI" w:cs="Leelawadee UI"/>
        </w:rPr>
        <w:t>ចលនាការយាងមកវិញនៅឆ្នាំ</w:t>
      </w:r>
      <w:r>
        <w:rPr>
          <w:rFonts w:ascii="Times New Roman" w:hAnsi="Times New Roman" w:eastAsia="Times New Roman" w:cs="Times New Roman"/>
        </w:rPr>
        <w:t xml:space="preserve"> 1840–44 </w:t>
      </w:r>
      <w:r>
        <w:rPr>
          <w:rFonts w:ascii="Leelawadee UI" w:hAnsi="Leelawadee UI" w:eastAsia="Leelawadee UI" w:cs="Leelawadee UI"/>
        </w:rPr>
        <w:t>គឺជាការបង្ហាញដ៏រុងរឿងនៃព្រះចេស្តារបស់ព្រះ</w:t>
      </w:r>
      <w:r>
        <w:rPr>
          <w:rFonts w:ascii="Times New Roman" w:hAnsi="Times New Roman" w:eastAsia="Times New Roman" w:cs="Times New Roman"/>
        </w:rPr>
        <w:t xml:space="preserve">; </w:t>
      </w:r>
      <w:r>
        <w:rPr>
          <w:rFonts w:ascii="Leelawadee UI" w:hAnsi="Leelawadee UI" w:eastAsia="Leelawadee UI" w:cs="Leelawadee UI"/>
        </w:rPr>
        <w:t>សាររបស់អង្គទូតទីមួយត្រូវបាននាំទៅដល់គ្រប់ស្ថានីយបេសកកម្មទាំងអស់នៅលើពិភពលោក</w:t>
      </w:r>
      <w:r>
        <w:rPr>
          <w:rFonts w:ascii="Times New Roman" w:hAnsi="Times New Roman" w:eastAsia="Times New Roman" w:cs="Times New Roman"/>
        </w:rPr>
        <w:t xml:space="preserve"> </w:t>
      </w:r>
      <w:r>
        <w:rPr>
          <w:rFonts w:ascii="Leelawadee UI" w:hAnsi="Leelawadee UI" w:eastAsia="Leelawadee UI" w:cs="Leelawadee UI"/>
        </w:rPr>
        <w:t>ហើយនៅក្នុងប្រទេសខ្លះ</w:t>
      </w:r>
      <w:r>
        <w:rPr>
          <w:rFonts w:ascii="Times New Roman" w:hAnsi="Times New Roman" w:eastAsia="Times New Roman" w:cs="Times New Roman"/>
        </w:rPr>
        <w:t xml:space="preserve"> </w:t>
      </w:r>
      <w:r>
        <w:rPr>
          <w:rFonts w:ascii="Leelawadee UI" w:hAnsi="Leelawadee UI" w:eastAsia="Leelawadee UI" w:cs="Leelawadee UI"/>
        </w:rPr>
        <w:t>មានការចាប់អារម្មណ៍ខាងសាសនាយ៉ាងខ្លាំងបំផុត</w:t>
      </w:r>
      <w:r>
        <w:rPr>
          <w:rFonts w:ascii="Times New Roman" w:hAnsi="Times New Roman" w:eastAsia="Times New Roman" w:cs="Times New Roman"/>
        </w:rPr>
        <w:t xml:space="preserve"> </w:t>
      </w:r>
      <w:r>
        <w:rPr>
          <w:rFonts w:ascii="Leelawadee UI" w:hAnsi="Leelawadee UI" w:eastAsia="Leelawadee UI" w:cs="Leelawadee UI"/>
        </w:rPr>
        <w:t>ដែលមិនធ្លាប់មានឃើញនៅក្នុងប្រទេសណាមួយ</w:t>
      </w:r>
      <w:r>
        <w:rPr>
          <w:rFonts w:ascii="Times New Roman" w:hAnsi="Times New Roman" w:eastAsia="Times New Roman" w:cs="Times New Roman"/>
        </w:rPr>
        <w:t xml:space="preserve"> </w:t>
      </w:r>
      <w:r>
        <w:rPr>
          <w:rFonts w:ascii="Leelawadee UI" w:hAnsi="Leelawadee UI" w:eastAsia="Leelawadee UI" w:cs="Leelawadee UI"/>
        </w:rPr>
        <w:t>ចាប់តាំងពីសម័យកំណែទម្រង់នៃសតវត្សទីដប់ប្រាំមួយមក</w:t>
      </w:r>
      <w:r>
        <w:rPr>
          <w:rFonts w:ascii="Times New Roman" w:hAnsi="Times New Roman" w:eastAsia="Times New Roman" w:cs="Times New Roman"/>
        </w:rPr>
        <w:t xml:space="preserve">; </w:t>
      </w:r>
      <w:r>
        <w:rPr>
          <w:rFonts w:ascii="Leelawadee UI" w:hAnsi="Leelawadee UI" w:eastAsia="Leelawadee UI" w:cs="Leelawadee UI"/>
        </w:rPr>
        <w:t>ប៉ុន្តែទាំងនេះនឹងត្រូវបានលើសដោយចលនាដ៏ខ្លាំងក្លាក្រោមការព្រមានចុងក្រោយរបស់អង្គទូតទីបី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Great Controversy, 611.</w:t>
      </w:r>
    </w:p>
    <w:p>
      <w:pPr>
        <w:pStyle w:val="ArticleBody"/>
        <w:jc w:val="left"/>
      </w:pPr>
      <w:r>
        <w:rPr>
          <w:rFonts w:ascii="Times New Roman" w:hAnsi="Times New Roman" w:eastAsia="Times New Roman" w:cs="Times New Roman"/>
        </w:rPr>
        <w:t xml:space="preserve">Ezekiel </w:t>
      </w:r>
      <w:r>
        <w:rPr>
          <w:rFonts w:ascii="Nirmala UI" w:hAnsi="Nirmala UI" w:eastAsia="Nirmala UI" w:cs="Nirmala UI"/>
        </w:rPr>
        <w:t>ई</w:t>
      </w:r>
      <w:r>
        <w:rPr>
          <w:rFonts w:ascii="Times New Roman" w:hAnsi="Times New Roman" w:eastAsia="Times New Roman" w:cs="Times New Roman"/>
        </w:rPr>
        <w:t xml:space="preserve"> 144000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Ezekiel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 xml:space="preserve">1840 </w:t>
      </w:r>
      <w:r>
        <w:rPr>
          <w:rFonts w:ascii="MS Gothic" w:hAnsi="MS Gothic" w:eastAsia="MS Gothic" w:cs="MS Gothic"/>
        </w:rPr>
        <w:t>から</w:t>
      </w:r>
      <w:r>
        <w:rPr>
          <w:rFonts w:ascii="Times New Roman" w:hAnsi="Times New Roman" w:eastAsia="Times New Roman" w:cs="Times New Roman"/>
        </w:rPr>
        <w:t xml:space="preserve"> 1844 </w:t>
      </w:r>
      <w:r>
        <w:rPr>
          <w:rFonts w:ascii="Microsoft YaHei" w:hAnsi="Microsoft YaHei" w:eastAsia="Microsoft YaHei" w:cs="Microsoft YaHei"/>
        </w:rPr>
        <w:t>年</w:t>
      </w:r>
      <w:r>
        <w:rPr>
          <w:rFonts w:ascii="MS Gothic" w:hAnsi="MS Gothic" w:eastAsia="MS Gothic" w:cs="MS Gothic"/>
        </w:rPr>
        <w:t>までは</w:t>
      </w:r>
      <w:r>
        <w:rPr>
          <w:rFonts w:ascii="Microsoft YaHei" w:hAnsi="Microsoft YaHei" w:eastAsia="Microsoft YaHei" w:cs="Microsoft YaHei"/>
        </w:rPr>
        <w:t>四年間</w:t>
      </w:r>
      <w:r>
        <w:rPr>
          <w:rFonts w:ascii="MS Gothic" w:hAnsi="MS Gothic" w:eastAsia="MS Gothic" w:cs="MS Gothic"/>
        </w:rPr>
        <w:t>の</w:t>
      </w:r>
      <w:r>
        <w:rPr>
          <w:rFonts w:ascii="Microsoft YaHei" w:hAnsi="Microsoft YaHei" w:eastAsia="Microsoft YaHei" w:cs="Microsoft YaHei"/>
        </w:rPr>
        <w:t>期間</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それは</w:t>
      </w:r>
      <w:r>
        <w:rPr>
          <w:rFonts w:ascii="Times New Roman" w:hAnsi="Times New Roman" w:eastAsia="Times New Roman" w:cs="Times New Roman"/>
        </w:rPr>
        <w:t xml:space="preserve"> 1299 </w:t>
      </w:r>
      <w:r>
        <w:rPr>
          <w:rFonts w:ascii="Microsoft YaHei" w:hAnsi="Microsoft YaHei" w:eastAsia="Microsoft YaHei" w:cs="Microsoft YaHei"/>
        </w:rPr>
        <w:t>年</w:t>
      </w:r>
      <w:r>
        <w:rPr>
          <w:rFonts w:ascii="Times New Roman" w:hAnsi="Times New Roman" w:eastAsia="Times New Roman" w:cs="Times New Roman"/>
        </w:rPr>
        <w:t xml:space="preserve"> 7 </w:t>
      </w:r>
      <w:r>
        <w:rPr>
          <w:rFonts w:ascii="Microsoft YaHei" w:hAnsi="Microsoft YaHei" w:eastAsia="Microsoft YaHei" w:cs="Microsoft YaHei"/>
        </w:rPr>
        <w:t>月</w:t>
      </w:r>
      <w:r>
        <w:rPr>
          <w:rFonts w:ascii="Times New Roman" w:hAnsi="Times New Roman" w:eastAsia="Times New Roman" w:cs="Times New Roman"/>
        </w:rPr>
        <w:t xml:space="preserve"> 27 </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まった</w:t>
      </w:r>
      <w:r>
        <w:rPr>
          <w:rFonts w:ascii="Microsoft YaHei" w:hAnsi="Microsoft YaHei" w:eastAsia="Microsoft YaHei" w:cs="Microsoft YaHei"/>
        </w:rPr>
        <w:t>百五十年</w:t>
      </w:r>
      <w:r>
        <w:rPr>
          <w:rFonts w:ascii="MS Gothic" w:hAnsi="MS Gothic" w:eastAsia="MS Gothic" w:cs="MS Gothic"/>
        </w:rPr>
        <w:t>の</w:t>
      </w:r>
      <w:r>
        <w:rPr>
          <w:rFonts w:ascii="Microsoft YaHei" w:hAnsi="Microsoft YaHei" w:eastAsia="Microsoft YaHei" w:cs="Microsoft YaHei"/>
        </w:rPr>
        <w:t>期間</w:t>
      </w:r>
      <w:r>
        <w:rPr>
          <w:rFonts w:ascii="MS Gothic" w:hAnsi="MS Gothic" w:eastAsia="MS Gothic" w:cs="MS Gothic"/>
        </w:rPr>
        <w:t>をもって</w:t>
      </w:r>
      <w:r>
        <w:rPr>
          <w:rFonts w:ascii="Microsoft YaHei" w:hAnsi="Microsoft YaHei" w:eastAsia="Microsoft YaHei" w:cs="Microsoft YaHei"/>
        </w:rPr>
        <w:t>開始</w:t>
      </w:r>
      <w:r>
        <w:rPr>
          <w:rFonts w:ascii="MS Gothic" w:hAnsi="MS Gothic" w:eastAsia="MS Gothic" w:cs="MS Gothic"/>
        </w:rPr>
        <w:t>された</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まった</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「五</w:t>
      </w:r>
      <w:r>
        <w:rPr>
          <w:rFonts w:ascii="MS Gothic" w:hAnsi="MS Gothic" w:eastAsia="MS Gothic" w:cs="MS Gothic"/>
        </w:rPr>
        <w:t>か</w:t>
      </w:r>
      <w:r>
        <w:rPr>
          <w:rFonts w:ascii="Microsoft YaHei" w:hAnsi="Microsoft YaHei" w:eastAsia="Microsoft YaHei" w:cs="Microsoft YaHei"/>
        </w:rPr>
        <w:t>月」</w:t>
      </w:r>
      <w:r>
        <w:rPr>
          <w:rFonts w:ascii="MS Gothic" w:hAnsi="MS Gothic" w:eastAsia="MS Gothic" w:cs="MS Gothic"/>
        </w:rPr>
        <w:t>は</w:t>
      </w:r>
      <w:r>
        <w:rPr>
          <w:rFonts w:ascii="Microsoft YaHei" w:hAnsi="Microsoft YaHei" w:eastAsia="Microsoft YaHei" w:cs="Microsoft YaHei"/>
        </w:rPr>
        <w:t>終</w:t>
      </w:r>
      <w:r>
        <w:rPr>
          <w:rFonts w:ascii="MS Gothic" w:hAnsi="MS Gothic" w:eastAsia="MS Gothic" w:cs="MS Gothic"/>
        </w:rPr>
        <w:t>わり</w:t>
      </w:r>
      <w:r>
        <w:rPr>
          <w:rFonts w:ascii="Microsoft YaHei" w:hAnsi="Microsoft YaHei" w:eastAsia="Microsoft YaHei" w:cs="Microsoft YaHei"/>
        </w:rPr>
        <w:t>、</w:t>
      </w:r>
      <w:r>
        <w:rPr>
          <w:rFonts w:ascii="Times New Roman" w:hAnsi="Times New Roman" w:eastAsia="Times New Roman" w:cs="Times New Roman"/>
        </w:rPr>
        <w:t xml:space="preserve">1840 </w:t>
      </w:r>
      <w:r>
        <w:rPr>
          <w:rFonts w:ascii="Microsoft YaHei" w:hAnsi="Microsoft YaHei" w:eastAsia="Microsoft YaHei" w:cs="Microsoft YaHei"/>
        </w:rPr>
        <w:t>年</w:t>
      </w:r>
      <w:r>
        <w:rPr>
          <w:rFonts w:ascii="Times New Roman" w:hAnsi="Times New Roman" w:eastAsia="Times New Roman" w:cs="Times New Roman"/>
        </w:rPr>
        <w:t xml:space="preserve"> 8 </w:t>
      </w:r>
      <w:r>
        <w:rPr>
          <w:rFonts w:ascii="Microsoft YaHei" w:hAnsi="Microsoft YaHei" w:eastAsia="Microsoft YaHei" w:cs="Microsoft YaHei"/>
        </w:rPr>
        <w:t>月</w:t>
      </w:r>
      <w:r>
        <w:rPr>
          <w:rFonts w:ascii="Times New Roman" w:hAnsi="Times New Roman" w:eastAsia="Times New Roman" w:cs="Times New Roman"/>
        </w:rPr>
        <w:t xml:space="preserve"> 11 </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終結</w:t>
      </w:r>
      <w:r>
        <w:rPr>
          <w:rFonts w:ascii="MS Gothic" w:hAnsi="MS Gothic" w:eastAsia="MS Gothic" w:cs="MS Gothic"/>
        </w:rPr>
        <w:t>した</w:t>
      </w:r>
      <w:r>
        <w:rPr>
          <w:rFonts w:ascii="Microsoft YaHei" w:hAnsi="Microsoft YaHei" w:eastAsia="Microsoft YaHei" w:cs="Microsoft YaHei"/>
        </w:rPr>
        <w:t>三百九十一年十五日</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と</w:t>
      </w:r>
      <w:r>
        <w:rPr>
          <w:rFonts w:ascii="Microsoft YaHei" w:hAnsi="Microsoft YaHei" w:eastAsia="Microsoft YaHei" w:cs="Microsoft YaHei"/>
        </w:rPr>
        <w:t>結</w:t>
      </w:r>
      <w:r>
        <w:rPr>
          <w:rFonts w:ascii="MS Gothic" w:hAnsi="MS Gothic" w:eastAsia="MS Gothic" w:cs="MS Gothic"/>
        </w:rPr>
        <w:t>びつき</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の</w:t>
      </w:r>
      <w:r>
        <w:rPr>
          <w:rFonts w:ascii="Microsoft YaHei" w:hAnsi="Microsoft YaHei" w:eastAsia="Microsoft YaHei" w:cs="Microsoft YaHei"/>
        </w:rPr>
        <w:t>栄光</w:t>
      </w:r>
      <w:r>
        <w:rPr>
          <w:rFonts w:ascii="MS Gothic" w:hAnsi="MS Gothic" w:eastAsia="MS Gothic" w:cs="MS Gothic"/>
        </w:rPr>
        <w:t>ある</w:t>
      </w:r>
      <w:r>
        <w:rPr>
          <w:rFonts w:ascii="Microsoft YaHei" w:hAnsi="Microsoft YaHei" w:eastAsia="Microsoft YaHei" w:cs="Microsoft YaHei"/>
        </w:rPr>
        <w:t>顕現</w:t>
      </w:r>
      <w:r>
        <w:rPr>
          <w:rFonts w:ascii="MS Gothic" w:hAnsi="MS Gothic" w:eastAsia="MS Gothic" w:cs="MS Gothic"/>
        </w:rPr>
        <w:t>が</w:t>
      </w:r>
      <w:r>
        <w:rPr>
          <w:rFonts w:ascii="Times New Roman" w:hAnsi="Times New Roman" w:eastAsia="Times New Roman" w:cs="Times New Roman"/>
        </w:rPr>
        <w:t xml:space="preserve"> 1844 </w:t>
      </w:r>
      <w:r>
        <w:rPr>
          <w:rFonts w:ascii="Microsoft YaHei" w:hAnsi="Microsoft YaHei" w:eastAsia="Microsoft YaHei" w:cs="Microsoft YaHei"/>
        </w:rPr>
        <w:t>年</w:t>
      </w:r>
      <w:r>
        <w:rPr>
          <w:rFonts w:ascii="Times New Roman" w:hAnsi="Times New Roman" w:eastAsia="Times New Roman" w:cs="Times New Roman"/>
        </w:rPr>
        <w:t xml:space="preserve"> 10 </w:t>
      </w:r>
      <w:r>
        <w:rPr>
          <w:rFonts w:ascii="Microsoft YaHei" w:hAnsi="Microsoft YaHei" w:eastAsia="Microsoft YaHei" w:cs="Microsoft YaHei"/>
        </w:rPr>
        <w:t>月</w:t>
      </w:r>
      <w:r>
        <w:rPr>
          <w:rFonts w:ascii="Times New Roman" w:hAnsi="Times New Roman" w:eastAsia="Times New Roman" w:cs="Times New Roman"/>
        </w:rPr>
        <w:t xml:space="preserve"> 22 </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現</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時、預言的時期</w:t>
      </w:r>
      <w:r>
        <w:rPr>
          <w:rFonts w:ascii="MS Gothic" w:hAnsi="MS Gothic" w:eastAsia="MS Gothic" w:cs="MS Gothic"/>
        </w:rPr>
        <w:t>の</w:t>
      </w:r>
      <w:r>
        <w:rPr>
          <w:rFonts w:ascii="Microsoft YaHei" w:hAnsi="Microsoft YaHei" w:eastAsia="Microsoft YaHei" w:cs="Microsoft YaHei"/>
        </w:rPr>
        <w:t>適用</w:t>
      </w:r>
      <w:r>
        <w:rPr>
          <w:rFonts w:ascii="MS Gothic" w:hAnsi="MS Gothic" w:eastAsia="MS Gothic" w:cs="MS Gothic"/>
        </w:rPr>
        <w:t>は</w:t>
      </w:r>
      <w:r>
        <w:rPr>
          <w:rFonts w:ascii="Microsoft YaHei" w:hAnsi="Microsoft YaHei" w:eastAsia="Microsoft YaHei" w:cs="Microsoft YaHei"/>
        </w:rPr>
        <w:t>終止</w:t>
      </w:r>
      <w:r>
        <w:rPr>
          <w:rFonts w:ascii="MS Gothic" w:hAnsi="MS Gothic" w:eastAsia="MS Gothic" w:cs="MS Gothic"/>
        </w:rPr>
        <w:t>した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 jurou por aquele que vive para todo o sempre, o qual criou o céu, e as coisas que nele há, e a terra, e as coisas que nela há, e o mar, e as coisas que nele há, que não haveria mais demora. Apocalipse 10:6.</w:t>
      </w:r>
    </w:p>
    <w:p>
      <w:pPr>
        <w:pStyle w:val="ArticleBody"/>
        <w:jc w:val="left"/>
      </w:pPr>
      <w:r>
        <w:rPr>
          <w:rFonts w:ascii="Times New Roman" w:hAnsi="Times New Roman" w:eastAsia="Times New Roman" w:cs="Times New Roman"/>
        </w:rPr>
        <w:t>Ժամանակի մարգարեական հաշվարկը որպես մարգարեության վավեր կիրառում ավարտվեց 1844 թվականի հոկտեմբերի 22-ին։ Եզեկիելը, Պետրոսը և Հովհաննեսը յուրաքանչյուրն էլ ներկայացնում են Աստծո իմաստուն կույսերին՝ առաջին և երկրորդ հրեշտակների շարժման, ինչպես նաև երրորդ հրեշտակի շարժման մեջ։</w:t>
      </w:r>
    </w:p>
    <w:p>
      <w:pPr>
        <w:pStyle w:val="ArticleHeading"/>
        <w:jc w:val="left"/>
      </w:pPr>
      <w:r>
        <w:rPr>
          <w:rFonts w:ascii="Arial" w:hAnsi="Arial" w:eastAsia="Arial" w:cs="Arial"/>
        </w:rPr>
        <w:t>Igipfukisho</w:t>
      </w:r>
    </w:p>
    <w:p>
      <w:pPr>
        <w:pStyle w:val="ArticleBody"/>
        <w:jc w:val="left"/>
      </w:pPr>
      <w:r>
        <w:rPr>
          <w:rFonts w:ascii="Times New Roman" w:hAnsi="Times New Roman" w:eastAsia="Times New Roman" w:cs="Times New Roman"/>
        </w:rPr>
        <w:t>پہلے باب کی آیت ایک میں بیان کیے گئے مطابق، حزقی ایل کے پہلے ’گیارہ‘ ابواب “رؤیاؤں” کا ایک سلسلہ پیش کرتے ہیں۔</w:t>
      </w:r>
    </w:p>
    <w:p>
      <w:pPr>
        <w:pStyle w:val="ArticleScripture"/>
        <w:jc w:val="left"/>
      </w:pPr>
      <w:r>
        <w:rPr>
          <w:rFonts w:ascii="Times New Roman" w:hAnsi="Times New Roman" w:eastAsia="Times New Roman" w:cs="Times New Roman"/>
        </w:rPr>
        <w:t>Et il arriva, en la trentième année, au quatrième mois, le cinquième jour du mois, comme j’étais parmi les captifs près du fleuve du Kebar, que les cieux furent ouverts, et je vis des visions de Dieu. Ézéchiel 1:1.</w:t>
      </w:r>
    </w:p>
    <w:p>
      <w:pPr>
        <w:pStyle w:val="ArticleBody"/>
        <w:jc w:val="left"/>
      </w:pPr>
      <w:r>
        <w:rPr>
          <w:rFonts w:ascii="Times New Roman" w:hAnsi="Times New Roman" w:eastAsia="Times New Roman" w:cs="Times New Roman"/>
        </w:rPr>
        <w:t>Les « visions » des onze premiers chapitres furent d’abord données au chapitre un, près du fleuve Kebar ; puis elles furent développées dans la vision du chapitre trois, sur la « plaine » ; puis encore dans la vision du chapitre huit, à Jérusalem. Les trois lieux que sont le fleuve Kebar, la plaine et Jérusalem représentent trois visions qui, ensemble, constituent une seule vision, laquelle est les « visions » du verset un et des onze premiers chapitres.</w:t>
      </w:r>
    </w:p>
    <w:p>
      <w:pPr>
        <w:pStyle w:val="ArticleHeading"/>
        <w:jc w:val="left"/>
      </w:pPr>
      <w:r>
        <w:rPr>
          <w:rFonts w:ascii="Microsoft YaHei" w:hAnsi="Microsoft YaHei" w:eastAsia="Microsoft YaHei" w:cs="Microsoft YaHei"/>
        </w:rPr>
        <w:t>伊布</w:t>
      </w:r>
      <w:r>
        <w:rPr>
          <w:rFonts w:ascii="Arial" w:hAnsi="Arial" w:eastAsia="Arial" w:cs="Arial"/>
        </w:rPr>
        <w:t>لي السنة اليوبيلية</w:t>
      </w:r>
    </w:p>
    <w:p>
      <w:pPr>
        <w:pStyle w:val="ArticleBody"/>
        <w:jc w:val="left"/>
      </w:pPr>
      <w:r>
        <w:rPr>
          <w:rFonts w:ascii="Times New Roman" w:hAnsi="Times New Roman" w:eastAsia="Times New Roman" w:cs="Times New Roman"/>
        </w:rPr>
        <w:t>تفسيرُ السنةِ الثلاثين على أنّها السنةُ الثلاثون من دورةِ اليوبيل التي بدأت عند فصحِ يوشيّا الشهير، ثم انتهت في 22 أكتوبر، أمرٌ يسهل تأييدُه، لأنّ ذلك الخطَّ بعينه من التاريخ المقدّس قد صُوِّر بوضوحٍ مميّز، سطرًا على سطر، وبأكثرَ من شاهدٍ واحد. وعلى سبيل المثال، يمثّل الفصحُ أعيادَ الربيع، ويمثّل يومُ الكفّارة أعيادَ الخريف. ولذلك فإنّ اللاويين الثالث والعشرين يتوافق مع دورةِ اليوبيل التي بدأت بيوشيّا. وهناك خطوطٌ أخرى تتوافق مع التاريخ الذي يمثّله الملك يوشيّا إلى 22 أكتوبر 573 ق.م. وإنّ التحقّقَ التاريخي في 22 أكتوبر 573 ق.م لسنةِ يوبيل تؤيّدُه كتبُ المؤرّخين.</w:t>
      </w:r>
    </w:p>
    <w:p>
      <w:pPr>
        <w:pStyle w:val="ArticleBody"/>
        <w:jc w:val="left"/>
      </w:pPr>
      <w:r>
        <w:rPr>
          <w:rFonts w:ascii="Times New Roman" w:hAnsi="Times New Roman" w:eastAsia="Times New Roman" w:cs="Times New Roman"/>
        </w:rPr>
        <w:t>Nyɛmii kakra akontabufo no gye tom mpɛn pii sɛ wobetumi de mpatade mpaebɔ da no ato October 22, 573 BC, na Yosiaa Twam Kɛse no nso wɔ 622 BC, na eyi nso yɛ da a Kyerɛw Kronkron akontabufo no gye tom. Twam no, a ɛyɛ ahohuru afahyɛ no sɛnkyerɛnne, hyɛɛ Yobeli mmerekyi a ɛyɛ mfe aduanan akron ase, na ɛbaa awiei wɔ ɔtɔn afahyɛ no sɛnkyerɛnne so wɔ mpatade mpaebɔ da no mu. Mfe nnanson mprɛnsa a ɛyɛɛ mfe aduanan akron no yɛɛ asase no Homeda no ho sɛnkyerɛnne.</w:t>
      </w:r>
    </w:p>
    <w:p>
      <w:pPr>
        <w:pStyle w:val="ArticleScripture"/>
        <w:jc w:val="left"/>
      </w:pPr>
      <w:r>
        <w:rPr>
          <w:rFonts w:ascii="Times New Roman" w:hAnsi="Times New Roman" w:eastAsia="Times New Roman" w:cs="Times New Roman"/>
        </w:rPr>
        <w:t>«En chaque page, qu’il s’agisse d’histoire, de précepte ou de prophétie, les Écritures de l’Ancien Testament sont irradiées de la gloire du Fils de Dieu. Dans la mesure où il était d’institution divine, l’ensemble du système du judaïsme constituait une prophétie condensée de l’Évangile. Au Christ « tous les prophètes rendent témoignage ». Acts 10:43. Depuis la promesse faite à Adam, tout au long de la lignée patriarcale et de l’économie légale, la lumière glorieuse du ciel rendait manifestes les pas du Rédempteur. Des voyants contemplèrent l’Étoile de Bethléhem, le Shilo à venir, tandis que les choses futures défilaient devant eux en une mystérieuse procession. Dans chaque sacrifice, la mort du Christ était révélée. Dans chaque nuée d’encens, sa justice montait. Au son de chaque trompette du jubilé, son nom retentissait. Dans l’effrayant mystère du lieu très saint, sa gloire demeurait. » The Desire of Ages, 211.</w:t>
      </w:r>
    </w:p>
    <w:p>
      <w:pPr>
        <w:pStyle w:val="ArticleHeading"/>
        <w:jc w:val="left"/>
      </w:pPr>
      <w:r>
        <w:rPr>
          <w:rFonts w:ascii="Malgun Gothic" w:hAnsi="Malgun Gothic" w:eastAsia="Malgun Gothic" w:cs="Malgun Gothic"/>
        </w:rPr>
        <w:t>십칠</w:t>
      </w:r>
    </w:p>
    <w:p>
      <w:pPr>
        <w:pStyle w:val="ArticleBody"/>
        <w:jc w:val="left"/>
      </w:pPr>
      <w:r>
        <w:rPr>
          <w:rFonts w:ascii="Times New Roman" w:hAnsi="Times New Roman" w:eastAsia="Times New Roman" w:cs="Times New Roman"/>
        </w:rPr>
        <w:t>Zedekias avait été emmené à Babylone lorsque Jérusalem tomba, quatorze ans avant 573 av. J.-C. Les historiens juifs identifient le cycle jubilaire allant de Josias, en 622, jusqu’au 22 octobre 573, comme étant le 17e cycle jubilaire. La période comprise entre la bataille de Raphia et la bataille de Panium fut de dix-sept ans. Ptolémée fut le vainqueur de la bataille de Raphia, et il régna comme roi du midi pendant dix-sept ans. Depuis l’Édit de Milan jusqu’au moment où Constantin divisa son empire en 330, il s’écoula dix-sept ans. Au dix-septième cycle jubilaire, Jérusalem fut détruite par Nebucadnetsar.</w:t>
      </w:r>
    </w:p>
    <w:p>
      <w:pPr>
        <w:pStyle w:val="ArticleScripture"/>
        <w:jc w:val="left"/>
      </w:pPr>
      <w:r>
        <w:rPr>
          <w:rFonts w:ascii="Times New Roman" w:hAnsi="Times New Roman" w:eastAsia="Times New Roman" w:cs="Times New Roman"/>
        </w:rPr>
        <w:t>Ngokuba abantwana bakwaSirayeli baya kuhlala imihla emininzi bengenakumkani, bengenankosana, bengenambingelelo, bengenamfanekiso oqingqiweyo, bengenayo iefodi, bengenazo iiterafim; emveni koko abantwana bakwaSirayeli baya kubuya, bamfune uYehova uThixo wabo, noDavide ukumkani wabo; boyike uYehova nokulunga kwakhe ngemihla yokugqibela. Hoseya 3:4, 5.</w:t>
      </w:r>
    </w:p>
    <w:p>
      <w:pPr>
        <w:pStyle w:val="ArticleBody"/>
        <w:jc w:val="left"/>
      </w:pPr>
      <w:r>
        <w:rPr>
          <w:rFonts w:ascii="Times New Roman" w:hAnsi="Times New Roman" w:eastAsia="Times New Roman" w:cs="Times New Roman"/>
        </w:rPr>
        <w:t>Hosea kpọrọ isiokwu nke metụtara ozugbo ndọkpụ n’agha Zedekaya, ọ bụ ezie na ọ na-anọchikwakwa mmalite ndọkpụ n’agha nke alaeze ugwu ahụ n’afọ 723 BC. Ihe mere akụkụ nke Hosea ji jikọọ na àmà Ezikiel metụtara ịjụ Chineke mgbe Izrel siri ọnwụ ka e nwee eze mmadụ. A na-anọchi anya ọchịchọ Izrel ka eze mmadụ chịa ha, kama ka Eze dị Chineke chịa ha, dịka “mpako nke ike unu” n’ikpe “ugboro asaa” dị na Levitikọs 26.</w:t>
      </w:r>
    </w:p>
    <w:p>
      <w:pPr>
        <w:pStyle w:val="ArticleScripture"/>
        <w:jc w:val="left"/>
      </w:pPr>
      <w:r>
        <w:rPr>
          <w:rFonts w:ascii="Times New Roman" w:hAnsi="Times New Roman" w:eastAsia="Times New Roman" w:cs="Times New Roman"/>
        </w:rPr>
        <w:t>Na si bɔ to ko on yetɛ me nnhyɛ me asɛm yi nyinaa so a, ɛno de, mɛtwe mo aso mpɛn ason bio wɔ mo bɔne nti. Na mɛbubu mo ahoɔden ahantan; na mɛma mo soro ayɛ sɛ dade, na mo asase nso ayɛ sɛ kɔbere. Leviticus 26:18, 19.</w:t>
      </w:r>
    </w:p>
    <w:p>
      <w:pPr>
        <w:pStyle w:val="ArticleBody"/>
        <w:jc w:val="left"/>
      </w:pPr>
      <w:r>
        <w:rPr>
          <w:rFonts w:ascii="Times New Roman" w:hAnsi="Times New Roman" w:eastAsia="Times New Roman" w:cs="Times New Roman"/>
        </w:rPr>
        <w:t>“</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अभिलाषा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723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586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सिदकिय्याह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ईश्वर</w:t>
      </w:r>
      <w:r>
        <w:rPr>
          <w:rFonts w:ascii="Times New Roman" w:hAnsi="Times New Roman" w:eastAsia="Times New Roman" w:cs="Times New Roman"/>
        </w:rPr>
        <w:t>-</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Un es geschah, als Samuel alt geworden war, da setzte er seine Söhne als Richter über Israel ein. Der Name seines Erstgeborenen war Joel, und der Name seines zweiten Sohnes Abija; sie waren Richter in Beerscheba. Aber seine Söhne wandelten nicht in seinen Wegen, sondern wandten sich dem Gewinn zu, nahmen Bestechungsgeschenke an und beugten das Recht. Da versammelten sich alle Ältesten Israels und kamen zu Samuel nach Rama. Und sie sprachen zu ihm: Siehe, du bist alt geworden, und deine Söhne wandeln nicht in deinen Wegen; so setze nun einen König über uns, der uns richte, wie alle Völker ihn haben. Aber dieses Wort missfiel Samuel, als sie sagten: Gib uns einen König, der uns richte. Und Samuel betete zu dem HERRN. Da sprach der HERR zu Samuel: Höre auf die Stimme des Volkes in allem, was sie zu dir sagen; denn nicht dich haben sie verworfen, sondern mich haben sie verworfen, dass ich nicht König über sie sein soll. Nach allen Taten, die sie getan haben von dem Tage an, da ich sie aus Ägypten heraufgeführt habe, bis auf diesen Tag, indem sie mich verlassen und anderen Göttern gedient haben, ebenso tun sie nun auch dir. So höre nun auf ihre Stimme; doch warne sie ernstlich und verkündige ihnen das Recht des Königs, der über sie herrschen wird. 1 Samuel 8,1–9.</w:t>
      </w:r>
    </w:p>
    <w:p>
      <w:pPr>
        <w:pStyle w:val="ArticleBody"/>
        <w:jc w:val="left"/>
      </w:pPr>
      <w:r>
        <w:rPr>
          <w:rFonts w:ascii="Times New Roman" w:hAnsi="Times New Roman" w:eastAsia="Times New Roman" w:cs="Times New Roman"/>
        </w:rPr>
        <w:t>A fenger na ni tiko ni ena gauna oya sa sega wale ga ni ciqoma o Isireli na Kalou me nodra Tui, ia vaka tale ga kina na Yalo ni Parofisai, me vaka e matataki ena vei Samuela, ni sa kaya, “era sa biuti au, ka qarava na veikalou tani, sa vaka tale ga kina na ka era sa cakava vei iko.”</w:t>
      </w:r>
    </w:p>
    <w:p>
      <w:pPr>
        <w:pStyle w:val="ArticleScripture"/>
        <w:jc w:val="left"/>
      </w:pPr>
      <w:r>
        <w:rPr>
          <w:rFonts w:ascii="Times New Roman" w:hAnsi="Times New Roman" w:eastAsia="Times New Roman" w:cs="Times New Roman"/>
        </w:rPr>
        <w:t>«Satan… fait constamment pression pour introduire le faux, afin de détourner de la vérité. La toute dernière séduction de Satan consistera à rendre sans effet le témoignage de l’Esprit de Dieu. “Quand il n’y a pas de révélation, le peuple est sans frein” (Proverbes 29:18). Satan agira avec ingéniosité, de diverses manières et par divers moyens, pour ébranler la confiance du peuple du reste de Dieu dans le véritable témoignage. »</w:t>
      </w:r>
    </w:p>
    <w:p>
      <w:pPr>
        <w:pStyle w:val="ArticleScripture"/>
        <w:jc w:val="left"/>
      </w:pPr>
      <w:r>
        <w:rPr>
          <w:rFonts w:ascii="Times New Roman" w:hAnsi="Times New Roman" w:eastAsia="Times New Roman" w:cs="Times New Roman"/>
        </w:rPr>
        <w:t>«متون شهادت‌ها نفرتی برانگیخته خواهد شد که شیطانی است. کارکردهای شیطان این خواهد بود که ایمان کلیساها را نسبت به آنها متزلزل سازد، و علت این امر چنین است: شیطان نمی‌تواند راهی چنان هموار و آشکار برای وارد ساختن فریب‌های خود و در بند کشیدن جان‌ها در اوهام خویش داشته باشد، اگر هشدارها و توبیخ‌ها و مشورت‌های روح خدا مورد اعتنا قرار گیرند.» Selected Messages, book 1, 48.</w:t>
      </w:r>
    </w:p>
    <w:p>
      <w:pPr>
        <w:pStyle w:val="ArticleBody"/>
        <w:jc w:val="left"/>
      </w:pPr>
      <w:r>
        <w:rPr>
          <w:rFonts w:ascii="Times New Roman" w:hAnsi="Times New Roman" w:eastAsia="Times New Roman" w:cs="Times New Roman"/>
        </w:rPr>
        <w:t>الضلالة الأخيرة لثيوقراطية إسرائيل القديمة كانت رفضًا، لا لله وحده، بل لروح النبوة أيضًا. وهذا الرفض في سنة 1097 ق.م. يُمثِّل على نحوٍ نموذجي الضلالة الأخيرة لأدفنتية لاودكية السبتيين في سنة 1863. إن «السبع مرات» في لاويين 26 هي كلمة الله، وروح النبوة يصرِّح بشأن «السبع مرات» بأنها «لا ينبغي أن تُغيَّر».</w:t>
      </w:r>
    </w:p>
    <w:p>
      <w:pPr>
        <w:pStyle w:val="ArticleScripture"/>
        <w:jc w:val="left"/>
      </w:pPr>
      <w:r>
        <w:rPr>
          <w:rFonts w:ascii="Times New Roman" w:hAnsi="Times New Roman" w:eastAsia="Times New Roman" w:cs="Times New Roman"/>
        </w:rPr>
        <w:t>« J’ai vu que le tableau de 1843 avait été dirigé par la main du Seigneur, et qu’il ne devait pas être modifié ; que les chiffres étaient tels qu’Il les voulait ; que Sa main les recouvrait et y cachait une erreur dans certains des chiffres, de sorte que personne ne pouvait la voir, jusqu’à ce que Sa main fût retirée. » Early Writings, 74.</w:t>
      </w:r>
    </w:p>
    <w:p>
      <w:pPr>
        <w:pStyle w:val="ArticleBody"/>
        <w:jc w:val="left"/>
      </w:pPr>
      <w:r>
        <w:rPr>
          <w:rFonts w:ascii="Times New Roman" w:hAnsi="Times New Roman" w:eastAsia="Times New Roman" w:cs="Times New Roman"/>
        </w:rPr>
        <w:t>La Esprit de Prophétie a manifestement approuvé les « sept temps », et son approbation constituait un avertissement de ne pas modifier les chiffres inscrits sur la carte, dont les « sept temps » occupent la colonne centrale ainsi que l’angle supérieur droit. Avec la carte contrefaite d’Uriah Smith en 1863, commença le rejet progressif des vérités fondamentales, préfiguré par l’ancien Israël dans son rejet de Dieu, et l’Esprit de Prophétie a identifié la rébellion de 1863. La date de la rébellion de 1863 s’aligne sur la ligne prophétique exposée dans le livre d’Ézéchiel. Dans cette ligne d’histoire, l’aboutissement fut la destruction de Jérusalem, laquelle préfigurait la loi du dimanche. La période allant de 1863 jusqu’à la loi du dimanche imminente était préfigurée par l’histoire du roi Saül, de 1097 av. J.-C., jusqu’à Sédécias en 586 av. J.-C.</w:t>
      </w:r>
    </w:p>
    <w:p>
      <w:pPr>
        <w:pStyle w:val="ArticleBody"/>
        <w:jc w:val="left"/>
      </w:pPr>
      <w:r>
        <w:rPr>
          <w:rFonts w:ascii="Nirmala UI" w:hAnsi="Nirmala UI" w:eastAsia="Nirmala UI" w:cs="Nirmala UI"/>
        </w:rPr>
        <w:t>সিদকিয়াকে</w:t>
      </w:r>
      <w:r>
        <w:rPr>
          <w:rFonts w:ascii="Times New Roman" w:hAnsi="Times New Roman" w:eastAsia="Times New Roman" w:cs="Times New Roman"/>
        </w:rPr>
        <w:t xml:space="preserve"> </w:t>
      </w:r>
      <w:r>
        <w:rPr>
          <w:rFonts w:ascii="Nirmala UI" w:hAnsi="Nirmala UI" w:eastAsia="Nirmala UI" w:cs="Nirmala UI"/>
        </w:rPr>
        <w:t>খ্রিষ্টপূর্ব</w:t>
      </w:r>
      <w:r>
        <w:rPr>
          <w:rFonts w:ascii="Times New Roman" w:hAnsi="Times New Roman" w:eastAsia="Times New Roman" w:cs="Times New Roman"/>
        </w:rPr>
        <w:t xml:space="preserve"> </w:t>
      </w:r>
      <w:r>
        <w:rPr>
          <w:rFonts w:ascii="Nirmala UI" w:hAnsi="Nirmala UI" w:eastAsia="Nirmala UI" w:cs="Nirmala UI"/>
        </w:rPr>
        <w:t>৫৭৩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যোবিলীর</w:t>
      </w:r>
      <w:r>
        <w:rPr>
          <w:rFonts w:ascii="Times New Roman" w:hAnsi="Times New Roman" w:eastAsia="Times New Roman" w:cs="Times New Roman"/>
        </w:rPr>
        <w:t xml:space="preserve"> </w:t>
      </w:r>
      <w:r>
        <w:rPr>
          <w:rFonts w:ascii="Nirmala UI" w:hAnsi="Nirmala UI" w:eastAsia="Nirmala UI" w:cs="Nirmala UI"/>
        </w:rPr>
        <w:t>চৌদ্দ</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সপ্তদশ</w:t>
      </w:r>
      <w:r>
        <w:rPr>
          <w:rFonts w:ascii="Times New Roman" w:hAnsi="Times New Roman" w:eastAsia="Times New Roman" w:cs="Times New Roman"/>
        </w:rPr>
        <w:t xml:space="preserve"> </w:t>
      </w:r>
      <w:r>
        <w:rPr>
          <w:rFonts w:ascii="Nirmala UI" w:hAnsi="Nirmala UI" w:eastAsia="Nirmala UI" w:cs="Nirmala UI"/>
        </w:rPr>
        <w:t>যোবিলী</w:t>
      </w:r>
      <w:r>
        <w:rPr>
          <w:rFonts w:ascii="Times New Roman" w:hAnsi="Times New Roman" w:eastAsia="Times New Roman" w:cs="Times New Roman"/>
        </w:rPr>
        <w:t>-</w:t>
      </w:r>
      <w:r>
        <w:rPr>
          <w:rFonts w:ascii="Nirmala UI" w:hAnsi="Nirmala UI" w:eastAsia="Nirmala UI" w:cs="Nirmala UI"/>
        </w:rPr>
        <w:t>চক্রের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খ্রিষ্টপূর্ব</w:t>
      </w:r>
      <w:r>
        <w:rPr>
          <w:rFonts w:ascii="Times New Roman" w:hAnsi="Times New Roman" w:eastAsia="Times New Roman" w:cs="Times New Roman"/>
        </w:rPr>
        <w:t xml:space="preserve"> </w:t>
      </w:r>
      <w:r>
        <w:rPr>
          <w:rFonts w:ascii="Nirmala UI" w:hAnsi="Nirmala UI" w:eastAsia="Nirmala UI" w:cs="Nirmala UI"/>
        </w:rPr>
        <w:t>৬২২</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ত্রিশতম</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খ্রিষ্টপূর্ব</w:t>
      </w:r>
      <w:r>
        <w:rPr>
          <w:rFonts w:ascii="Times New Roman" w:hAnsi="Times New Roman" w:eastAsia="Times New Roman" w:cs="Times New Roman"/>
        </w:rPr>
        <w:t xml:space="preserve"> </w:t>
      </w:r>
      <w:r>
        <w:rPr>
          <w:rFonts w:ascii="Nirmala UI" w:hAnsi="Nirmala UI" w:eastAsia="Nirmala UI" w:cs="Nirmala UI"/>
        </w:rPr>
        <w:t>৫৯১</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ইযিকিয়েলকে</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যাজক</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খ্রিষ্টপূর্ব</w:t>
      </w:r>
      <w:r>
        <w:rPr>
          <w:rFonts w:ascii="Times New Roman" w:hAnsi="Times New Roman" w:eastAsia="Times New Roman" w:cs="Times New Roman"/>
        </w:rPr>
        <w:t xml:space="preserve"> </w:t>
      </w:r>
      <w:r>
        <w:rPr>
          <w:rFonts w:ascii="Nirmala UI" w:hAnsi="Nirmala UI" w:eastAsia="Nirmala UI" w:cs="Nirmala UI"/>
        </w:rPr>
        <w:t>৫৮৬</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ধ্বংসপ্রাপ্ত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দিনেই</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খ্রিষ্টাব্দ</w:t>
      </w:r>
      <w:r>
        <w:rPr>
          <w:rFonts w:ascii="Times New Roman" w:hAnsi="Times New Roman" w:eastAsia="Times New Roman" w:cs="Times New Roman"/>
        </w:rPr>
        <w:t xml:space="preserve"> </w:t>
      </w:r>
      <w:r>
        <w:rPr>
          <w:rFonts w:ascii="Nirmala UI" w:hAnsi="Nirmala UI" w:eastAsia="Nirmala UI" w:cs="Nirmala UI"/>
        </w:rPr>
        <w:t>৭০</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তীতুসের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দ্বিতীয়বার</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ইযিকিয়েল</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ধ্বংসের</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উনিশ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পূর্বের।</w:t>
      </w:r>
    </w:p>
    <w:p>
      <w:pPr>
        <w:pStyle w:val="ArticleScripture"/>
        <w:jc w:val="left"/>
      </w:pP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ਬੰਦੀਵਾਸ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ਪੱਚੀਵੇਂ</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ਦਸਵੇਂ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ਚੌਦਵੇਂ</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ਓਸੇ</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40:1</w:t>
      </w:r>
      <w:r>
        <w:rPr>
          <w:rFonts w:ascii="Nirmala UI" w:hAnsi="Nirmala UI" w:eastAsia="Nirmala UI" w:cs="Nirmala UI"/>
        </w:rPr>
        <w:t>।</w:t>
      </w:r>
    </w:p>
    <w:p>
      <w:pPr>
        <w:pStyle w:val="ArticleBody"/>
        <w:jc w:val="left"/>
      </w:pPr>
      <w:r>
        <w:rPr>
          <w:rFonts w:ascii="Times New Roman" w:hAnsi="Times New Roman" w:eastAsia="Times New Roman" w:cs="Times New Roman"/>
        </w:rPr>
        <w:t>פֿאַר אומגעהאָרכזאַם זײַן קעגן דעם בונד פֿון דעם שבת פֿון לאַנד, האָט גאָט באַשטימט, אַז „זיבן מאָל“ זאָל זײַן דער קללה פֿאַר אומגעהאָרכזאַם זײַן צום זיבעטן יאָר, וואָס איז דער שבת פֿון לאַנד. „מאָל“ איז אַ יאָר, און אַ „יאָר“ איז דרײַ הונדערט און זעכציק טעג, און זיבן מאָל דרײַ הונדערט און זעכציק זענען פֿינף און צוואַנציק הונדערט און צוואַנציק יאָר. די מילעריטן האָבן אפֿשר נישט גענוצט דעם אויסדרוק „די פֿינף־און־צוואַנציק־צוואַנציק“, אָבער ביידע זייערע הייליקע טאַבעלעך האָבן נומעריש אָנגעוויזן די פֿינף און צוואַנציק הונדערט און צוואַנציק יאָר.</w:t>
      </w:r>
    </w:p>
    <w:p>
      <w:pPr>
        <w:pStyle w:val="ArticleBody"/>
        <w:jc w:val="left"/>
      </w:pPr>
      <w:r>
        <w:rPr>
          <w:rFonts w:ascii="Times New Roman" w:hAnsi="Times New Roman" w:eastAsia="Times New Roman" w:cs="Times New Roman"/>
        </w:rPr>
        <w:t>La proclamation de la malédiction des sept temps sur le royaume du nord d’Israël comme sur le royaume du sud de Juda constituait la première compréhension de William Miller, ou, pourrait-on dire, la compréhension « fondamentale », voire même la compréhension « alpha ». En 1863, l’Église adventiste du septième jour laodicéenne rejeta la compréhension fondamentale des découvertes de Miller, des « découvertes » qui représentaient tout le fondement du mouvement millérite. L’Inspiration avertit expressément que cela pourrait arriver, et cela est arrivé, et c’est arrivé il y a longtemps.</w:t>
      </w:r>
    </w:p>
    <w:p>
      <w:pPr>
        <w:pStyle w:val="ArticleBody"/>
        <w:jc w:val="left"/>
      </w:pP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ආඥාවෙහි</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තුළද</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ආඥාවට</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වහල්කමෙන්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ගොඩනැඟූ</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ආඥාවෙහි</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සම්පූර්ණයෙන්ම</w:t>
      </w:r>
      <w:r>
        <w:rPr>
          <w:rFonts w:ascii="Times New Roman" w:hAnsi="Times New Roman" w:eastAsia="Times New Roman" w:cs="Times New Roman"/>
        </w:rPr>
        <w:t xml:space="preserve"> </w:t>
      </w:r>
      <w:r>
        <w:rPr>
          <w:rFonts w:ascii="Nirmala UI" w:hAnsi="Nirmala UI" w:eastAsia="Nirmala UI" w:cs="Nirmala UI"/>
        </w:rPr>
        <w:t>ගොඩනැඟුණි</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ආඥාවේදී</w:t>
      </w:r>
      <w:r>
        <w:rPr>
          <w:rFonts w:ascii="Times New Roman" w:hAnsi="Times New Roman" w:eastAsia="Times New Roman" w:cs="Times New Roman"/>
        </w:rPr>
        <w:t xml:space="preserve">, </w:t>
      </w:r>
      <w:r>
        <w:rPr>
          <w:rFonts w:ascii="Nirmala UI" w:hAnsi="Nirmala UI" w:eastAsia="Nirmala UI" w:cs="Nirmala UI"/>
        </w:rPr>
        <w:t>සැබෑ</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රායෙල්ට</w:t>
      </w:r>
      <w:r>
        <w:rPr>
          <w:rFonts w:ascii="Times New Roman" w:hAnsi="Times New Roman" w:eastAsia="Times New Roman" w:cs="Times New Roman"/>
        </w:rPr>
        <w:t xml:space="preserve"> </w:t>
      </w:r>
      <w:r>
        <w:rPr>
          <w:rFonts w:ascii="Nirmala UI" w:hAnsi="Nirmala UI" w:eastAsia="Nirmala UI" w:cs="Nirmala UI"/>
        </w:rPr>
        <w:t>ජාතික</w:t>
      </w:r>
      <w:r>
        <w:rPr>
          <w:rFonts w:ascii="Times New Roman" w:hAnsi="Times New Roman" w:eastAsia="Times New Roman" w:cs="Times New Roman"/>
        </w:rPr>
        <w:t xml:space="preserve"> </w:t>
      </w:r>
      <w:r>
        <w:rPr>
          <w:rFonts w:ascii="Nirmala UI" w:hAnsi="Nirmala UI" w:eastAsia="Nirmala UI" w:cs="Nirmala UI"/>
        </w:rPr>
        <w:t>සාරධිකාරය</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රතිෂ්ඨාපනය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1840 </w:t>
      </w:r>
      <w:r>
        <w:rPr>
          <w:rFonts w:ascii="Nirmala UI" w:hAnsi="Nirmala UI" w:eastAsia="Nirmala UI" w:cs="Nirmala UI"/>
        </w:rPr>
        <w:t>අගෝස්තු</w:t>
      </w:r>
      <w:r>
        <w:rPr>
          <w:rFonts w:ascii="Times New Roman" w:hAnsi="Times New Roman" w:eastAsia="Times New Roman" w:cs="Times New Roman"/>
        </w:rPr>
        <w:t xml:space="preserve"> 11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බලගැන්වූ</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විලියම්</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1842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1843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රස්ථාරයෙන්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පැමිණියේය</w:t>
      </w:r>
      <w:r>
        <w:rPr>
          <w:rFonts w:ascii="Times New Roman" w:hAnsi="Times New Roman" w:eastAsia="Times New Roman" w:cs="Times New Roman"/>
        </w:rPr>
        <w:t xml:space="preserve">. 1844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බලාපොරොත්තු</w:t>
      </w:r>
      <w:r>
        <w:rPr>
          <w:rFonts w:ascii="Times New Roman" w:hAnsi="Times New Roman" w:eastAsia="Times New Roman" w:cs="Times New Roman"/>
        </w:rPr>
        <w:t xml:space="preserve"> </w:t>
      </w:r>
      <w:r>
        <w:rPr>
          <w:rFonts w:ascii="Nirmala UI" w:hAnsi="Nirmala UI" w:eastAsia="Nirmala UI" w:cs="Nirmala UI"/>
        </w:rPr>
        <w:t>බිඳවැටීමේදී</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1844 </w:t>
      </w:r>
      <w:r>
        <w:rPr>
          <w:rFonts w:ascii="Nirmala UI" w:hAnsi="Nirmala UI" w:eastAsia="Nirmala UI" w:cs="Nirmala UI"/>
        </w:rPr>
        <w:t>අල්ෆා</w:t>
      </w:r>
      <w:r>
        <w:rPr>
          <w:rFonts w:ascii="Times New Roman" w:hAnsi="Times New Roman" w:eastAsia="Times New Roman" w:cs="Times New Roman"/>
        </w:rPr>
        <w:t xml:space="preserve"> </w:t>
      </w:r>
      <w:r>
        <w:rPr>
          <w:rFonts w:ascii="Nirmala UI" w:hAnsi="Nirmala UI" w:eastAsia="Nirmala UI" w:cs="Nirmala UI"/>
        </w:rPr>
        <w:t>බලාපොරොත්තු</w:t>
      </w:r>
      <w:r>
        <w:rPr>
          <w:rFonts w:ascii="Times New Roman" w:hAnsi="Times New Roman" w:eastAsia="Times New Roman" w:cs="Times New Roman"/>
        </w:rPr>
        <w:t xml:space="preserve"> </w:t>
      </w:r>
      <w:r>
        <w:rPr>
          <w:rFonts w:ascii="Nirmala UI" w:hAnsi="Nirmala UI" w:eastAsia="Nirmala UI" w:cs="Nirmala UI"/>
        </w:rPr>
        <w:t>බිඳවැටීමේදී</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දූතයාද</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යාවන්ගේ</w:t>
      </w:r>
      <w:r>
        <w:rPr>
          <w:rFonts w:ascii="Times New Roman" w:hAnsi="Times New Roman" w:eastAsia="Times New Roman" w:cs="Times New Roman"/>
        </w:rPr>
        <w:t xml:space="preserve"> </w:t>
      </w:r>
      <w:r>
        <w:rPr>
          <w:rFonts w:ascii="Nirmala UI" w:hAnsi="Nirmala UI" w:eastAsia="Nirmala UI" w:cs="Nirmala UI"/>
        </w:rPr>
        <w:t>උපමාවෙහි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කාලයද</w:t>
      </w:r>
      <w:r>
        <w:rPr>
          <w:rFonts w:ascii="Times New Roman" w:hAnsi="Times New Roman" w:eastAsia="Times New Roman" w:cs="Times New Roman"/>
        </w:rPr>
        <w:t xml:space="preserve"> </w:t>
      </w:r>
      <w:r>
        <w:rPr>
          <w:rFonts w:ascii="Nirmala UI" w:hAnsi="Nirmala UI" w:eastAsia="Nirmala UI" w:cs="Nirmala UI"/>
        </w:rPr>
        <w:t>පැමිණියේය</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එක්සෙටර්</w:t>
      </w:r>
      <w:r>
        <w:rPr>
          <w:rFonts w:ascii="Times New Roman" w:hAnsi="Times New Roman" w:eastAsia="Times New Roman" w:cs="Times New Roman"/>
        </w:rPr>
        <w:t xml:space="preserve"> </w:t>
      </w:r>
      <w:r>
        <w:rPr>
          <w:rFonts w:ascii="Nirmala UI" w:hAnsi="Nirmala UI" w:eastAsia="Nirmala UI" w:cs="Nirmala UI"/>
        </w:rPr>
        <w:t>කඳවුරු</w:t>
      </w:r>
      <w:r>
        <w:rPr>
          <w:rFonts w:ascii="Times New Roman" w:hAnsi="Times New Roman" w:eastAsia="Times New Roman" w:cs="Times New Roman"/>
        </w:rPr>
        <w:t xml:space="preserve"> </w:t>
      </w:r>
      <w:r>
        <w:rPr>
          <w:rFonts w:ascii="Nirmala UI" w:hAnsi="Nirmala UI" w:eastAsia="Nirmala UI" w:cs="Nirmala UI"/>
        </w:rPr>
        <w:t>රැස්වීමේදී</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බලගැන්වූ</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1844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ඔමේගා</w:t>
      </w:r>
      <w:r>
        <w:rPr>
          <w:rFonts w:ascii="Times New Roman" w:hAnsi="Times New Roman" w:eastAsia="Times New Roman" w:cs="Times New Roman"/>
        </w:rPr>
        <w:t xml:space="preserve">, </w:t>
      </w:r>
      <w:r>
        <w:rPr>
          <w:rFonts w:ascii="Nirmala UI" w:hAnsi="Nirmala UI" w:eastAsia="Nirmala UI" w:cs="Nirmala UI"/>
        </w:rPr>
        <w:t>බලාපොරොත්තු</w:t>
      </w:r>
      <w:r>
        <w:rPr>
          <w:rFonts w:ascii="Times New Roman" w:hAnsi="Times New Roman" w:eastAsia="Times New Roman" w:cs="Times New Roman"/>
        </w:rPr>
        <w:t xml:space="preserve"> </w:t>
      </w:r>
      <w:r>
        <w:rPr>
          <w:rFonts w:ascii="Nirmala UI" w:hAnsi="Nirmala UI" w:eastAsia="Nirmala UI" w:cs="Nirmala UI"/>
        </w:rPr>
        <w:t>බිඳවැටීමේදී</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දේවමාළිගාවට</w:t>
      </w:r>
      <w:r>
        <w:rPr>
          <w:rFonts w:ascii="Times New Roman" w:hAnsi="Times New Roman" w:eastAsia="Times New Roman" w:cs="Times New Roman"/>
        </w:rPr>
        <w:t xml:space="preserve"> </w:t>
      </w:r>
      <w:r>
        <w:rPr>
          <w:rFonts w:ascii="Nirmala UI" w:hAnsi="Nirmala UI" w:eastAsia="Nirmala UI" w:cs="Nirmala UI"/>
        </w:rPr>
        <w:t>හදිසියේ</w:t>
      </w:r>
      <w:r>
        <w:rPr>
          <w:rFonts w:ascii="Times New Roman" w:hAnsi="Times New Roman" w:eastAsia="Times New Roman" w:cs="Times New Roman"/>
        </w:rPr>
        <w:t xml:space="preserve"> </w:t>
      </w:r>
      <w:r>
        <w:rPr>
          <w:rFonts w:ascii="Nirmala UI" w:hAnsi="Nirmala UI" w:eastAsia="Nirmala UI" w:cs="Nirmala UI"/>
        </w:rPr>
        <w:t>පැමිණියේය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ආඥාවෙන්</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පැමිණීමෙන්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දෙදහස්</w:t>
      </w:r>
      <w:r>
        <w:rPr>
          <w:rFonts w:ascii="Times New Roman" w:hAnsi="Times New Roman" w:eastAsia="Times New Roman" w:cs="Times New Roman"/>
        </w:rPr>
        <w:t xml:space="preserve"> </w:t>
      </w:r>
      <w:r>
        <w:rPr>
          <w:rFonts w:ascii="Nirmala UI" w:hAnsi="Nirmala UI" w:eastAsia="Nirmala UI" w:cs="Nirmala UI"/>
        </w:rPr>
        <w:t>තුන්සිය</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කිරීමක්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יאָשִׁיָּהוּ, פֵּרוּשׁוֹ „יְסוֹד אֱלֹהִים.” בֵּין שֶׁהַדָּבָר נוֹגֵעַ לַמֶּלֶךְ יֹאשִׁיָּהוּ וּבֵין שֶׁלְיוֹשִׁיָּה לִיטְשׁ, שְׁנֵיהֶם סְמָלִים שֶׁל הַיְסוֹדוֹת, כְּפִי שֶׁהֵם מְיֻצָּגִים בְּתּוֹלְדוֹת הַגְּזֵרָה הָרִאשׁוֹנָה וּכְפִי שֶׁהֵם מְיֻצָּגִים בְּמוֹעֲדֵי הָאָבִיב הַמּוּצָגִים בְּעֶשְׂרִים וּשְׁנַיִם הַפְּסוּקִים הָרִאשׁוֹנִים שֶׁל וַיִּקְרָא כ״ג. הַיְסוֹדוֹת, מוֹעֲדֵי הָאָבִיב וְהַגְּזֵרָה הָרִאשׁוֹנָה — כֻּלָּם סְמָלִים שֶׁל 1840 וְשֶׁל הַהַסְמָכָה לַמַּלְאָךְ הָרִאשׁוֹן. 22 בְּאוֹקְטוֹבֶּר 573 לִפְנֵי הַסְּפִירָה, כְּפִי שֶׁהוּא מֻצָּג בִּיחֶזְקֵאל מ׳ 1, הוּא סֵמֶל שֶׁל 22 בְּאוֹקְטוֹבֶּר 1844 וּפְתִיחַת דִּין הַמֵּתִים, וְגַם סֵמֶל שֶׁל 11 בְּסֶפְּטֶמְבֶּר 2001 עִם פְּתִיחַת דִּין הַחַיִּים. כָּל מִי שֶׁעָקַב אַחַר הַמַּאֲמָרִים הָאֵלֶּה צָרִיךְ לָדַעַת אֶת הַיִּשּׂוּמִים שֶׁאֲנִי מַחִיל.</w:t>
      </w:r>
    </w:p>
    <w:p>
      <w:pPr>
        <w:pStyle w:val="ArticleBody"/>
        <w:jc w:val="left"/>
      </w:pPr>
      <w:r>
        <w:rPr>
          <w:rFonts w:ascii="Times New Roman" w:hAnsi="Times New Roman" w:eastAsia="Times New Roman" w:cs="Times New Roman"/>
        </w:rPr>
        <w:t>Ἰεζεκιὴλ εἶναι σύμβολον ἐντὸς τῆς προφητικῆς ἱστορίας, καθὼς παριστᾶται ἐν τοῖς συγγράμμασιν αὐτοῦ. Ὁ Ἰεζεκιὴλ παρίσταται ἐκεῖ ὅτε οἱ εἴκοσι πέντε ἄνδρες προσκυνοῦσι τὸν ἥλιον ἐν τῷ τέλει τοῦ ὀγδόου κεφαλαίου. Παρῆν δὲ καὶ ἐν τοῖς ἐφεξῆς κεφαλαίοις, καθ’ ἃ ἐπέρχεται ἐπὶ τὴν Ἱερουσαλὴμ «ἡ σφράγισις ἡ ὑπὸ τῆς σφαγῆς ἀκολουθουμένη», τὴν ὁποίαν ἡ Ellen White ταυτίζει μετὰ τῆς Ἐκκλησίας τῶν Ἀντβεντιστῶν τῆς Ἑβδόμης Ἡμέρας. Ἐν τοῖς πρώτοις ἕνδεκα κεφαλαίοις, ὁ Ἰεζεκιὴλ μεταφέρεται εἰς τὸ οὐράνιον ἁγιαστήριον ἵνα λάβῃ τὰς ὁδηγίας αὐτοῦ, καθάπερ ἐκλήθησαν ποιῆσαι οἱ Μιλλερίται ἐν τῷ 1844, καὶ καθὼς νῦν καλεῖται ποιεῖν καὶ τοῦτο τὸ κίνημα.</w:t>
      </w:r>
    </w:p>
    <w:p>
      <w:pPr>
        <w:pStyle w:val="ArticleScripture"/>
        <w:jc w:val="left"/>
      </w:pPr>
      <w:r>
        <w:rPr>
          <w:rFonts w:ascii="Times New Roman" w:hAnsi="Times New Roman" w:eastAsia="Times New Roman" w:cs="Times New Roman"/>
        </w:rPr>
        <w:t>Ainsi Ézéchiel est pour vous un signe : selon tout ce qu’il a fait, vous ferez ; et lorsque cela arrivera, vous saurez que je suis le Seigneur, l’Éternel. Ézéchiel 24:24.</w:t>
      </w:r>
    </w:p>
    <w:p>
      <w:pPr>
        <w:pStyle w:val="ArticleHeading"/>
        <w:jc w:val="left"/>
      </w:pPr>
      <w:r>
        <w:rPr>
          <w:rFonts w:ascii="Arial" w:hAnsi="Arial" w:eastAsia="Arial" w:cs="Arial"/>
        </w:rPr>
        <w:t>Lorsque ceci arrivera</w:t>
      </w:r>
    </w:p>
    <w:p>
      <w:pPr>
        <w:pStyle w:val="ArticleBody"/>
        <w:jc w:val="left"/>
      </w:pPr>
      <w:r>
        <w:rPr>
          <w:rFonts w:ascii="Times New Roman" w:hAnsi="Times New Roman" w:eastAsia="Times New Roman" w:cs="Times New Roman"/>
        </w:rPr>
        <w:t>Na mikolo ya nsuka, tango tokómi na esika oyo makambo oyo Ezekiele alakisaki ezali kozongelama kati na bato ya Nzambe, wana nde tokómi na elembo ya Ezekiele. Soki oyebi ete Ezekiele azali komonisa bato nkóto nkama moko na ntuku minei na minei, mpe oyebi yango na etando ya kondima mpe ya bososoli oyo ezali na elikya esantisami ete nyonso oyo Ezekiele alakisaki na mikanda na ye ezali kosala elembo ya molongo mosantu ya makambo na mikolo ya nsuka oyo etali bato nkóto nkama moko na ntuku minei na minei—soki oyebi yango, boye “bokoyeba” ete “Nkolo” azali “Nzambe.”</w:t>
      </w:r>
    </w:p>
    <w:p>
      <w:pPr>
        <w:pStyle w:val="ArticleBody"/>
        <w:jc w:val="left"/>
      </w:pPr>
      <w:r>
        <w:rPr>
          <w:rFonts w:ascii="Times New Roman" w:hAnsi="Times New Roman" w:eastAsia="Times New Roman" w:cs="Times New Roman"/>
        </w:rPr>
        <w:t>Nous poursuivrons ces réflexions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Twenty-One</dc:title>
  <dc:subject>Le deuxième malheur — huitième partie — Ézéchiel numéro deux</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